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8" w:lineRule="exact"/>
        <w:rPr>
          <w:sz w:val="24"/>
          <w:szCs w:val="24"/>
          <w:color w:val="auto"/>
        </w:rPr>
      </w:pPr>
    </w:p>
    <w:p>
      <w:pPr>
        <w:jc w:val="center"/>
        <w:ind w:right="-464"/>
        <w:spacing w:after="0"/>
        <w:rPr>
          <w:sz w:val="20"/>
          <w:szCs w:val="20"/>
          <w:color w:val="auto"/>
        </w:rPr>
      </w:pPr>
      <w:r>
        <w:rPr>
          <w:rFonts w:ascii="Arial" w:cs="Arial" w:eastAsia="Arial" w:hAnsi="Arial"/>
          <w:sz w:val="29"/>
          <w:szCs w:val="29"/>
          <w:b w:val="1"/>
          <w:bCs w:val="1"/>
          <w:color w:val="auto"/>
        </w:rPr>
        <w:t>UNITED STATES</w:t>
      </w:r>
    </w:p>
    <w:p>
      <w:pPr>
        <w:spacing w:after="0" w:line="193" w:lineRule="exact"/>
        <w:rPr>
          <w:sz w:val="24"/>
          <w:szCs w:val="24"/>
          <w:color w:val="auto"/>
        </w:rPr>
      </w:pPr>
    </w:p>
    <w:p>
      <w:pPr>
        <w:jc w:val="center"/>
        <w:ind w:right="-464"/>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ind w:left="3904"/>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73025</wp:posOffset>
            </wp:positionV>
            <wp:extent cx="1354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left="2824"/>
        <w:spacing w:after="0"/>
        <w:rPr>
          <w:sz w:val="20"/>
          <w:szCs w:val="20"/>
          <w:color w:val="auto"/>
        </w:rPr>
      </w:pPr>
      <w:r>
        <w:rPr>
          <w:rFonts w:ascii="Arial" w:cs="Arial" w:eastAsia="Arial" w:hAnsi="Arial"/>
          <w:sz w:val="29"/>
          <w:szCs w:val="29"/>
          <w:b w:val="1"/>
          <w:bCs w:val="1"/>
          <w:color w:val="auto"/>
        </w:rPr>
        <w:t>SCHEDULE 14A INFORMATION</w:t>
      </w:r>
    </w:p>
    <w:p>
      <w:pPr>
        <w:spacing w:after="0" w:line="227" w:lineRule="exact"/>
        <w:rPr>
          <w:sz w:val="24"/>
          <w:szCs w:val="24"/>
          <w:color w:val="auto"/>
        </w:rPr>
      </w:pPr>
    </w:p>
    <w:p>
      <w:pPr>
        <w:jc w:val="center"/>
        <w:ind w:right="-464"/>
        <w:spacing w:after="0"/>
        <w:rPr>
          <w:sz w:val="20"/>
          <w:szCs w:val="20"/>
          <w:color w:val="auto"/>
        </w:rPr>
      </w:pPr>
      <w:r>
        <w:rPr>
          <w:rFonts w:ascii="Arial" w:cs="Arial" w:eastAsia="Arial" w:hAnsi="Arial"/>
          <w:sz w:val="19"/>
          <w:szCs w:val="19"/>
          <w:b w:val="1"/>
          <w:bCs w:val="1"/>
          <w:color w:val="auto"/>
        </w:rPr>
        <w:t>Proxy Statement Pursuant to Section 14(a) of the</w:t>
      </w:r>
    </w:p>
    <w:p>
      <w:pPr>
        <w:spacing w:after="0" w:line="2" w:lineRule="exact"/>
        <w:rPr>
          <w:sz w:val="24"/>
          <w:szCs w:val="24"/>
          <w:color w:val="auto"/>
        </w:rPr>
      </w:pPr>
    </w:p>
    <w:p>
      <w:pPr>
        <w:jc w:val="center"/>
        <w:ind w:right="-464"/>
        <w:spacing w:after="0"/>
        <w:rPr>
          <w:sz w:val="20"/>
          <w:szCs w:val="20"/>
          <w:color w:val="auto"/>
        </w:rPr>
      </w:pPr>
      <w:r>
        <w:rPr>
          <w:rFonts w:ascii="Arial" w:cs="Arial" w:eastAsia="Arial" w:hAnsi="Arial"/>
          <w:sz w:val="19"/>
          <w:szCs w:val="19"/>
          <w:b w:val="1"/>
          <w:bCs w:val="1"/>
          <w:color w:val="auto"/>
        </w:rPr>
        <w:t>Securities Exchange Act of 1934</w:t>
      </w:r>
    </w:p>
    <w:p>
      <w:pPr>
        <w:spacing w:after="0" w:line="209" w:lineRule="exact"/>
        <w:rPr>
          <w:sz w:val="24"/>
          <w:szCs w:val="24"/>
          <w:color w:val="auto"/>
        </w:rPr>
      </w:pPr>
    </w:p>
    <w:p>
      <w:pPr>
        <w:ind w:left="4104"/>
        <w:spacing w:after="0"/>
        <w:tabs>
          <w:tab w:leader="none" w:pos="5764" w:val="left"/>
        </w:tabs>
        <w:rPr>
          <w:sz w:val="20"/>
          <w:szCs w:val="20"/>
          <w:color w:val="auto"/>
        </w:rPr>
      </w:pPr>
      <w:r>
        <w:rPr>
          <w:rFonts w:ascii="Arial" w:cs="Arial" w:eastAsia="Arial" w:hAnsi="Arial"/>
          <w:sz w:val="19"/>
          <w:szCs w:val="19"/>
          <w:b w:val="1"/>
          <w:bCs w:val="1"/>
          <w:color w:val="auto"/>
        </w:rPr>
        <w:t>(Amendment No.</w:t>
      </w:r>
      <w:r>
        <w:rPr>
          <w:sz w:val="20"/>
          <w:szCs w:val="20"/>
          <w:color w:val="auto"/>
        </w:rPr>
        <w:tab/>
      </w:r>
      <w:r>
        <w:rPr>
          <w:rFonts w:ascii="Arial" w:cs="Arial" w:eastAsia="Arial" w:hAnsi="Arial"/>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92710</wp:posOffset>
            </wp:positionV>
            <wp:extent cx="13544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24"/>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62" w:lineRule="exact"/>
        <w:rPr>
          <w:sz w:val="24"/>
          <w:szCs w:val="24"/>
          <w:color w:val="auto"/>
        </w:rPr>
      </w:pPr>
    </w:p>
    <w:p>
      <w:pPr>
        <w:ind w:left="324"/>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40" w:lineRule="exact"/>
        <w:rPr>
          <w:sz w:val="24"/>
          <w:szCs w:val="24"/>
          <w:color w:val="auto"/>
        </w:rPr>
      </w:pPr>
    </w:p>
    <w:p>
      <w:pPr>
        <w:ind w:left="324"/>
        <w:spacing w:after="0"/>
        <w:rPr>
          <w:sz w:val="20"/>
          <w:szCs w:val="20"/>
          <w:color w:val="auto"/>
        </w:rPr>
      </w:pPr>
      <w:r>
        <w:rPr>
          <w:rFonts w:ascii="Arial" w:cs="Arial" w:eastAsia="Arial" w:hAnsi="Arial"/>
          <w:sz w:val="16"/>
          <w:szCs w:val="16"/>
          <w:color w:val="auto"/>
        </w:rPr>
        <w:t>Check the appropriate box:</w:t>
      </w:r>
    </w:p>
    <w:p>
      <w:pPr>
        <w:spacing w:after="0" w:line="248" w:lineRule="exact"/>
        <w:rPr>
          <w:sz w:val="24"/>
          <w:szCs w:val="24"/>
          <w:color w:val="auto"/>
        </w:rPr>
      </w:pPr>
    </w:p>
    <w:p>
      <w:pPr>
        <w:ind w:left="364" w:hanging="364"/>
        <w:spacing w:after="0"/>
        <w:tabs>
          <w:tab w:leader="none" w:pos="3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48" w:lineRule="exact"/>
        <w:rPr>
          <w:rFonts w:ascii="MS PGothic" w:cs="MS PGothic" w:eastAsia="MS PGothic" w:hAnsi="MS PGothic"/>
          <w:sz w:val="16"/>
          <w:szCs w:val="16"/>
          <w:color w:val="auto"/>
        </w:rPr>
      </w:pPr>
    </w:p>
    <w:p>
      <w:pPr>
        <w:ind w:left="1304" w:hanging="332"/>
        <w:spacing w:after="0"/>
        <w:tabs>
          <w:tab w:leader="none" w:pos="1304" w:val="left"/>
        </w:tabs>
        <w:numPr>
          <w:ilvl w:val="2"/>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248" w:lineRule="exact"/>
        <w:rPr>
          <w:rFonts w:ascii="MS PGothic" w:cs="MS PGothic" w:eastAsia="MS PGothic" w:hAnsi="MS PGothic"/>
          <w:sz w:val="16"/>
          <w:szCs w:val="16"/>
          <w:color w:val="auto"/>
        </w:rPr>
      </w:pPr>
    </w:p>
    <w:p>
      <w:pPr>
        <w:ind w:left="644" w:hanging="320"/>
        <w:spacing w:after="0"/>
        <w:tabs>
          <w:tab w:leader="none" w:pos="644"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61" w:lineRule="exact"/>
        <w:rPr>
          <w:rFonts w:ascii="MS PGothic" w:cs="MS PGothic" w:eastAsia="MS PGothic" w:hAnsi="MS PGothic"/>
          <w:sz w:val="16"/>
          <w:szCs w:val="16"/>
          <w:color w:val="auto"/>
        </w:rPr>
      </w:pPr>
    </w:p>
    <w:p>
      <w:pPr>
        <w:ind w:left="1304" w:hanging="332"/>
        <w:spacing w:after="0"/>
        <w:tabs>
          <w:tab w:leader="none" w:pos="1304" w:val="left"/>
        </w:tabs>
        <w:numPr>
          <w:ilvl w:val="2"/>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248" w:lineRule="exact"/>
        <w:rPr>
          <w:rFonts w:ascii="MS PGothic" w:cs="MS PGothic" w:eastAsia="MS PGothic" w:hAnsi="MS PGothic"/>
          <w:sz w:val="16"/>
          <w:szCs w:val="16"/>
          <w:color w:val="auto"/>
        </w:rPr>
      </w:pPr>
    </w:p>
    <w:p>
      <w:pPr>
        <w:ind w:left="1304" w:hanging="332"/>
        <w:spacing w:after="0"/>
        <w:tabs>
          <w:tab w:leader="none" w:pos="1304" w:val="left"/>
        </w:tabs>
        <w:numPr>
          <w:ilvl w:val="2"/>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Section 240.14a-12</w:t>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right"/>
        <w:ind w:right="699"/>
        <w:spacing w:after="0"/>
        <w:rPr>
          <w:sz w:val="20"/>
          <w:szCs w:val="20"/>
          <w:color w:val="auto"/>
        </w:rPr>
      </w:pPr>
      <w:r>
        <w:rPr>
          <w:rFonts w:ascii="Arial" w:cs="Arial" w:eastAsia="Arial" w:hAnsi="Arial"/>
          <w:sz w:val="29"/>
          <w:szCs w:val="29"/>
          <w:b w:val="1"/>
          <w:bCs w:val="1"/>
          <w:color w:val="auto"/>
        </w:rPr>
        <w:t>JAZZ PHARMACEUTICALS PUBLIC LIMITED COMPANY</w:t>
      </w:r>
    </w:p>
    <w:p>
      <w:pPr>
        <w:spacing w:after="0" w:line="240" w:lineRule="exact"/>
        <w:rPr>
          <w:sz w:val="24"/>
          <w:szCs w:val="24"/>
          <w:color w:val="auto"/>
        </w:rPr>
      </w:pPr>
    </w:p>
    <w:p>
      <w:pPr>
        <w:jc w:val="center"/>
        <w:ind w:right="-464"/>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21" w:lineRule="exact"/>
        <w:rPr>
          <w:sz w:val="24"/>
          <w:szCs w:val="24"/>
          <w:color w:val="auto"/>
        </w:rPr>
      </w:pPr>
    </w:p>
    <w:p>
      <w:pPr>
        <w:ind w:left="2184"/>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21" w:lineRule="exact"/>
        <w:rPr>
          <w:sz w:val="24"/>
          <w:szCs w:val="24"/>
          <w:color w:val="auto"/>
        </w:rPr>
      </w:pPr>
    </w:p>
    <w:p>
      <w:pPr>
        <w:ind w:left="324"/>
        <w:spacing w:after="0"/>
        <w:rPr>
          <w:sz w:val="20"/>
          <w:szCs w:val="20"/>
          <w:color w:val="auto"/>
        </w:rPr>
      </w:pPr>
      <w:r>
        <w:rPr>
          <w:rFonts w:ascii="Arial" w:cs="Arial" w:eastAsia="Arial" w:hAnsi="Arial"/>
          <w:sz w:val="16"/>
          <w:szCs w:val="16"/>
          <w:color w:val="auto"/>
        </w:rPr>
        <w:t>Payment of Filing Fee (Check all boxes that apply):</w:t>
      </w:r>
    </w:p>
    <w:p>
      <w:pPr>
        <w:spacing w:after="0" w:line="221" w:lineRule="exact"/>
        <w:rPr>
          <w:sz w:val="24"/>
          <w:szCs w:val="24"/>
          <w:color w:val="auto"/>
        </w:rPr>
      </w:pPr>
    </w:p>
    <w:p>
      <w:pPr>
        <w:ind w:left="1304" w:hanging="332"/>
        <w:spacing w:after="0"/>
        <w:tabs>
          <w:tab w:leader="none" w:pos="130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1304" w:hanging="332"/>
        <w:spacing w:after="0"/>
        <w:tabs>
          <w:tab w:leader="none" w:pos="130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21" w:lineRule="exact"/>
        <w:rPr>
          <w:rFonts w:ascii="MS PGothic" w:cs="MS PGothic" w:eastAsia="MS PGothic" w:hAnsi="MS PGothic"/>
          <w:sz w:val="16"/>
          <w:szCs w:val="16"/>
          <w:color w:val="auto"/>
        </w:rPr>
      </w:pPr>
    </w:p>
    <w:p>
      <w:pPr>
        <w:ind w:left="1304" w:hanging="332"/>
        <w:spacing w:after="0"/>
        <w:tabs>
          <w:tab w:leader="none" w:pos="130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-423545</wp:posOffset>
            </wp:positionH>
            <wp:positionV relativeFrom="paragraph">
              <wp:posOffset>865505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-385445</wp:posOffset>
            </wp:positionH>
            <wp:positionV relativeFrom="paragraph">
              <wp:posOffset>226695</wp:posOffset>
            </wp:positionV>
            <wp:extent cx="7089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-385445</wp:posOffset>
            </wp:positionH>
            <wp:positionV relativeFrom="paragraph">
              <wp:posOffset>158115</wp:posOffset>
            </wp:positionV>
            <wp:extent cx="7089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9483"/>
          </w:cols>
          <w:pgMar w:left="976"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004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004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108839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10" w:lineRule="exact"/>
        <w:rPr>
          <w:sz w:val="20"/>
          <w:szCs w:val="20"/>
          <w:color w:val="auto"/>
        </w:rPr>
      </w:pPr>
    </w:p>
    <w:p>
      <w:pPr>
        <w:ind w:right="580"/>
        <w:spacing w:after="0" w:line="299" w:lineRule="auto"/>
        <w:rPr>
          <w:sz w:val="20"/>
          <w:szCs w:val="20"/>
          <w:color w:val="auto"/>
        </w:rPr>
      </w:pPr>
      <w:r>
        <w:rPr>
          <w:rFonts w:ascii="Arial" w:cs="Arial" w:eastAsia="Arial" w:hAnsi="Arial"/>
          <w:sz w:val="54"/>
          <w:szCs w:val="54"/>
          <w:b w:val="1"/>
          <w:bCs w:val="1"/>
          <w:color w:val="001C71"/>
        </w:rPr>
        <w:t>Notice of 2026 Annual General Meeting of Shareholders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480" w:type="dxa"/>
            <w:vAlign w:val="bottom"/>
            <w:shd w:val="clear" w:color="auto" w:fill="F0F0F0"/>
          </w:tcPr>
          <w:p>
            <w:pPr>
              <w:ind w:left="1060"/>
              <w:spacing w:after="0"/>
              <w:rPr>
                <w:sz w:val="20"/>
                <w:szCs w:val="20"/>
                <w:color w:val="auto"/>
              </w:rPr>
            </w:pPr>
            <w:r>
              <w:rPr>
                <w:rFonts w:ascii="Arial" w:cs="Arial" w:eastAsia="Arial" w:hAnsi="Arial"/>
                <w:sz w:val="14"/>
                <w:szCs w:val="14"/>
                <w:b w:val="1"/>
                <w:bCs w:val="1"/>
                <w:color w:val="852166"/>
              </w:rPr>
              <w:t>DATE &amp; TIME</w:t>
            </w:r>
          </w:p>
        </w:tc>
        <w:tc>
          <w:tcPr>
            <w:tcW w:w="3740" w:type="dxa"/>
            <w:vAlign w:val="bottom"/>
            <w:shd w:val="clear" w:color="auto" w:fill="F0F0F0"/>
          </w:tcPr>
          <w:p>
            <w:pPr>
              <w:ind w:left="1080"/>
              <w:spacing w:after="0"/>
              <w:rPr>
                <w:sz w:val="20"/>
                <w:szCs w:val="20"/>
                <w:color w:val="auto"/>
              </w:rPr>
            </w:pPr>
            <w:r>
              <w:rPr>
                <w:rFonts w:ascii="Arial" w:cs="Arial" w:eastAsia="Arial" w:hAnsi="Arial"/>
                <w:sz w:val="14"/>
                <w:szCs w:val="14"/>
                <w:b w:val="1"/>
                <w:bCs w:val="1"/>
                <w:color w:val="852166"/>
              </w:rPr>
              <w:t>LOCATION</w:t>
            </w:r>
          </w:p>
        </w:tc>
        <w:tc>
          <w:tcPr>
            <w:tcW w:w="4020" w:type="dxa"/>
            <w:vAlign w:val="bottom"/>
            <w:shd w:val="clear" w:color="auto" w:fill="F0F0F0"/>
          </w:tcPr>
          <w:p>
            <w:pPr>
              <w:ind w:left="840"/>
              <w:spacing w:after="0"/>
              <w:rPr>
                <w:sz w:val="20"/>
                <w:szCs w:val="20"/>
                <w:color w:val="auto"/>
              </w:rPr>
            </w:pPr>
            <w:r>
              <w:rPr>
                <w:rFonts w:ascii="Arial" w:cs="Arial" w:eastAsia="Arial" w:hAnsi="Arial"/>
                <w:sz w:val="14"/>
                <w:szCs w:val="14"/>
                <w:b w:val="1"/>
                <w:bCs w:val="1"/>
                <w:color w:val="852166"/>
              </w:rPr>
              <w:t>RECORD DATE</w:t>
            </w:r>
          </w:p>
        </w:tc>
      </w:tr>
      <w:tr>
        <w:trPr>
          <w:trHeight w:val="148"/>
        </w:trPr>
        <w:tc>
          <w:tcPr>
            <w:tcW w:w="3480" w:type="dxa"/>
            <w:vAlign w:val="bottom"/>
            <w:shd w:val="clear" w:color="auto" w:fill="F0F0F0"/>
          </w:tcPr>
          <w:p>
            <w:pPr>
              <w:ind w:left="1060"/>
              <w:spacing w:after="0"/>
              <w:rPr>
                <w:sz w:val="20"/>
                <w:szCs w:val="20"/>
                <w:color w:val="auto"/>
              </w:rPr>
            </w:pPr>
            <w:r>
              <w:rPr>
                <w:rFonts w:ascii="Arial" w:cs="Arial" w:eastAsia="Arial" w:hAnsi="Arial"/>
                <w:sz w:val="13"/>
                <w:szCs w:val="13"/>
                <w:color w:val="auto"/>
              </w:rPr>
              <w:t>Thursday, July 23, 2026</w:t>
            </w:r>
          </w:p>
        </w:tc>
        <w:tc>
          <w:tcPr>
            <w:tcW w:w="3740" w:type="dxa"/>
            <w:vAlign w:val="bottom"/>
            <w:shd w:val="clear" w:color="auto" w:fill="F0F0F0"/>
          </w:tcPr>
          <w:p>
            <w:pPr>
              <w:ind w:left="1080"/>
              <w:spacing w:after="0"/>
              <w:rPr>
                <w:sz w:val="20"/>
                <w:szCs w:val="20"/>
                <w:color w:val="auto"/>
              </w:rPr>
            </w:pPr>
            <w:r>
              <w:rPr>
                <w:rFonts w:ascii="Arial" w:cs="Arial" w:eastAsia="Arial" w:hAnsi="Arial"/>
                <w:sz w:val="13"/>
                <w:szCs w:val="13"/>
                <w:color w:val="auto"/>
              </w:rPr>
              <w:t>Fifth Floor, Waterloo Exchange,</w:t>
            </w:r>
          </w:p>
        </w:tc>
        <w:tc>
          <w:tcPr>
            <w:tcW w:w="4020" w:type="dxa"/>
            <w:vAlign w:val="bottom"/>
            <w:shd w:val="clear" w:color="auto" w:fill="F0F0F0"/>
          </w:tcPr>
          <w:p>
            <w:pPr>
              <w:ind w:left="840"/>
              <w:spacing w:after="0"/>
              <w:rPr>
                <w:sz w:val="20"/>
                <w:szCs w:val="20"/>
                <w:color w:val="auto"/>
              </w:rPr>
            </w:pPr>
            <w:r>
              <w:rPr>
                <w:rFonts w:ascii="Arial" w:cs="Arial" w:eastAsia="Arial" w:hAnsi="Arial"/>
                <w:sz w:val="13"/>
                <w:szCs w:val="13"/>
                <w:color w:val="auto"/>
              </w:rPr>
              <w:t>Close of business on</w:t>
            </w:r>
          </w:p>
        </w:tc>
      </w:tr>
      <w:tr>
        <w:trPr>
          <w:trHeight w:val="166"/>
        </w:trPr>
        <w:tc>
          <w:tcPr>
            <w:tcW w:w="3480" w:type="dxa"/>
            <w:vAlign w:val="bottom"/>
            <w:shd w:val="clear" w:color="auto" w:fill="F0F0F0"/>
          </w:tcPr>
          <w:p>
            <w:pPr>
              <w:ind w:left="1060"/>
              <w:spacing w:after="0"/>
              <w:rPr>
                <w:sz w:val="20"/>
                <w:szCs w:val="20"/>
                <w:color w:val="auto"/>
              </w:rPr>
            </w:pPr>
            <w:r>
              <w:rPr>
                <w:rFonts w:ascii="Arial" w:cs="Arial" w:eastAsia="Arial" w:hAnsi="Arial"/>
                <w:sz w:val="13"/>
                <w:szCs w:val="13"/>
                <w:color w:val="auto"/>
              </w:rPr>
              <w:t>9:30 a.m. Local Time</w:t>
            </w:r>
          </w:p>
        </w:tc>
        <w:tc>
          <w:tcPr>
            <w:tcW w:w="3740" w:type="dxa"/>
            <w:vAlign w:val="bottom"/>
            <w:shd w:val="clear" w:color="auto" w:fill="F0F0F0"/>
          </w:tcPr>
          <w:p>
            <w:pPr>
              <w:ind w:left="1080"/>
              <w:spacing w:after="0"/>
              <w:rPr>
                <w:sz w:val="20"/>
                <w:szCs w:val="20"/>
                <w:color w:val="auto"/>
              </w:rPr>
            </w:pPr>
            <w:r>
              <w:rPr>
                <w:rFonts w:ascii="Arial" w:cs="Arial" w:eastAsia="Arial" w:hAnsi="Arial"/>
                <w:sz w:val="13"/>
                <w:szCs w:val="13"/>
                <w:color w:val="auto"/>
              </w:rPr>
              <w:t>Waterloo Road, Dublin 4, Ireland</w:t>
            </w:r>
          </w:p>
        </w:tc>
        <w:tc>
          <w:tcPr>
            <w:tcW w:w="4020" w:type="dxa"/>
            <w:vAlign w:val="bottom"/>
            <w:shd w:val="clear" w:color="auto" w:fill="F0F0F0"/>
          </w:tcPr>
          <w:p>
            <w:pPr>
              <w:ind w:left="840"/>
              <w:spacing w:after="0"/>
              <w:rPr>
                <w:sz w:val="20"/>
                <w:szCs w:val="20"/>
                <w:color w:val="auto"/>
              </w:rPr>
            </w:pPr>
            <w:r>
              <w:rPr>
                <w:rFonts w:ascii="Arial" w:cs="Arial" w:eastAsia="Arial" w:hAnsi="Arial"/>
                <w:sz w:val="13"/>
                <w:szCs w:val="13"/>
                <w:color w:val="auto"/>
              </w:rPr>
              <w:t>May 28, 2026</w:t>
            </w:r>
          </w:p>
        </w:tc>
      </w:tr>
      <w:tr>
        <w:trPr>
          <w:trHeight w:val="95"/>
        </w:trPr>
        <w:tc>
          <w:tcPr>
            <w:tcW w:w="3480" w:type="dxa"/>
            <w:vAlign w:val="bottom"/>
            <w:shd w:val="clear" w:color="auto" w:fill="F0F0F0"/>
          </w:tcPr>
          <w:p>
            <w:pPr>
              <w:spacing w:after="0"/>
              <w:rPr>
                <w:sz w:val="8"/>
                <w:szCs w:val="8"/>
                <w:color w:val="auto"/>
              </w:rPr>
            </w:pPr>
          </w:p>
        </w:tc>
        <w:tc>
          <w:tcPr>
            <w:tcW w:w="3740" w:type="dxa"/>
            <w:vAlign w:val="bottom"/>
            <w:shd w:val="clear" w:color="auto" w:fill="F0F0F0"/>
          </w:tcPr>
          <w:p>
            <w:pPr>
              <w:spacing w:after="0"/>
              <w:rPr>
                <w:sz w:val="8"/>
                <w:szCs w:val="8"/>
                <w:color w:val="auto"/>
              </w:rPr>
            </w:pPr>
          </w:p>
        </w:tc>
        <w:tc>
          <w:tcPr>
            <w:tcW w:w="4020" w:type="dxa"/>
            <w:vAlign w:val="bottom"/>
            <w:shd w:val="clear" w:color="auto" w:fill="F0F0F0"/>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-393700</wp:posOffset>
            </wp:positionV>
            <wp:extent cx="214630"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-393700</wp:posOffset>
            </wp:positionV>
            <wp:extent cx="154305"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4305" cy="21463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-393700</wp:posOffset>
            </wp:positionV>
            <wp:extent cx="13716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 cy="21463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color w:val="852166"/>
        </w:rPr>
        <w:t>Dear Shareholder:</w:t>
      </w:r>
    </w:p>
    <w:p>
      <w:pPr>
        <w:spacing w:after="0" w:line="90" w:lineRule="exact"/>
        <w:rPr>
          <w:sz w:val="20"/>
          <w:szCs w:val="20"/>
          <w:color w:val="auto"/>
        </w:rPr>
      </w:pPr>
    </w:p>
    <w:p>
      <w:pPr>
        <w:ind w:right="240"/>
        <w:spacing w:after="0" w:line="325" w:lineRule="auto"/>
        <w:rPr>
          <w:sz w:val="20"/>
          <w:szCs w:val="20"/>
          <w:color w:val="auto"/>
        </w:rPr>
      </w:pPr>
      <w:r>
        <w:rPr>
          <w:rFonts w:ascii="Arial" w:cs="Arial" w:eastAsia="Arial" w:hAnsi="Arial"/>
          <w:sz w:val="14"/>
          <w:szCs w:val="14"/>
          <w:color w:val="auto"/>
        </w:rPr>
        <w:t>The 2026 annual general meeting of shareholders (“AGM”) of Jazz Pharmaceuticals plc, a public limited company formed under the laws of Ireland, will be held on Thursday, July 23, 2026, at 9:30 a.m. local time at our corporate headquarters located at Fifth Floor, Waterloo Exchange, Waterloo Road, Dublin 4, Ireland, for the following purposes:</w:t>
      </w:r>
    </w:p>
    <w:p>
      <w:pPr>
        <w:sectPr>
          <w:pgSz w:w="11900" w:h="16838" w:orient="portrait"/>
          <w:cols w:equalWidth="0" w:num="1">
            <w:col w:w="11240"/>
          </w:cols>
          <w:pgMar w:left="320" w:top="1440" w:right="339" w:bottom="1440" w:gutter="0" w:footer="0" w:header="0"/>
        </w:sectPr>
      </w:pP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shd w:val="clear" w:color="auto" w:fill="001C71"/>
          </w:tcPr>
          <w:p>
            <w:pPr>
              <w:ind w:left="20"/>
              <w:spacing w:after="0"/>
              <w:rPr>
                <w:sz w:val="20"/>
                <w:szCs w:val="20"/>
                <w:color w:val="auto"/>
              </w:rPr>
            </w:pPr>
            <w:r>
              <w:rPr>
                <w:rFonts w:ascii="Arial" w:cs="Arial" w:eastAsia="Arial" w:hAnsi="Arial"/>
                <w:sz w:val="13"/>
                <w:szCs w:val="13"/>
                <w:b w:val="1"/>
                <w:bCs w:val="1"/>
                <w:color w:val="FFFFFF"/>
              </w:rPr>
              <w:t>Proposal</w:t>
            </w:r>
          </w:p>
        </w:tc>
        <w:tc>
          <w:tcPr>
            <w:tcW w:w="1560" w:type="dxa"/>
            <w:vAlign w:val="bottom"/>
            <w:gridSpan w:val="3"/>
            <w:shd w:val="clear" w:color="auto" w:fill="001C71"/>
          </w:tcPr>
          <w:p>
            <w:pPr>
              <w:ind w:left="20"/>
              <w:spacing w:after="0"/>
              <w:rPr>
                <w:sz w:val="20"/>
                <w:szCs w:val="20"/>
                <w:color w:val="auto"/>
              </w:rPr>
            </w:pPr>
            <w:r>
              <w:rPr>
                <w:rFonts w:ascii="Arial" w:cs="Arial" w:eastAsia="Arial" w:hAnsi="Arial"/>
                <w:sz w:val="13"/>
                <w:szCs w:val="13"/>
                <w:b w:val="1"/>
                <w:bCs w:val="1"/>
                <w:color w:val="FFFFFF"/>
              </w:rPr>
              <w:t>Board Recommendation</w:t>
            </w:r>
          </w:p>
        </w:tc>
        <w:tc>
          <w:tcPr>
            <w:tcW w:w="500" w:type="dxa"/>
            <w:vAlign w:val="bottom"/>
            <w:shd w:val="clear" w:color="auto" w:fill="001C71"/>
          </w:tcPr>
          <w:p>
            <w:pPr>
              <w:ind w:left="80"/>
              <w:spacing w:after="0"/>
              <w:rPr>
                <w:sz w:val="20"/>
                <w:szCs w:val="20"/>
                <w:color w:val="auto"/>
              </w:rPr>
            </w:pPr>
            <w:r>
              <w:rPr>
                <w:rFonts w:ascii="Arial" w:cs="Arial" w:eastAsia="Arial" w:hAnsi="Arial"/>
                <w:sz w:val="13"/>
                <w:szCs w:val="13"/>
                <w:b w:val="1"/>
                <w:bCs w:val="1"/>
                <w:color w:val="FFFFFF"/>
              </w:rPr>
              <w:t>Page</w:t>
            </w:r>
          </w:p>
        </w:tc>
        <w:tc>
          <w:tcPr>
            <w:tcW w:w="0" w:type="dxa"/>
            <w:vAlign w:val="bottom"/>
          </w:tcPr>
          <w:p>
            <w:pPr>
              <w:spacing w:after="0"/>
              <w:rPr>
                <w:sz w:val="1"/>
                <w:szCs w:val="1"/>
                <w:color w:val="auto"/>
              </w:rPr>
            </w:pPr>
          </w:p>
        </w:tc>
      </w:tr>
      <w:tr>
        <w:trPr>
          <w:trHeight w:val="65"/>
        </w:trPr>
        <w:tc>
          <w:tcPr>
            <w:tcW w:w="5420" w:type="dxa"/>
            <w:vAlign w:val="bottom"/>
            <w:shd w:val="clear" w:color="auto" w:fill="001C71"/>
          </w:tcPr>
          <w:p>
            <w:pPr>
              <w:spacing w:after="0"/>
              <w:rPr>
                <w:sz w:val="5"/>
                <w:szCs w:val="5"/>
                <w:color w:val="auto"/>
              </w:rPr>
            </w:pPr>
          </w:p>
        </w:tc>
        <w:tc>
          <w:tcPr>
            <w:tcW w:w="220" w:type="dxa"/>
            <w:vAlign w:val="bottom"/>
            <w:shd w:val="clear" w:color="auto" w:fill="001C71"/>
          </w:tcPr>
          <w:p>
            <w:pPr>
              <w:spacing w:after="0"/>
              <w:rPr>
                <w:sz w:val="5"/>
                <w:szCs w:val="5"/>
                <w:color w:val="auto"/>
              </w:rPr>
            </w:pPr>
          </w:p>
        </w:tc>
        <w:tc>
          <w:tcPr>
            <w:tcW w:w="1340" w:type="dxa"/>
            <w:vAlign w:val="bottom"/>
            <w:gridSpan w:val="2"/>
            <w:shd w:val="clear" w:color="auto" w:fill="001C71"/>
          </w:tcPr>
          <w:p>
            <w:pPr>
              <w:spacing w:after="0"/>
              <w:rPr>
                <w:sz w:val="5"/>
                <w:szCs w:val="5"/>
                <w:color w:val="auto"/>
              </w:rPr>
            </w:pPr>
          </w:p>
        </w:tc>
        <w:tc>
          <w:tcPr>
            <w:tcW w:w="500" w:type="dxa"/>
            <w:vAlign w:val="bottom"/>
            <w:shd w:val="clear" w:color="auto" w:fill="001C71"/>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5420" w:type="dxa"/>
            <w:vAlign w:val="bottom"/>
          </w:tcPr>
          <w:p>
            <w:pPr>
              <w:ind w:left="440"/>
              <w:spacing w:after="0"/>
              <w:rPr>
                <w:sz w:val="20"/>
                <w:szCs w:val="20"/>
                <w:color w:val="auto"/>
              </w:rPr>
            </w:pPr>
            <w:r>
              <w:rPr>
                <w:rFonts w:ascii="Arial" w:cs="Arial" w:eastAsia="Arial" w:hAnsi="Arial"/>
                <w:sz w:val="13"/>
                <w:szCs w:val="13"/>
                <w:color w:val="auto"/>
              </w:rPr>
              <w:t>To elect by separate resolutions each of the three nominees for director named in our</w:t>
            </w:r>
          </w:p>
        </w:tc>
        <w:tc>
          <w:tcPr>
            <w:tcW w:w="2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3"/>
                <w:szCs w:val="13"/>
                <w:b w:val="1"/>
                <w:bCs w:val="1"/>
                <w:color w:val="852166"/>
              </w:rPr>
              <w:t>FOR each nominee</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2"/>
              </w:rPr>
              <w:t>9</w:t>
            </w:r>
          </w:p>
        </w:tc>
        <w:tc>
          <w:tcPr>
            <w:tcW w:w="0" w:type="dxa"/>
            <w:vAlign w:val="bottom"/>
          </w:tcPr>
          <w:p>
            <w:pPr>
              <w:spacing w:after="0"/>
              <w:rPr>
                <w:sz w:val="1"/>
                <w:szCs w:val="1"/>
                <w:color w:val="auto"/>
              </w:rPr>
            </w:pPr>
          </w:p>
        </w:tc>
      </w:tr>
      <w:tr>
        <w:trPr>
          <w:trHeight w:val="98"/>
        </w:trPr>
        <w:tc>
          <w:tcPr>
            <w:tcW w:w="5640" w:type="dxa"/>
            <w:vAlign w:val="bottom"/>
            <w:gridSpan w:val="2"/>
            <w:vMerge w:val="restart"/>
          </w:tcPr>
          <w:p>
            <w:pPr>
              <w:ind w:left="440"/>
              <w:spacing w:after="0"/>
              <w:rPr>
                <w:sz w:val="20"/>
                <w:szCs w:val="20"/>
                <w:color w:val="auto"/>
              </w:rPr>
            </w:pPr>
            <w:r>
              <w:rPr>
                <w:rFonts w:ascii="Arial" w:cs="Arial" w:eastAsia="Arial" w:hAnsi="Arial"/>
                <w:sz w:val="13"/>
                <w:szCs w:val="13"/>
                <w:color w:val="auto"/>
                <w:w w:val="98"/>
              </w:rPr>
              <w:t>accompanying proxy statement to hold office until the 2029 annual meeting of shareholders.</w:t>
            </w:r>
          </w:p>
        </w:tc>
        <w:tc>
          <w:tcPr>
            <w:tcW w:w="140" w:type="dxa"/>
            <w:vAlign w:val="bottom"/>
          </w:tcPr>
          <w:p>
            <w:pPr>
              <w:spacing w:after="0"/>
              <w:rPr>
                <w:sz w:val="8"/>
                <w:szCs w:val="8"/>
                <w:color w:val="auto"/>
              </w:rPr>
            </w:pPr>
          </w:p>
        </w:tc>
        <w:tc>
          <w:tcPr>
            <w:tcW w:w="1200" w:type="dxa"/>
            <w:vAlign w:val="bottom"/>
            <w:vMerge w:val="restart"/>
          </w:tcPr>
          <w:p>
            <w:pPr>
              <w:ind w:left="40"/>
              <w:spacing w:after="0"/>
              <w:rPr>
                <w:sz w:val="20"/>
                <w:szCs w:val="20"/>
                <w:color w:val="auto"/>
              </w:rPr>
            </w:pPr>
            <w:r>
              <w:rPr>
                <w:rFonts w:ascii="Arial" w:cs="Arial" w:eastAsia="Arial" w:hAnsi="Arial"/>
                <w:sz w:val="13"/>
                <w:szCs w:val="13"/>
                <w:b w:val="1"/>
                <w:bCs w:val="1"/>
                <w:color w:val="852166"/>
              </w:rPr>
              <w:t>named herein</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6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420" w:type="dxa"/>
            <w:vAlign w:val="bottom"/>
            <w:tcBorders>
              <w:bottom w:val="single" w:sz="8" w:color="5673B8"/>
            </w:tcBorders>
          </w:tcPr>
          <w:p>
            <w:pPr>
              <w:spacing w:after="0"/>
              <w:rPr>
                <w:sz w:val="7"/>
                <w:szCs w:val="7"/>
                <w:color w:val="auto"/>
              </w:rPr>
            </w:pPr>
          </w:p>
        </w:tc>
        <w:tc>
          <w:tcPr>
            <w:tcW w:w="220" w:type="dxa"/>
            <w:vAlign w:val="bottom"/>
            <w:tcBorders>
              <w:bottom w:val="single" w:sz="8" w:color="5673B8"/>
            </w:tcBorders>
          </w:tcPr>
          <w:p>
            <w:pPr>
              <w:spacing w:after="0"/>
              <w:rPr>
                <w:sz w:val="7"/>
                <w:szCs w:val="7"/>
                <w:color w:val="auto"/>
              </w:rPr>
            </w:pPr>
          </w:p>
        </w:tc>
        <w:tc>
          <w:tcPr>
            <w:tcW w:w="140" w:type="dxa"/>
            <w:vAlign w:val="bottom"/>
            <w:tcBorders>
              <w:bottom w:val="single" w:sz="8" w:color="5673B8"/>
            </w:tcBorders>
          </w:tcPr>
          <w:p>
            <w:pPr>
              <w:spacing w:after="0"/>
              <w:rPr>
                <w:sz w:val="7"/>
                <w:szCs w:val="7"/>
                <w:color w:val="auto"/>
              </w:rPr>
            </w:pPr>
          </w:p>
        </w:tc>
        <w:tc>
          <w:tcPr>
            <w:tcW w:w="1200" w:type="dxa"/>
            <w:vAlign w:val="bottom"/>
            <w:tcBorders>
              <w:bottom w:val="single" w:sz="8" w:color="5673B8"/>
            </w:tcBorders>
          </w:tcPr>
          <w:p>
            <w:pPr>
              <w:spacing w:after="0"/>
              <w:rPr>
                <w:sz w:val="7"/>
                <w:szCs w:val="7"/>
                <w:color w:val="auto"/>
              </w:rPr>
            </w:pPr>
          </w:p>
        </w:tc>
        <w:tc>
          <w:tcPr>
            <w:tcW w:w="50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5420" w:type="dxa"/>
            <w:vAlign w:val="bottom"/>
          </w:tcPr>
          <w:p>
            <w:pPr>
              <w:ind w:left="440"/>
              <w:spacing w:after="0"/>
              <w:rPr>
                <w:sz w:val="20"/>
                <w:szCs w:val="20"/>
                <w:color w:val="auto"/>
              </w:rPr>
            </w:pPr>
            <w:r>
              <w:rPr>
                <w:rFonts w:ascii="Arial" w:cs="Arial" w:eastAsia="Arial" w:hAnsi="Arial"/>
                <w:sz w:val="13"/>
                <w:szCs w:val="13"/>
                <w:color w:val="auto"/>
                <w:w w:val="97"/>
              </w:rPr>
              <w:t>To ratify, on a non-binding advisory basis, the appointment of KPMG as our independent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640" w:type="dxa"/>
            <w:vAlign w:val="bottom"/>
            <w:gridSpan w:val="2"/>
          </w:tcPr>
          <w:p>
            <w:pPr>
              <w:ind w:left="440"/>
              <w:spacing w:after="0"/>
              <w:rPr>
                <w:sz w:val="20"/>
                <w:szCs w:val="20"/>
                <w:color w:val="auto"/>
              </w:rPr>
            </w:pPr>
            <w:r>
              <w:rPr>
                <w:rFonts w:ascii="Arial" w:cs="Arial" w:eastAsia="Arial" w:hAnsi="Arial"/>
                <w:sz w:val="13"/>
                <w:szCs w:val="13"/>
                <w:color w:val="auto"/>
                <w:w w:val="96"/>
              </w:rPr>
              <w:t>auditors for the fiscal year ending December 31, 2026 and to authorize, in a binding vote, our</w:t>
            </w:r>
          </w:p>
        </w:tc>
        <w:tc>
          <w:tcPr>
            <w:tcW w:w="140" w:type="dxa"/>
            <w:vAlign w:val="bottom"/>
          </w:tcPr>
          <w:p>
            <w:pPr>
              <w:spacing w:after="0"/>
              <w:rPr>
                <w:sz w:val="12"/>
                <w:szCs w:val="12"/>
                <w:color w:val="auto"/>
              </w:rPr>
            </w:pPr>
          </w:p>
        </w:tc>
        <w:tc>
          <w:tcPr>
            <w:tcW w:w="1200" w:type="dxa"/>
            <w:vAlign w:val="bottom"/>
            <w:vMerge w:val="restart"/>
          </w:tcPr>
          <w:p>
            <w:pPr>
              <w:ind w:left="360"/>
              <w:spacing w:after="0"/>
              <w:rPr>
                <w:sz w:val="20"/>
                <w:szCs w:val="20"/>
                <w:color w:val="auto"/>
              </w:rPr>
            </w:pPr>
            <w:r>
              <w:rPr>
                <w:rFonts w:ascii="Arial" w:cs="Arial" w:eastAsia="Arial" w:hAnsi="Arial"/>
                <w:sz w:val="13"/>
                <w:szCs w:val="13"/>
                <w:b w:val="1"/>
                <w:bCs w:val="1"/>
                <w:color w:val="852166"/>
              </w:rPr>
              <w:t>FOR</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96"/>
              </w:rPr>
              <w:t>41</w:t>
            </w:r>
          </w:p>
        </w:tc>
        <w:tc>
          <w:tcPr>
            <w:tcW w:w="0" w:type="dxa"/>
            <w:vAlign w:val="bottom"/>
          </w:tcPr>
          <w:p>
            <w:pPr>
              <w:spacing w:after="0"/>
              <w:rPr>
                <w:sz w:val="1"/>
                <w:szCs w:val="1"/>
                <w:color w:val="auto"/>
              </w:rPr>
            </w:pPr>
          </w:p>
        </w:tc>
      </w:tr>
      <w:tr>
        <w:trPr>
          <w:trHeight w:val="104"/>
        </w:trPr>
        <w:tc>
          <w:tcPr>
            <w:tcW w:w="5420" w:type="dxa"/>
            <w:vAlign w:val="bottom"/>
            <w:vMerge w:val="restart"/>
          </w:tcPr>
          <w:p>
            <w:pPr>
              <w:ind w:left="440"/>
              <w:spacing w:after="0"/>
              <w:rPr>
                <w:sz w:val="20"/>
                <w:szCs w:val="20"/>
                <w:color w:val="auto"/>
              </w:rPr>
            </w:pPr>
            <w:r>
              <w:rPr>
                <w:rFonts w:ascii="Arial" w:cs="Arial" w:eastAsia="Arial" w:hAnsi="Arial"/>
                <w:sz w:val="13"/>
                <w:szCs w:val="13"/>
                <w:color w:val="auto"/>
              </w:rPr>
              <w:t>board of directors, acting through our audit committee, to determine the independent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5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5420" w:type="dxa"/>
            <w:vAlign w:val="bottom"/>
          </w:tcPr>
          <w:p>
            <w:pPr>
              <w:ind w:left="440"/>
              <w:spacing w:after="0"/>
              <w:rPr>
                <w:sz w:val="20"/>
                <w:szCs w:val="20"/>
                <w:color w:val="auto"/>
              </w:rPr>
            </w:pPr>
            <w:r>
              <w:rPr>
                <w:rFonts w:ascii="Arial" w:cs="Arial" w:eastAsia="Arial" w:hAnsi="Arial"/>
                <w:sz w:val="13"/>
                <w:szCs w:val="13"/>
                <w:color w:val="auto"/>
              </w:rPr>
              <w:t>auditors’ remuneration.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5780" w:type="dxa"/>
            <w:vAlign w:val="bottom"/>
            <w:tcBorders>
              <w:bottom w:val="single" w:sz="8" w:color="5673B8"/>
            </w:tcBorders>
            <w:gridSpan w:val="3"/>
          </w:tcPr>
          <w:p>
            <w:pPr>
              <w:spacing w:after="0"/>
              <w:rPr>
                <w:sz w:val="7"/>
                <w:szCs w:val="7"/>
                <w:color w:val="auto"/>
              </w:rPr>
            </w:pPr>
          </w:p>
        </w:tc>
        <w:tc>
          <w:tcPr>
            <w:tcW w:w="1200" w:type="dxa"/>
            <w:vAlign w:val="bottom"/>
            <w:tcBorders>
              <w:bottom w:val="single" w:sz="8" w:color="5673B8"/>
            </w:tcBorders>
          </w:tcPr>
          <w:p>
            <w:pPr>
              <w:spacing w:after="0"/>
              <w:rPr>
                <w:sz w:val="7"/>
                <w:szCs w:val="7"/>
                <w:color w:val="auto"/>
              </w:rPr>
            </w:pPr>
          </w:p>
        </w:tc>
        <w:tc>
          <w:tcPr>
            <w:tcW w:w="50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5780" w:type="dxa"/>
            <w:vAlign w:val="bottom"/>
            <w:gridSpan w:val="3"/>
          </w:tcPr>
          <w:p>
            <w:pPr>
              <w:ind w:left="440"/>
              <w:spacing w:after="0"/>
              <w:rPr>
                <w:sz w:val="20"/>
                <w:szCs w:val="20"/>
                <w:color w:val="auto"/>
              </w:rPr>
            </w:pPr>
            <w:r>
              <w:rPr>
                <w:rFonts w:ascii="Arial" w:cs="Arial" w:eastAsia="Arial" w:hAnsi="Arial"/>
                <w:sz w:val="13"/>
                <w:szCs w:val="13"/>
                <w:color w:val="auto"/>
                <w:w w:val="96"/>
              </w:rPr>
              <w:t>To approve, on a non-binding advisory basis, the compensation of our named executive officers</w:t>
            </w:r>
          </w:p>
        </w:tc>
        <w:tc>
          <w:tcPr>
            <w:tcW w:w="1200" w:type="dxa"/>
            <w:vAlign w:val="bottom"/>
            <w:vMerge w:val="restart"/>
          </w:tcPr>
          <w:p>
            <w:pPr>
              <w:ind w:left="360"/>
              <w:spacing w:after="0"/>
              <w:rPr>
                <w:sz w:val="20"/>
                <w:szCs w:val="20"/>
                <w:color w:val="auto"/>
              </w:rPr>
            </w:pPr>
            <w:r>
              <w:rPr>
                <w:rFonts w:ascii="Arial" w:cs="Arial" w:eastAsia="Arial" w:hAnsi="Arial"/>
                <w:sz w:val="13"/>
                <w:szCs w:val="13"/>
                <w:b w:val="1"/>
                <w:bCs w:val="1"/>
                <w:color w:val="852166"/>
              </w:rPr>
              <w:t>FOR</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96"/>
              </w:rPr>
              <w:t>47</w:t>
            </w:r>
          </w:p>
        </w:tc>
        <w:tc>
          <w:tcPr>
            <w:tcW w:w="0" w:type="dxa"/>
            <w:vAlign w:val="bottom"/>
          </w:tcPr>
          <w:p>
            <w:pPr>
              <w:spacing w:after="0"/>
              <w:rPr>
                <w:sz w:val="1"/>
                <w:szCs w:val="1"/>
                <w:color w:val="auto"/>
              </w:rPr>
            </w:pPr>
          </w:p>
        </w:tc>
      </w:tr>
      <w:tr>
        <w:trPr>
          <w:trHeight w:val="91"/>
        </w:trPr>
        <w:tc>
          <w:tcPr>
            <w:tcW w:w="5420" w:type="dxa"/>
            <w:vAlign w:val="bottom"/>
            <w:vMerge w:val="restart"/>
          </w:tcPr>
          <w:p>
            <w:pPr>
              <w:ind w:left="440"/>
              <w:spacing w:after="0"/>
              <w:rPr>
                <w:sz w:val="20"/>
                <w:szCs w:val="20"/>
                <w:color w:val="auto"/>
              </w:rPr>
            </w:pPr>
            <w:r>
              <w:rPr>
                <w:rFonts w:ascii="Arial" w:cs="Arial" w:eastAsia="Arial" w:hAnsi="Arial"/>
                <w:sz w:val="13"/>
                <w:szCs w:val="13"/>
                <w:color w:val="auto"/>
              </w:rPr>
              <w:t>as disclosed in the accompanying proxy statement.</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54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5420" w:type="dxa"/>
            <w:vAlign w:val="bottom"/>
            <w:tcBorders>
              <w:bottom w:val="single" w:sz="8" w:color="5673B8"/>
            </w:tcBorders>
          </w:tcPr>
          <w:p>
            <w:pPr>
              <w:spacing w:after="0"/>
              <w:rPr>
                <w:sz w:val="7"/>
                <w:szCs w:val="7"/>
                <w:color w:val="auto"/>
              </w:rPr>
            </w:pPr>
          </w:p>
        </w:tc>
        <w:tc>
          <w:tcPr>
            <w:tcW w:w="220" w:type="dxa"/>
            <w:vAlign w:val="bottom"/>
            <w:tcBorders>
              <w:bottom w:val="single" w:sz="8" w:color="5673B8"/>
            </w:tcBorders>
          </w:tcPr>
          <w:p>
            <w:pPr>
              <w:spacing w:after="0"/>
              <w:rPr>
                <w:sz w:val="7"/>
                <w:szCs w:val="7"/>
                <w:color w:val="auto"/>
              </w:rPr>
            </w:pPr>
          </w:p>
        </w:tc>
        <w:tc>
          <w:tcPr>
            <w:tcW w:w="140" w:type="dxa"/>
            <w:vAlign w:val="bottom"/>
            <w:tcBorders>
              <w:bottom w:val="single" w:sz="8" w:color="5673B8"/>
            </w:tcBorders>
          </w:tcPr>
          <w:p>
            <w:pPr>
              <w:spacing w:after="0"/>
              <w:rPr>
                <w:sz w:val="7"/>
                <w:szCs w:val="7"/>
                <w:color w:val="auto"/>
              </w:rPr>
            </w:pPr>
          </w:p>
        </w:tc>
        <w:tc>
          <w:tcPr>
            <w:tcW w:w="1200" w:type="dxa"/>
            <w:vAlign w:val="bottom"/>
            <w:tcBorders>
              <w:bottom w:val="single" w:sz="8" w:color="5673B8"/>
            </w:tcBorders>
          </w:tcPr>
          <w:p>
            <w:pPr>
              <w:spacing w:after="0"/>
              <w:rPr>
                <w:sz w:val="7"/>
                <w:szCs w:val="7"/>
                <w:color w:val="auto"/>
              </w:rPr>
            </w:pPr>
          </w:p>
        </w:tc>
        <w:tc>
          <w:tcPr>
            <w:tcW w:w="50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5420" w:type="dxa"/>
            <w:vAlign w:val="bottom"/>
          </w:tcPr>
          <w:p>
            <w:pPr>
              <w:ind w:left="440"/>
              <w:spacing w:after="0"/>
              <w:rPr>
                <w:sz w:val="20"/>
                <w:szCs w:val="20"/>
                <w:color w:val="auto"/>
              </w:rPr>
            </w:pPr>
            <w:r>
              <w:rPr>
                <w:rFonts w:ascii="Arial" w:cs="Arial" w:eastAsia="Arial" w:hAnsi="Arial"/>
                <w:sz w:val="13"/>
                <w:szCs w:val="13"/>
                <w:color w:val="auto"/>
                <w:w w:val="96"/>
              </w:rPr>
              <w:t>To grant our board of directors authority under Irish law to allot and issue ordinary shares.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ind w:left="360"/>
              <w:spacing w:after="0"/>
              <w:rPr>
                <w:sz w:val="20"/>
                <w:szCs w:val="20"/>
                <w:color w:val="auto"/>
              </w:rPr>
            </w:pPr>
            <w:r>
              <w:rPr>
                <w:rFonts w:ascii="Arial" w:cs="Arial" w:eastAsia="Arial" w:hAnsi="Arial"/>
                <w:sz w:val="13"/>
                <w:szCs w:val="13"/>
                <w:b w:val="1"/>
                <w:bCs w:val="1"/>
                <w:color w:val="852166"/>
              </w:rPr>
              <w:t>FOR</w:t>
            </w:r>
          </w:p>
        </w:tc>
        <w:tc>
          <w:tcPr>
            <w:tcW w:w="500" w:type="dxa"/>
            <w:vAlign w:val="bottom"/>
          </w:tcPr>
          <w:p>
            <w:pPr>
              <w:jc w:val="center"/>
              <w:spacing w:after="0"/>
              <w:rPr>
                <w:sz w:val="20"/>
                <w:szCs w:val="20"/>
                <w:color w:val="auto"/>
              </w:rPr>
            </w:pPr>
            <w:r>
              <w:rPr>
                <w:rFonts w:ascii="Arial" w:cs="Arial" w:eastAsia="Arial" w:hAnsi="Arial"/>
                <w:sz w:val="13"/>
                <w:szCs w:val="13"/>
                <w:color w:val="auto"/>
                <w:w w:val="96"/>
              </w:rPr>
              <w:t>97</w:t>
            </w:r>
          </w:p>
        </w:tc>
        <w:tc>
          <w:tcPr>
            <w:tcW w:w="0" w:type="dxa"/>
            <w:vAlign w:val="bottom"/>
          </w:tcPr>
          <w:p>
            <w:pPr>
              <w:spacing w:after="0"/>
              <w:rPr>
                <w:sz w:val="1"/>
                <w:szCs w:val="1"/>
                <w:color w:val="auto"/>
              </w:rPr>
            </w:pPr>
          </w:p>
        </w:tc>
      </w:tr>
      <w:tr>
        <w:trPr>
          <w:trHeight w:val="157"/>
        </w:trPr>
        <w:tc>
          <w:tcPr>
            <w:tcW w:w="5640" w:type="dxa"/>
            <w:vAlign w:val="bottom"/>
            <w:tcBorders>
              <w:bottom w:val="single" w:sz="8" w:color="5673B8"/>
            </w:tcBorders>
            <w:gridSpan w:val="2"/>
          </w:tcPr>
          <w:p>
            <w:pPr>
              <w:spacing w:after="0"/>
              <w:rPr>
                <w:sz w:val="13"/>
                <w:szCs w:val="13"/>
                <w:color w:val="auto"/>
              </w:rPr>
            </w:pPr>
          </w:p>
        </w:tc>
        <w:tc>
          <w:tcPr>
            <w:tcW w:w="140" w:type="dxa"/>
            <w:vAlign w:val="bottom"/>
            <w:tcBorders>
              <w:bottom w:val="single" w:sz="8" w:color="5673B8"/>
            </w:tcBorders>
          </w:tcPr>
          <w:p>
            <w:pPr>
              <w:spacing w:after="0"/>
              <w:rPr>
                <w:sz w:val="13"/>
                <w:szCs w:val="13"/>
                <w:color w:val="auto"/>
              </w:rPr>
            </w:pPr>
          </w:p>
        </w:tc>
        <w:tc>
          <w:tcPr>
            <w:tcW w:w="1200" w:type="dxa"/>
            <w:vAlign w:val="bottom"/>
            <w:tcBorders>
              <w:bottom w:val="single" w:sz="8" w:color="5673B8"/>
            </w:tcBorders>
          </w:tcPr>
          <w:p>
            <w:pPr>
              <w:spacing w:after="0"/>
              <w:rPr>
                <w:sz w:val="13"/>
                <w:szCs w:val="13"/>
                <w:color w:val="auto"/>
              </w:rPr>
            </w:pPr>
          </w:p>
        </w:tc>
        <w:tc>
          <w:tcPr>
            <w:tcW w:w="500" w:type="dxa"/>
            <w:vAlign w:val="bottom"/>
            <w:tcBorders>
              <w:bottom w:val="single" w:sz="8" w:color="5673B8"/>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640" w:type="dxa"/>
            <w:vAlign w:val="bottom"/>
            <w:gridSpan w:val="2"/>
          </w:tcPr>
          <w:p>
            <w:pPr>
              <w:ind w:left="440"/>
              <w:spacing w:after="0"/>
              <w:rPr>
                <w:sz w:val="20"/>
                <w:szCs w:val="20"/>
                <w:color w:val="auto"/>
              </w:rPr>
            </w:pPr>
            <w:r>
              <w:rPr>
                <w:rFonts w:ascii="Arial" w:cs="Arial" w:eastAsia="Arial" w:hAnsi="Arial"/>
                <w:sz w:val="13"/>
                <w:szCs w:val="13"/>
                <w:color w:val="auto"/>
              </w:rPr>
              <w:t>As a special resolution, to grant our board of directors authority under Irish law to allot and</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420" w:type="dxa"/>
            <w:vAlign w:val="bottom"/>
          </w:tcPr>
          <w:p>
            <w:pPr>
              <w:ind w:left="440"/>
              <w:spacing w:after="0"/>
              <w:rPr>
                <w:sz w:val="20"/>
                <w:szCs w:val="20"/>
                <w:color w:val="auto"/>
              </w:rPr>
            </w:pPr>
            <w:r>
              <w:rPr>
                <w:rFonts w:ascii="Arial" w:cs="Arial" w:eastAsia="Arial" w:hAnsi="Arial"/>
                <w:sz w:val="13"/>
                <w:szCs w:val="13"/>
                <w:color w:val="auto"/>
              </w:rPr>
              <w:t>issue ordinary shares for cash without first offering those ordinary shares to existing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ind w:left="360"/>
              <w:spacing w:after="0"/>
              <w:rPr>
                <w:sz w:val="20"/>
                <w:szCs w:val="20"/>
                <w:color w:val="auto"/>
              </w:rPr>
            </w:pPr>
            <w:r>
              <w:rPr>
                <w:rFonts w:ascii="Arial" w:cs="Arial" w:eastAsia="Arial" w:hAnsi="Arial"/>
                <w:sz w:val="13"/>
                <w:szCs w:val="13"/>
                <w:b w:val="1"/>
                <w:bCs w:val="1"/>
                <w:color w:val="852166"/>
              </w:rPr>
              <w:t>FOR</w:t>
            </w:r>
          </w:p>
        </w:tc>
        <w:tc>
          <w:tcPr>
            <w:tcW w:w="500" w:type="dxa"/>
            <w:vAlign w:val="bottom"/>
          </w:tcPr>
          <w:p>
            <w:pPr>
              <w:jc w:val="center"/>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66"/>
        </w:trPr>
        <w:tc>
          <w:tcPr>
            <w:tcW w:w="5420" w:type="dxa"/>
            <w:vAlign w:val="bottom"/>
          </w:tcPr>
          <w:p>
            <w:pPr>
              <w:ind w:left="440"/>
              <w:spacing w:after="0"/>
              <w:rPr>
                <w:sz w:val="20"/>
                <w:szCs w:val="20"/>
                <w:color w:val="auto"/>
              </w:rPr>
            </w:pPr>
            <w:r>
              <w:rPr>
                <w:rFonts w:ascii="Arial" w:cs="Arial" w:eastAsia="Arial" w:hAnsi="Arial"/>
                <w:sz w:val="13"/>
                <w:szCs w:val="13"/>
                <w:color w:val="auto"/>
              </w:rPr>
              <w:t>shareholders pursuant to the statutory pre-emption right that would otherwise apply.</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-1662430</wp:posOffset>
            </wp:positionV>
            <wp:extent cx="16256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-1370965</wp:posOffset>
            </wp:positionV>
            <wp:extent cx="16256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-882015</wp:posOffset>
            </wp:positionV>
            <wp:extent cx="16256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-590550</wp:posOffset>
            </wp:positionV>
            <wp:extent cx="16256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-299085</wp:posOffset>
            </wp:positionV>
            <wp:extent cx="16256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180"/>
        <w:spacing w:after="0" w:line="296" w:lineRule="auto"/>
        <w:rPr>
          <w:sz w:val="20"/>
          <w:szCs w:val="20"/>
          <w:color w:val="auto"/>
        </w:rPr>
      </w:pPr>
      <w:r>
        <w:rPr>
          <w:rFonts w:ascii="Arial" w:cs="Arial" w:eastAsia="Arial" w:hAnsi="Arial"/>
          <w:sz w:val="14"/>
          <w:szCs w:val="14"/>
          <w:color w:val="auto"/>
        </w:rPr>
        <w:t>Whether or not you expect to attend our AGM, please vote as soon as possible. Please see “Questions and Answers—How do I vote?” beginning on page 108 below. You may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1157605" cy="128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57605" cy="1285875"/>
                    </a:xfrm>
                    <a:prstGeom prst="rect">
                      <a:avLst/>
                    </a:prstGeom>
                    <a:noFill/>
                  </pic:spPr>
                </pic:pic>
              </a:graphicData>
            </a:graphic>
          </wp:anchor>
        </w:drawing>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852166"/>
        </w:rPr>
        <w:t>BY TELEPHONE</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1-800-690-6903</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852166"/>
        </w:rPr>
        <w:t>BY INTERNET</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www.proxyvote.com</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852166"/>
        </w:rPr>
        <w:t>BY MAIL</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Complete, sign &amp;</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3"/>
          <w:szCs w:val="13"/>
          <w:color w:val="auto"/>
        </w:rPr>
        <w:t>return proxy card</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852166"/>
        </w:rPr>
        <w:t>IN PERSON</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Attend our AGM</w:t>
      </w:r>
    </w:p>
    <w:p>
      <w:pPr>
        <w:spacing w:after="0" w:line="275" w:lineRule="exact"/>
        <w:rPr>
          <w:sz w:val="20"/>
          <w:szCs w:val="20"/>
          <w:color w:val="auto"/>
        </w:rPr>
      </w:pPr>
    </w:p>
    <w:p>
      <w:pPr>
        <w:sectPr>
          <w:pgSz w:w="11900" w:h="16838" w:orient="portrait"/>
          <w:cols w:equalWidth="0" w:num="2">
            <w:col w:w="7480" w:space="160"/>
            <w:col w:w="3600"/>
          </w:cols>
          <w:pgMar w:left="320" w:top="1440" w:right="339" w:bottom="1440" w:gutter="0" w:footer="0" w:header="0"/>
          <w:type w:val="continuous"/>
        </w:sectPr>
      </w:pPr>
    </w:p>
    <w:p>
      <w:pPr>
        <w:spacing w:after="0" w:line="12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To approve any motion to adjourn the AGM, or any adjournments thereof, to another time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47402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-100330</wp:posOffset>
            </wp:positionV>
            <wp:extent cx="16256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ind w:left="440" w:right="180"/>
        <w:spacing w:after="0" w:line="245" w:lineRule="auto"/>
        <w:rPr>
          <w:sz w:val="20"/>
          <w:szCs w:val="20"/>
          <w:color w:val="auto"/>
        </w:rPr>
      </w:pPr>
      <w:r>
        <w:rPr>
          <w:rFonts w:ascii="Arial" w:cs="Arial" w:eastAsia="Arial" w:hAnsi="Arial"/>
          <w:sz w:val="13"/>
          <w:szCs w:val="13"/>
          <w:color w:val="auto"/>
        </w:rPr>
        <w:t xml:space="preserve">place to solicit additional proxies if there are insufficient votes at the time of the AGM to </w:t>
      </w:r>
      <w:r>
        <w:rPr>
          <w:rFonts w:ascii="Arial" w:cs="Arial" w:eastAsia="Arial" w:hAnsi="Arial"/>
          <w:sz w:val="13"/>
          <w:szCs w:val="13"/>
          <w:b w:val="1"/>
          <w:bCs w:val="1"/>
          <w:color w:val="852166"/>
        </w:rPr>
        <w:t>FOR</w:t>
      </w:r>
      <w:r>
        <w:rPr>
          <w:rFonts w:ascii="Arial" w:cs="Arial" w:eastAsia="Arial" w:hAnsi="Arial"/>
          <w:sz w:val="13"/>
          <w:szCs w:val="13"/>
          <w:color w:val="auto"/>
        </w:rPr>
        <w:t xml:space="preserve"> 103 approve either Proposal 4 or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47402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40275" cy="8890"/>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 conduct any other business properly brought before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47402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40275" cy="8890"/>
                    </a:xfrm>
                    <a:prstGeom prst="rect">
                      <a:avLst/>
                    </a:prstGeom>
                    <a:noFill/>
                  </pic:spPr>
                </pic:pic>
              </a:graphicData>
            </a:graphic>
          </wp:anchor>
        </w:drawing>
      </w:r>
    </w:p>
    <w:p>
      <w:pPr>
        <w:spacing w:after="0" w:line="204"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The full text of these proposals is set forth in our accompanying proxy statement. Only shareholders of record of our Company at the close of business on the record date are eligible to vote at our AGM. A shareholder entitled to attend and vote at our AGM is entitled to appoint one or more proxies to attend, speak and vote instead of him or her at our AGM, using the proxy card provided (or the form of proxy contained in section 184 of the Irish Companies Act 2014) or using an electronic proxy card by telephone or via the internet in the manner described in our proxy statement. A proxy need not be a shareholder of record. During our AGM, management will also present, and our auditors will report to shareholders on, our Irish financial statements for the fiscal year ended December 31, 2025. We recommend that you review the further information on the process for, and deadlines applicable to, voting, attending the AGM and appointing a proxy under the “Questions and Answers” section of our proxy statement. Our proxy statement, our letter to shareholders, our Irish statutory financial statements and our Annual Report on Form 10-K for the fiscal year ended December 31, 2025 are available at https://materials.proxyvote.com/G50871.</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By order of our board of directors,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/s/ Aislinn Doody</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001C71"/>
        </w:rPr>
        <w:t>Aislinn Doody</w:t>
      </w:r>
      <w:r>
        <w:rPr>
          <w:rFonts w:ascii="Arial" w:cs="Arial" w:eastAsia="Arial" w:hAnsi="Arial"/>
          <w:sz w:val="14"/>
          <w:szCs w:val="14"/>
          <w:color w:val="000000"/>
        </w:rPr>
        <w:t>,</w:t>
      </w:r>
      <w:r>
        <w:rPr>
          <w:rFonts w:ascii="Arial" w:cs="Arial" w:eastAsia="Arial" w:hAnsi="Arial"/>
          <w:sz w:val="14"/>
          <w:szCs w:val="14"/>
          <w:b w:val="1"/>
          <w:bCs w:val="1"/>
          <w:color w:val="001C71"/>
        </w:rPr>
        <w:t xml:space="preserve"> </w:t>
      </w:r>
      <w:r>
        <w:rPr>
          <w:rFonts w:ascii="Arial" w:cs="Arial" w:eastAsia="Arial" w:hAnsi="Arial"/>
          <w:sz w:val="12"/>
          <w:szCs w:val="12"/>
          <w:color w:val="000000"/>
        </w:rPr>
        <w:t>Company Secretary | Dublin, Ireland | 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82" w:lineRule="auto"/>
        <w:rPr>
          <w:sz w:val="20"/>
          <w:szCs w:val="20"/>
          <w:color w:val="auto"/>
        </w:rPr>
      </w:pPr>
      <w:r>
        <w:rPr>
          <w:rFonts w:ascii="Arial" w:cs="Arial" w:eastAsia="Arial" w:hAnsi="Arial"/>
          <w:sz w:val="14"/>
          <w:szCs w:val="14"/>
          <w:color w:val="auto"/>
        </w:rPr>
        <w:t>If you received a proxy card or voting instruction card by mail, you may submit your proxy card or voting instruction card by mailing your proxy card or voting instruction card in the envelope provided. Proxy cards must be received by July 22, 2026. Electronic proxy cards submitted via the internet or by telephone must be received by 11:59 p.m., U.S. Eastern Time, on July 22, 2026. It may not be possible to count proxy cards received after the relevant time towards voting. Proxy cards received will be forwarded to our registered office electronically before commencement of the AGM to comply with Irish law. Even if you have voted by proxy, you may still vote in person if you attend the meeting. Please note, however, that if the record holder of your ordinary shares is a broker, bank or other agent, and you wish to vote at our AGM, you must obtain a proxy issued in your name from that record holder.</w:t>
      </w:r>
    </w:p>
    <w:p>
      <w:pPr>
        <w:sectPr>
          <w:pgSz w:w="11900" w:h="16838" w:orient="portrait"/>
          <w:cols w:equalWidth="0" w:num="2">
            <w:col w:w="7500" w:space="140"/>
            <w:col w:w="3600"/>
          </w:cols>
          <w:pgMar w:left="320" w:top="144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9"/>
          <w:szCs w:val="29"/>
          <w:color w:val="852166"/>
        </w:rPr>
        <w:t>Acronyms and Certain Defined Terms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shd w:val="clear" w:color="auto" w:fill="001C71"/>
          </w:tcPr>
          <w:p>
            <w:pPr>
              <w:spacing w:after="0"/>
              <w:rPr>
                <w:sz w:val="18"/>
                <w:szCs w:val="18"/>
                <w:color w:val="auto"/>
              </w:rPr>
            </w:pPr>
          </w:p>
        </w:tc>
        <w:tc>
          <w:tcPr>
            <w:tcW w:w="2820" w:type="dxa"/>
            <w:vAlign w:val="bottom"/>
            <w:shd w:val="clear" w:color="auto" w:fill="001C71"/>
          </w:tcPr>
          <w:p>
            <w:pPr>
              <w:ind w:left="20"/>
              <w:spacing w:after="0"/>
              <w:rPr>
                <w:sz w:val="20"/>
                <w:szCs w:val="20"/>
                <w:color w:val="auto"/>
              </w:rPr>
            </w:pPr>
            <w:r>
              <w:rPr>
                <w:rFonts w:ascii="Arial" w:cs="Arial" w:eastAsia="Arial" w:hAnsi="Arial"/>
                <w:sz w:val="14"/>
                <w:szCs w:val="14"/>
                <w:b w:val="1"/>
                <w:bCs w:val="1"/>
                <w:color w:val="FFFFFF"/>
              </w:rPr>
              <w:t>Acronym</w:t>
            </w:r>
          </w:p>
        </w:tc>
        <w:tc>
          <w:tcPr>
            <w:tcW w:w="8340" w:type="dxa"/>
            <w:vAlign w:val="bottom"/>
            <w:shd w:val="clear" w:color="auto" w:fill="001C71"/>
          </w:tcPr>
          <w:p>
            <w:pPr>
              <w:ind w:left="480"/>
              <w:spacing w:after="0"/>
              <w:rPr>
                <w:sz w:val="20"/>
                <w:szCs w:val="20"/>
                <w:color w:val="auto"/>
              </w:rPr>
            </w:pPr>
            <w:r>
              <w:rPr>
                <w:rFonts w:ascii="Arial" w:cs="Arial" w:eastAsia="Arial" w:hAnsi="Arial"/>
                <w:sz w:val="14"/>
                <w:szCs w:val="14"/>
                <w:b w:val="1"/>
                <w:bCs w:val="1"/>
                <w:color w:val="FFFFFF"/>
              </w:rPr>
              <w:t>Meaning</w:t>
            </w:r>
          </w:p>
        </w:tc>
        <w:tc>
          <w:tcPr>
            <w:tcW w:w="0" w:type="dxa"/>
            <w:vAlign w:val="bottom"/>
          </w:tcPr>
          <w:p>
            <w:pPr>
              <w:spacing w:after="0"/>
              <w:rPr>
                <w:sz w:val="1"/>
                <w:szCs w:val="1"/>
                <w:color w:val="auto"/>
              </w:rPr>
            </w:pPr>
          </w:p>
        </w:tc>
      </w:tr>
      <w:tr>
        <w:trPr>
          <w:trHeight w:val="67"/>
        </w:trPr>
        <w:tc>
          <w:tcPr>
            <w:tcW w:w="80" w:type="dxa"/>
            <w:vAlign w:val="bottom"/>
            <w:shd w:val="clear" w:color="auto" w:fill="001C71"/>
          </w:tcPr>
          <w:p>
            <w:pPr>
              <w:spacing w:after="0"/>
              <w:rPr>
                <w:sz w:val="5"/>
                <w:szCs w:val="5"/>
                <w:color w:val="auto"/>
              </w:rPr>
            </w:pPr>
          </w:p>
        </w:tc>
        <w:tc>
          <w:tcPr>
            <w:tcW w:w="2820" w:type="dxa"/>
            <w:vAlign w:val="bottom"/>
            <w:shd w:val="clear" w:color="auto" w:fill="001C71"/>
          </w:tcPr>
          <w:p>
            <w:pPr>
              <w:spacing w:after="0"/>
              <w:rPr>
                <w:sz w:val="5"/>
                <w:szCs w:val="5"/>
                <w:color w:val="auto"/>
              </w:rPr>
            </w:pPr>
          </w:p>
        </w:tc>
        <w:tc>
          <w:tcPr>
            <w:tcW w:w="8340" w:type="dxa"/>
            <w:vAlign w:val="bottom"/>
            <w:shd w:val="clear" w:color="auto" w:fill="001C71"/>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2007 Directors Plan</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Amended and Restated 2007 Non-Employee Directors Stock Award Plan</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2011 Plan</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2011 Equity Incentive Plan</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2014 Act</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Irish Companies Act 2014</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2023 PSUs</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PSUs granted to NEOs in 2023 for the 2023-2025 performance period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2024 PSUs</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PSUs granted to NEOs in 2024 for the 2024-2026 performance period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2025 Annual Report on Form 10-K</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Annual Report on Form 10-K for the Fiscal Year Ended December 31, 2025</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2025 PSUs</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PSUs granted to NEOs in 2025 for the 2025-2027 performance period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AGM</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Annual General Meeting of Shareholders</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Aon</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Aon’s Human Capital Solutions practice, a division of Aon plc</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Audit Committee</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Audit Committee of our Board</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Azur Merger</w:t>
            </w:r>
          </w:p>
        </w:tc>
        <w:tc>
          <w:tcPr>
            <w:tcW w:w="8340" w:type="dxa"/>
            <w:vAlign w:val="bottom"/>
          </w:tcPr>
          <w:p>
            <w:pPr>
              <w:ind w:left="480"/>
              <w:spacing w:after="0"/>
              <w:rPr>
                <w:sz w:val="20"/>
                <w:szCs w:val="20"/>
                <w:color w:val="auto"/>
              </w:rPr>
            </w:pPr>
            <w:r>
              <w:rPr>
                <w:rFonts w:ascii="Arial" w:cs="Arial" w:eastAsia="Arial" w:hAnsi="Arial"/>
                <w:sz w:val="14"/>
                <w:szCs w:val="14"/>
                <w:color w:val="auto"/>
              </w:rPr>
              <w:t>On January 18, 2012, the businesses of Jazz Pharmaceuticals, Inc. and Azur Pharma, were combined in a merger</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8340" w:type="dxa"/>
            <w:vAlign w:val="bottom"/>
            <w:vMerge w:val="restart"/>
          </w:tcPr>
          <w:p>
            <w:pPr>
              <w:ind w:left="480"/>
              <w:spacing w:after="0"/>
              <w:rPr>
                <w:sz w:val="20"/>
                <w:szCs w:val="20"/>
                <w:color w:val="auto"/>
              </w:rPr>
            </w:pPr>
            <w:r>
              <w:rPr>
                <w:rFonts w:ascii="Arial" w:cs="Arial" w:eastAsia="Arial" w:hAnsi="Arial"/>
                <w:sz w:val="14"/>
                <w:szCs w:val="14"/>
                <w:color w:val="auto"/>
              </w:rPr>
              <w:t>transaction</w:t>
            </w: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2820" w:type="dxa"/>
            <w:vAlign w:val="bottom"/>
          </w:tcPr>
          <w:p>
            <w:pPr>
              <w:spacing w:after="0"/>
              <w:rPr>
                <w:sz w:val="6"/>
                <w:szCs w:val="6"/>
                <w:color w:val="auto"/>
              </w:rPr>
            </w:pPr>
          </w:p>
        </w:tc>
        <w:tc>
          <w:tcPr>
            <w:tcW w:w="8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80" w:type="dxa"/>
            <w:vAlign w:val="bottom"/>
            <w:tcBorders>
              <w:bottom w:val="single" w:sz="8" w:color="5673B8"/>
            </w:tcBorders>
          </w:tcPr>
          <w:p>
            <w:pPr>
              <w:spacing w:after="0"/>
              <w:rPr>
                <w:sz w:val="3"/>
                <w:szCs w:val="3"/>
                <w:color w:val="auto"/>
              </w:rPr>
            </w:pPr>
          </w:p>
        </w:tc>
        <w:tc>
          <w:tcPr>
            <w:tcW w:w="2820" w:type="dxa"/>
            <w:vAlign w:val="bottom"/>
            <w:tcBorders>
              <w:bottom w:val="single" w:sz="8" w:color="5673B8"/>
            </w:tcBorders>
          </w:tcPr>
          <w:p>
            <w:pPr>
              <w:spacing w:after="0"/>
              <w:rPr>
                <w:sz w:val="3"/>
                <w:szCs w:val="3"/>
                <w:color w:val="auto"/>
              </w:rPr>
            </w:pPr>
          </w:p>
        </w:tc>
        <w:tc>
          <w:tcPr>
            <w:tcW w:w="83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80" w:type="dxa"/>
            <w:vAlign w:val="bottom"/>
            <w:tcBorders>
              <w:bottom w:val="single" w:sz="8" w:color="5673B8"/>
            </w:tcBorders>
          </w:tcPr>
          <w:p>
            <w:pPr>
              <w:spacing w:after="0"/>
              <w:rPr>
                <w:sz w:val="18"/>
                <w:szCs w:val="18"/>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Azur Pharma</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Azur Pharma Public Limited Company</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BlackRock</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BlackRock, Inc.</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Board</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The Board of Directors of Jazz Pharmaceuticals plc</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BTC</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biliary tract cancer</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CEO</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Chief Executive Officer</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CFO</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Chief Financial Officer</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Chairperson</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Chairperson of our Board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Chimerix Acquisition</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our acquisition of Chimerix, Inc. on April 21, 2025</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CIC</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Change in control</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CIC Plan</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Amended and Restated Executive Change in Control and Severance Benefit Plan</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CIC PSUs</w:t>
            </w:r>
          </w:p>
        </w:tc>
        <w:tc>
          <w:tcPr>
            <w:tcW w:w="8340" w:type="dxa"/>
            <w:vAlign w:val="bottom"/>
          </w:tcPr>
          <w:p>
            <w:pPr>
              <w:ind w:left="480"/>
              <w:spacing w:after="0"/>
              <w:rPr>
                <w:sz w:val="20"/>
                <w:szCs w:val="20"/>
                <w:color w:val="auto"/>
              </w:rPr>
            </w:pPr>
            <w:r>
              <w:rPr>
                <w:rFonts w:ascii="Arial" w:cs="Arial" w:eastAsia="Arial" w:hAnsi="Arial"/>
                <w:sz w:val="14"/>
                <w:szCs w:val="14"/>
                <w:color w:val="auto"/>
              </w:rPr>
              <w:t>PSUs granted to NEOs in 2023, 2024, 2025 that provide for vesting schedule adjustments or vesting acceleration benefits</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8340" w:type="dxa"/>
            <w:vAlign w:val="bottom"/>
            <w:vMerge w:val="restart"/>
          </w:tcPr>
          <w:p>
            <w:pPr>
              <w:ind w:left="480"/>
              <w:spacing w:after="0"/>
              <w:rPr>
                <w:sz w:val="20"/>
                <w:szCs w:val="20"/>
                <w:color w:val="auto"/>
              </w:rPr>
            </w:pPr>
            <w:r>
              <w:rPr>
                <w:rFonts w:ascii="Arial" w:cs="Arial" w:eastAsia="Arial" w:hAnsi="Arial"/>
                <w:sz w:val="14"/>
                <w:szCs w:val="14"/>
                <w:color w:val="auto"/>
              </w:rPr>
              <w:t>upon certain termination and change in control events</w:t>
            </w: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2820" w:type="dxa"/>
            <w:vAlign w:val="bottom"/>
          </w:tcPr>
          <w:p>
            <w:pPr>
              <w:spacing w:after="0"/>
              <w:rPr>
                <w:sz w:val="6"/>
                <w:szCs w:val="6"/>
                <w:color w:val="auto"/>
              </w:rPr>
            </w:pPr>
          </w:p>
        </w:tc>
        <w:tc>
          <w:tcPr>
            <w:tcW w:w="8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80" w:type="dxa"/>
            <w:vAlign w:val="bottom"/>
            <w:tcBorders>
              <w:bottom w:val="single" w:sz="8" w:color="5673B8"/>
            </w:tcBorders>
          </w:tcPr>
          <w:p>
            <w:pPr>
              <w:spacing w:after="0"/>
              <w:rPr>
                <w:sz w:val="3"/>
                <w:szCs w:val="3"/>
                <w:color w:val="auto"/>
              </w:rPr>
            </w:pPr>
          </w:p>
        </w:tc>
        <w:tc>
          <w:tcPr>
            <w:tcW w:w="2820" w:type="dxa"/>
            <w:vAlign w:val="bottom"/>
            <w:tcBorders>
              <w:bottom w:val="single" w:sz="8" w:color="5673B8"/>
            </w:tcBorders>
          </w:tcPr>
          <w:p>
            <w:pPr>
              <w:spacing w:after="0"/>
              <w:rPr>
                <w:sz w:val="3"/>
                <w:szCs w:val="3"/>
                <w:color w:val="auto"/>
              </w:rPr>
            </w:pPr>
          </w:p>
        </w:tc>
        <w:tc>
          <w:tcPr>
            <w:tcW w:w="83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80" w:type="dxa"/>
            <w:vAlign w:val="bottom"/>
            <w:tcBorders>
              <w:bottom w:val="single" w:sz="8" w:color="5673B8"/>
            </w:tcBorders>
          </w:tcPr>
          <w:p>
            <w:pPr>
              <w:spacing w:after="0"/>
              <w:rPr>
                <w:sz w:val="18"/>
                <w:szCs w:val="18"/>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CISO</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Chief Information and Security Officer</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Clawback Policy</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An Incentive Compensation Recoupment Policy</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COBRA</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Consolidated Omnibus Budget Reconciliation Act</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Code</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Internal Revenue Code</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Compensation Committee</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Compensation and Management Development Committee of our Board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Constitution</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The Constitution of Jazz Pharmaceuticals plc</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COO</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Chief Operating Officer</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CSRD</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EU Corporate Sustainability Reporting Directive</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CSSI</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Corporate Sustainability and Social Impact</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Director Compensation Policy</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Non-Employee Director Compensation Policy</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EC</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Executive Committee</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EGM</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Extraordinary General Meeting</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ERM</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Enterprise Risk Management</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ESG</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Environmental, Social and Governance</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ESPP</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2007 Employee Stock Purchase Plan</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82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ESRS</w:t>
            </w:r>
          </w:p>
        </w:tc>
        <w:tc>
          <w:tcPr>
            <w:tcW w:w="8340" w:type="dxa"/>
            <w:vAlign w:val="bottom"/>
            <w:tcBorders>
              <w:bottom w:val="single" w:sz="8" w:color="5673B8"/>
            </w:tcBorders>
          </w:tcPr>
          <w:p>
            <w:pPr>
              <w:ind w:left="480"/>
              <w:spacing w:after="0"/>
              <w:rPr>
                <w:sz w:val="20"/>
                <w:szCs w:val="20"/>
                <w:color w:val="auto"/>
              </w:rPr>
            </w:pPr>
            <w:r>
              <w:rPr>
                <w:rFonts w:ascii="Arial" w:cs="Arial" w:eastAsia="Arial" w:hAnsi="Arial"/>
                <w:sz w:val="14"/>
                <w:szCs w:val="14"/>
                <w:color w:val="auto"/>
              </w:rPr>
              <w:t>European Sustainability Reporting Standards</w:t>
            </w:r>
          </w:p>
        </w:tc>
        <w:tc>
          <w:tcPr>
            <w:tcW w:w="0" w:type="dxa"/>
            <w:vAlign w:val="bottom"/>
          </w:tcPr>
          <w:p>
            <w:pPr>
              <w:spacing w:after="0"/>
              <w:rPr>
                <w:sz w:val="1"/>
                <w:szCs w:val="1"/>
                <w:color w:val="auto"/>
              </w:rPr>
            </w:pPr>
          </w:p>
        </w:tc>
      </w:tr>
      <w:tr>
        <w:trPr>
          <w:trHeight w:val="1006"/>
        </w:trPr>
        <w:tc>
          <w:tcPr>
            <w:tcW w:w="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8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80" w:type="dxa"/>
            <w:vAlign w:val="bottom"/>
            <w:shd w:val="clear" w:color="auto" w:fill="001C71"/>
          </w:tcPr>
          <w:p>
            <w:pPr>
              <w:spacing w:after="0"/>
              <w:rPr>
                <w:sz w:val="18"/>
                <w:szCs w:val="18"/>
                <w:color w:val="auto"/>
              </w:rPr>
            </w:pPr>
          </w:p>
        </w:tc>
        <w:tc>
          <w:tcPr>
            <w:tcW w:w="2700" w:type="dxa"/>
            <w:vAlign w:val="bottom"/>
            <w:shd w:val="clear" w:color="auto" w:fill="001C71"/>
          </w:tcPr>
          <w:p>
            <w:pPr>
              <w:ind w:left="20"/>
              <w:spacing w:after="0"/>
              <w:rPr>
                <w:sz w:val="20"/>
                <w:szCs w:val="20"/>
                <w:color w:val="auto"/>
              </w:rPr>
            </w:pPr>
            <w:r>
              <w:rPr>
                <w:rFonts w:ascii="Arial" w:cs="Arial" w:eastAsia="Arial" w:hAnsi="Arial"/>
                <w:sz w:val="14"/>
                <w:szCs w:val="14"/>
                <w:b w:val="1"/>
                <w:bCs w:val="1"/>
                <w:color w:val="FFFFFF"/>
              </w:rPr>
              <w:t>Acronym</w:t>
            </w:r>
          </w:p>
        </w:tc>
        <w:tc>
          <w:tcPr>
            <w:tcW w:w="8460" w:type="dxa"/>
            <w:vAlign w:val="bottom"/>
            <w:shd w:val="clear" w:color="auto" w:fill="001C71"/>
          </w:tcPr>
          <w:p>
            <w:pPr>
              <w:ind w:left="600"/>
              <w:spacing w:after="0"/>
              <w:rPr>
                <w:sz w:val="20"/>
                <w:szCs w:val="20"/>
                <w:color w:val="auto"/>
              </w:rPr>
            </w:pPr>
            <w:r>
              <w:rPr>
                <w:rFonts w:ascii="Arial" w:cs="Arial" w:eastAsia="Arial" w:hAnsi="Arial"/>
                <w:sz w:val="14"/>
                <w:szCs w:val="14"/>
                <w:b w:val="1"/>
                <w:bCs w:val="1"/>
                <w:color w:val="FFFFFF"/>
              </w:rPr>
              <w:t>Meaning</w:t>
            </w:r>
          </w:p>
        </w:tc>
        <w:tc>
          <w:tcPr>
            <w:tcW w:w="0" w:type="dxa"/>
            <w:vAlign w:val="bottom"/>
          </w:tcPr>
          <w:p>
            <w:pPr>
              <w:spacing w:after="0"/>
              <w:rPr>
                <w:sz w:val="1"/>
                <w:szCs w:val="1"/>
                <w:color w:val="auto"/>
              </w:rPr>
            </w:pPr>
          </w:p>
        </w:tc>
      </w:tr>
      <w:tr>
        <w:trPr>
          <w:trHeight w:val="81"/>
        </w:trPr>
        <w:tc>
          <w:tcPr>
            <w:tcW w:w="80" w:type="dxa"/>
            <w:vAlign w:val="bottom"/>
            <w:shd w:val="clear" w:color="auto" w:fill="001C71"/>
          </w:tcPr>
          <w:p>
            <w:pPr>
              <w:spacing w:after="0"/>
              <w:rPr>
                <w:sz w:val="7"/>
                <w:szCs w:val="7"/>
                <w:color w:val="auto"/>
              </w:rPr>
            </w:pPr>
          </w:p>
        </w:tc>
        <w:tc>
          <w:tcPr>
            <w:tcW w:w="2700" w:type="dxa"/>
            <w:vAlign w:val="bottom"/>
            <w:shd w:val="clear" w:color="auto" w:fill="001C71"/>
          </w:tcPr>
          <w:p>
            <w:pPr>
              <w:spacing w:after="0"/>
              <w:rPr>
                <w:sz w:val="7"/>
                <w:szCs w:val="7"/>
                <w:color w:val="auto"/>
              </w:rPr>
            </w:pPr>
          </w:p>
        </w:tc>
        <w:tc>
          <w:tcPr>
            <w:tcW w:w="8460" w:type="dxa"/>
            <w:vAlign w:val="bottom"/>
            <w:shd w:val="clear" w:color="auto" w:fill="001C71"/>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Exchange Act</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Securities Exchange Act of 1934, as amended</w:t>
            </w: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FASB ASC 718</w:t>
            </w:r>
          </w:p>
        </w:tc>
        <w:tc>
          <w:tcPr>
            <w:tcW w:w="8460" w:type="dxa"/>
            <w:vAlign w:val="bottom"/>
          </w:tcPr>
          <w:p>
            <w:pPr>
              <w:ind w:left="600"/>
              <w:spacing w:after="0"/>
              <w:rPr>
                <w:sz w:val="20"/>
                <w:szCs w:val="20"/>
                <w:color w:val="auto"/>
              </w:rPr>
            </w:pPr>
            <w:r>
              <w:rPr>
                <w:rFonts w:ascii="Arial" w:cs="Arial" w:eastAsia="Arial" w:hAnsi="Arial"/>
                <w:sz w:val="14"/>
                <w:szCs w:val="14"/>
                <w:color w:val="auto"/>
              </w:rPr>
              <w:t>Financial Accounting Standards Board Accounting Standards Codification Topic 718, Compensation—Stock</w:t>
            </w: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2700" w:type="dxa"/>
            <w:vAlign w:val="bottom"/>
            <w:vMerge w:val="continue"/>
          </w:tcPr>
          <w:p>
            <w:pPr>
              <w:spacing w:after="0"/>
              <w:rPr>
                <w:sz w:val="8"/>
                <w:szCs w:val="8"/>
                <w:color w:val="auto"/>
              </w:rPr>
            </w:pPr>
          </w:p>
        </w:tc>
        <w:tc>
          <w:tcPr>
            <w:tcW w:w="8460" w:type="dxa"/>
            <w:vAlign w:val="bottom"/>
            <w:vMerge w:val="restart"/>
          </w:tcPr>
          <w:p>
            <w:pPr>
              <w:ind w:left="600"/>
              <w:spacing w:after="0"/>
              <w:rPr>
                <w:sz w:val="20"/>
                <w:szCs w:val="20"/>
                <w:color w:val="auto"/>
              </w:rPr>
            </w:pP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2700" w:type="dxa"/>
            <w:vAlign w:val="bottom"/>
          </w:tcPr>
          <w:p>
            <w:pPr>
              <w:spacing w:after="0"/>
              <w:rPr>
                <w:sz w:val="7"/>
                <w:szCs w:val="7"/>
                <w:color w:val="auto"/>
              </w:rPr>
            </w:pPr>
          </w:p>
        </w:tc>
        <w:tc>
          <w:tcPr>
            <w:tcW w:w="8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5673B8"/>
            </w:tcBorders>
          </w:tcPr>
          <w:p>
            <w:pPr>
              <w:spacing w:after="0" w:line="20" w:lineRule="exact"/>
              <w:rPr>
                <w:sz w:val="1"/>
                <w:szCs w:val="1"/>
                <w:color w:val="auto"/>
              </w:rPr>
            </w:pPr>
          </w:p>
        </w:tc>
        <w:tc>
          <w:tcPr>
            <w:tcW w:w="2700" w:type="dxa"/>
            <w:vAlign w:val="bottom"/>
            <w:tcBorders>
              <w:bottom w:val="single" w:sz="8" w:color="5673B8"/>
            </w:tcBorders>
          </w:tcPr>
          <w:p>
            <w:pPr>
              <w:spacing w:after="0" w:line="20" w:lineRule="exact"/>
              <w:rPr>
                <w:sz w:val="1"/>
                <w:szCs w:val="1"/>
                <w:color w:val="auto"/>
              </w:rPr>
            </w:pPr>
          </w:p>
        </w:tc>
        <w:tc>
          <w:tcPr>
            <w:tcW w:w="846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80" w:type="dxa"/>
            <w:vAlign w:val="bottom"/>
            <w:tcBorders>
              <w:bottom w:val="single" w:sz="8" w:color="5673B8"/>
            </w:tcBorders>
          </w:tcPr>
          <w:p>
            <w:pPr>
              <w:spacing w:after="0"/>
              <w:rPr>
                <w:sz w:val="18"/>
                <w:szCs w:val="18"/>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FDA</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U.S. Food and Drug Administration</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GAAP</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U.S. Generally Accepted Accounting Principles</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GEA</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gastroesophageal adenocarcinoma</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GW 2020 Equity Incentive Plan</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The GW 2020 Long-Term Incentive Plan, as amended from time to time</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GW Acquisition</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The acquisition in May 2021 of GW Pharmaceuticals plc by Jazz Pharmaceuticals plc</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i-CARE</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Our principles of Integrity, Compliance, Accountability, Respect and Ethics</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IND</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Investigational New Drug</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LID</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Lead Independent Director</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KPMG</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KPMG, Dublin, our registered public accounting firm</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Nasdaq</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NDA</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New Drug Application</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Nominating Committee</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Nominating and Corporate Governance Committee of our Board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Notice</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Notice of Internet Availability</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NEOs</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Named Executive Officers</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NYSE</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PCAOB</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Public Company Accounting Oversight Board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PEO</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Principal Executive Officer</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PSU</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Performance-Based Restricted Stock Unit</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RSUs</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Restricted Stock Units</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R&amp;D</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Research and Development</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SEC</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U.S. Securities and Exchange Commission</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Securities Act</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Securities Act of 1933, as amended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Severance Plan</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Executive Committee Severance Benefit Plan</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SG&amp;A</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Selling, General and Administrative</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sNDA</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supplemental NDA</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SMC</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Science and Medicine Committee of our Board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Succession Committee</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Succession Committee of our Board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Transaction Committee</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Transaction Committee of our Board</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TSR</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Total Shareholder Return</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U.S.</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United States of America</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7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USD</w:t>
            </w:r>
          </w:p>
        </w:tc>
        <w:tc>
          <w:tcPr>
            <w:tcW w:w="8460" w:type="dxa"/>
            <w:vAlign w:val="bottom"/>
            <w:tcBorders>
              <w:bottom w:val="single" w:sz="8" w:color="5673B8"/>
            </w:tcBorders>
          </w:tcPr>
          <w:p>
            <w:pPr>
              <w:ind w:left="600"/>
              <w:spacing w:after="0"/>
              <w:rPr>
                <w:sz w:val="20"/>
                <w:szCs w:val="20"/>
                <w:color w:val="auto"/>
              </w:rPr>
            </w:pPr>
            <w:r>
              <w:rPr>
                <w:rFonts w:ascii="Arial" w:cs="Arial" w:eastAsia="Arial" w:hAnsi="Arial"/>
                <w:sz w:val="14"/>
                <w:szCs w:val="14"/>
                <w:color w:val="auto"/>
              </w:rPr>
              <w:t>United States Dollar</w:t>
            </w:r>
          </w:p>
        </w:tc>
        <w:tc>
          <w:tcPr>
            <w:tcW w:w="0" w:type="dxa"/>
            <w:vAlign w:val="bottom"/>
          </w:tcPr>
          <w:p>
            <w:pPr>
              <w:spacing w:after="0"/>
              <w:rPr>
                <w:sz w:val="1"/>
                <w:szCs w:val="1"/>
                <w:color w:val="auto"/>
              </w:rPr>
            </w:pPr>
          </w:p>
        </w:tc>
      </w:tr>
      <w:tr>
        <w:trPr>
          <w:trHeight w:val="223"/>
        </w:trPr>
        <w:tc>
          <w:tcPr>
            <w:tcW w:w="80" w:type="dxa"/>
            <w:vAlign w:val="bottom"/>
            <w:tcBorders>
              <w:bottom w:val="single" w:sz="8" w:color="852166"/>
            </w:tcBorders>
          </w:tcPr>
          <w:p>
            <w:pPr>
              <w:spacing w:after="0"/>
              <w:rPr>
                <w:sz w:val="19"/>
                <w:szCs w:val="19"/>
                <w:color w:val="auto"/>
              </w:rPr>
            </w:pPr>
          </w:p>
        </w:tc>
        <w:tc>
          <w:tcPr>
            <w:tcW w:w="2700" w:type="dxa"/>
            <w:vAlign w:val="bottom"/>
            <w:tcBorders>
              <w:bottom w:val="single" w:sz="8" w:color="852166"/>
            </w:tcBorders>
          </w:tcPr>
          <w:p>
            <w:pPr>
              <w:ind w:left="20"/>
              <w:spacing w:after="0"/>
              <w:rPr>
                <w:sz w:val="20"/>
                <w:szCs w:val="20"/>
                <w:color w:val="auto"/>
              </w:rPr>
            </w:pPr>
            <w:r>
              <w:rPr>
                <w:rFonts w:ascii="Arial" w:cs="Arial" w:eastAsia="Arial" w:hAnsi="Arial"/>
                <w:sz w:val="14"/>
                <w:szCs w:val="14"/>
                <w:b w:val="1"/>
                <w:bCs w:val="1"/>
                <w:color w:val="852166"/>
              </w:rPr>
              <w:t>Website</w:t>
            </w:r>
          </w:p>
        </w:tc>
        <w:tc>
          <w:tcPr>
            <w:tcW w:w="8460" w:type="dxa"/>
            <w:vAlign w:val="bottom"/>
            <w:tcBorders>
              <w:bottom w:val="single" w:sz="8" w:color="852166"/>
            </w:tcBorders>
          </w:tcPr>
          <w:p>
            <w:pPr>
              <w:ind w:left="600"/>
              <w:spacing w:after="0"/>
              <w:rPr>
                <w:sz w:val="20"/>
                <w:szCs w:val="20"/>
                <w:color w:val="auto"/>
              </w:rPr>
            </w:pPr>
            <w:r>
              <w:rPr>
                <w:rFonts w:ascii="Arial" w:cs="Arial" w:eastAsia="Arial" w:hAnsi="Arial"/>
                <w:sz w:val="14"/>
                <w:szCs w:val="14"/>
                <w:color w:val="auto"/>
              </w:rPr>
              <w:t>Our Company website, www.jazzpharmaceuticals.com</w:t>
            </w:r>
          </w:p>
        </w:tc>
        <w:tc>
          <w:tcPr>
            <w:tcW w:w="0" w:type="dxa"/>
            <w:vAlign w:val="bottom"/>
          </w:tcPr>
          <w:p>
            <w:pPr>
              <w:spacing w:after="0"/>
              <w:rPr>
                <w:sz w:val="1"/>
                <w:szCs w:val="1"/>
                <w:color w:val="auto"/>
              </w:rPr>
            </w:pPr>
          </w:p>
        </w:tc>
      </w:tr>
      <w:tr>
        <w:trPr>
          <w:trHeight w:val="1019"/>
        </w:trPr>
        <w:tc>
          <w:tcPr>
            <w:tcW w:w="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8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108839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53"/>
          <w:szCs w:val="53"/>
          <w:b w:val="1"/>
          <w:bCs w:val="1"/>
          <w:color w:val="001C7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0637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PROXY SUMMARY</w:t>
            </w:r>
          </w:p>
        </w:tc>
        <w:tc>
          <w:tcPr>
            <w:tcW w:w="84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870064"/>
              </w:rPr>
              <w:t>1</w:t>
            </w:r>
          </w:p>
        </w:tc>
      </w:tr>
      <w:tr>
        <w:trPr>
          <w:trHeight w:val="208"/>
        </w:trPr>
        <w:tc>
          <w:tcPr>
            <w:tcW w:w="4580" w:type="dxa"/>
            <w:vAlign w:val="bottom"/>
          </w:tcPr>
          <w:p>
            <w:pPr>
              <w:ind w:left="20"/>
              <w:spacing w:after="0"/>
              <w:rPr>
                <w:sz w:val="20"/>
                <w:szCs w:val="20"/>
                <w:color w:val="auto"/>
              </w:rPr>
            </w:pPr>
            <w:r>
              <w:rPr>
                <w:rFonts w:ascii="Arial" w:cs="Arial" w:eastAsia="Arial" w:hAnsi="Arial"/>
                <w:sz w:val="14"/>
                <w:szCs w:val="14"/>
                <w:color w:val="auto"/>
              </w:rPr>
              <w:t>Voting Roadmap</w:t>
            </w: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16"/>
        </w:trPr>
        <w:tc>
          <w:tcPr>
            <w:tcW w:w="458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OUR BOARD</w:t>
            </w:r>
          </w:p>
        </w:tc>
        <w:tc>
          <w:tcPr>
            <w:tcW w:w="84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870064"/>
              </w:rPr>
              <w:t>4</w:t>
            </w:r>
          </w:p>
        </w:tc>
      </w:tr>
      <w:tr>
        <w:trPr>
          <w:trHeight w:val="208"/>
        </w:trPr>
        <w:tc>
          <w:tcPr>
            <w:tcW w:w="4580" w:type="dxa"/>
            <w:vAlign w:val="bottom"/>
          </w:tcPr>
          <w:p>
            <w:pPr>
              <w:ind w:left="20"/>
              <w:spacing w:after="0"/>
              <w:rPr>
                <w:sz w:val="20"/>
                <w:szCs w:val="20"/>
                <w:color w:val="auto"/>
              </w:rPr>
            </w:pPr>
            <w:r>
              <w:rPr>
                <w:rFonts w:ascii="Arial" w:cs="Arial" w:eastAsia="Arial" w:hAnsi="Arial"/>
                <w:sz w:val="14"/>
                <w:szCs w:val="14"/>
                <w:color w:val="auto"/>
              </w:rPr>
              <w:t>Director Skills, Experience and Background</w:t>
            </w: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Board Evaluation</w:t>
            </w: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Board Refreshment</w:t>
            </w: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Director Re-Nominations</w:t>
            </w: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Director Term Limits and Mandatory Retirement Age</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Process for Shareholders to Recommend Director Nominees</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Director Commitments</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17"/>
        </w:trPr>
        <w:tc>
          <w:tcPr>
            <w:tcW w:w="458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001C71"/>
              </w:rPr>
              <w:t>PROPOSAL 1 — Election of Directors</w:t>
            </w:r>
          </w:p>
        </w:tc>
        <w:tc>
          <w:tcPr>
            <w:tcW w:w="84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9</w:t>
            </w:r>
          </w:p>
        </w:tc>
      </w:tr>
      <w:tr>
        <w:trPr>
          <w:trHeight w:val="208"/>
        </w:trPr>
        <w:tc>
          <w:tcPr>
            <w:tcW w:w="4580" w:type="dxa"/>
            <w:vAlign w:val="bottom"/>
          </w:tcPr>
          <w:p>
            <w:pPr>
              <w:ind w:left="20"/>
              <w:spacing w:after="0"/>
              <w:rPr>
                <w:sz w:val="20"/>
                <w:szCs w:val="20"/>
                <w:color w:val="auto"/>
              </w:rPr>
            </w:pPr>
            <w:r>
              <w:rPr>
                <w:rFonts w:ascii="Arial" w:cs="Arial" w:eastAsia="Arial" w:hAnsi="Arial"/>
                <w:sz w:val="14"/>
                <w:szCs w:val="14"/>
                <w:color w:val="auto"/>
              </w:rPr>
              <w:t>Our 2026 Director Nominees</w:t>
            </w: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Directors Continuing in Office</w:t>
            </w: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17"/>
        </w:trPr>
        <w:tc>
          <w:tcPr>
            <w:tcW w:w="458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DIRECTOR COMPENSATION</w:t>
            </w:r>
          </w:p>
        </w:tc>
        <w:tc>
          <w:tcPr>
            <w:tcW w:w="84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870064"/>
              </w:rPr>
              <w:t>19</w:t>
            </w:r>
          </w:p>
        </w:tc>
      </w:tr>
      <w:tr>
        <w:trPr>
          <w:trHeight w:val="208"/>
        </w:trPr>
        <w:tc>
          <w:tcPr>
            <w:tcW w:w="4580" w:type="dxa"/>
            <w:vAlign w:val="bottom"/>
          </w:tcPr>
          <w:p>
            <w:pPr>
              <w:ind w:left="20"/>
              <w:spacing w:after="0"/>
              <w:rPr>
                <w:sz w:val="20"/>
                <w:szCs w:val="20"/>
                <w:color w:val="auto"/>
              </w:rPr>
            </w:pPr>
            <w:r>
              <w:rPr>
                <w:rFonts w:ascii="Arial" w:cs="Arial" w:eastAsia="Arial" w:hAnsi="Arial"/>
                <w:sz w:val="14"/>
                <w:szCs w:val="14"/>
                <w:color w:val="auto"/>
              </w:rPr>
              <w:t>Directors Compensation Policy</w:t>
            </w:r>
          </w:p>
        </w:tc>
        <w:tc>
          <w:tcPr>
            <w:tcW w:w="84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Directors Continuing Education</w:t>
            </w: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Share Ownership Guidelines for Directors</w:t>
            </w:r>
          </w:p>
        </w:tc>
        <w:tc>
          <w:tcPr>
            <w:tcW w:w="8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1"/>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Equity Compensation Plans</w:t>
            </w:r>
          </w:p>
        </w:tc>
        <w:tc>
          <w:tcPr>
            <w:tcW w:w="8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2025 Equity Grants</w:t>
            </w:r>
          </w:p>
        </w:tc>
        <w:tc>
          <w:tcPr>
            <w:tcW w:w="8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Director Compensation Table</w:t>
            </w:r>
          </w:p>
        </w:tc>
        <w:tc>
          <w:tcPr>
            <w:tcW w:w="84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17"/>
        </w:trPr>
        <w:tc>
          <w:tcPr>
            <w:tcW w:w="458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CORPORATE GOVERNANCE</w:t>
            </w:r>
          </w:p>
        </w:tc>
        <w:tc>
          <w:tcPr>
            <w:tcW w:w="84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870064"/>
              </w:rPr>
              <w:t>23</w:t>
            </w:r>
          </w:p>
        </w:tc>
      </w:tr>
      <w:tr>
        <w:trPr>
          <w:trHeight w:val="208"/>
        </w:trPr>
        <w:tc>
          <w:tcPr>
            <w:tcW w:w="4580" w:type="dxa"/>
            <w:vAlign w:val="bottom"/>
          </w:tcPr>
          <w:p>
            <w:pPr>
              <w:ind w:left="20"/>
              <w:spacing w:after="0"/>
              <w:rPr>
                <w:sz w:val="20"/>
                <w:szCs w:val="20"/>
                <w:color w:val="auto"/>
              </w:rPr>
            </w:pPr>
            <w:r>
              <w:rPr>
                <w:rFonts w:ascii="Arial" w:cs="Arial" w:eastAsia="Arial" w:hAnsi="Arial"/>
                <w:sz w:val="14"/>
                <w:szCs w:val="14"/>
                <w:color w:val="auto"/>
              </w:rPr>
              <w:t>Overview</w:t>
            </w:r>
          </w:p>
        </w:tc>
        <w:tc>
          <w:tcPr>
            <w:tcW w:w="8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Board Composition</w:t>
            </w:r>
          </w:p>
        </w:tc>
        <w:tc>
          <w:tcPr>
            <w:tcW w:w="8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Board Leadership Structure</w:t>
            </w:r>
          </w:p>
        </w:tc>
        <w:tc>
          <w:tcPr>
            <w:tcW w:w="8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Independence of our Board</w:t>
            </w:r>
          </w:p>
        </w:tc>
        <w:tc>
          <w:tcPr>
            <w:tcW w:w="84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Board Management and Oversight</w:t>
            </w:r>
          </w:p>
        </w:tc>
        <w:tc>
          <w:tcPr>
            <w:tcW w:w="84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Board Operations</w:t>
            </w: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Committees of our Board</w:t>
            </w: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Shareholder Engagement</w:t>
            </w:r>
          </w:p>
        </w:tc>
        <w:tc>
          <w:tcPr>
            <w:tcW w:w="8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Certain Relationships and Related Party Transactions</w:t>
            </w:r>
          </w:p>
        </w:tc>
        <w:tc>
          <w:tcPr>
            <w:tcW w:w="8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Additional Corporate Governance Information</w:t>
            </w:r>
          </w:p>
        </w:tc>
        <w:tc>
          <w:tcPr>
            <w:tcW w:w="8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2"/>
        </w:trPr>
        <w:tc>
          <w:tcPr>
            <w:tcW w:w="4580" w:type="dxa"/>
            <w:vAlign w:val="bottom"/>
            <w:tcBorders>
              <w:bottom w:val="single" w:sz="8" w:color="5673B8"/>
            </w:tcBorders>
          </w:tcPr>
          <w:p>
            <w:pPr>
              <w:spacing w:after="0" w:line="20" w:lineRule="exact"/>
              <w:rPr>
                <w:sz w:val="1"/>
                <w:szCs w:val="1"/>
                <w:color w:val="auto"/>
              </w:rPr>
            </w:pPr>
          </w:p>
        </w:tc>
        <w:tc>
          <w:tcPr>
            <w:tcW w:w="840" w:type="dxa"/>
            <w:vAlign w:val="bottom"/>
            <w:tcBorders>
              <w:bottom w:val="single" w:sz="8" w:color="5673B8"/>
            </w:tcBorders>
          </w:tcPr>
          <w:p>
            <w:pPr>
              <w:spacing w:after="0" w:line="20" w:lineRule="exact"/>
              <w:rPr>
                <w:sz w:val="1"/>
                <w:szCs w:val="1"/>
                <w:color w:val="auto"/>
              </w:rPr>
            </w:pPr>
          </w:p>
        </w:tc>
      </w:tr>
      <w:tr>
        <w:trPr>
          <w:trHeight w:val="216"/>
        </w:trPr>
        <w:tc>
          <w:tcPr>
            <w:tcW w:w="458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AUDIT MATTERS</w:t>
            </w:r>
          </w:p>
        </w:tc>
        <w:tc>
          <w:tcPr>
            <w:tcW w:w="84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870064"/>
              </w:rPr>
              <w:t>41</w:t>
            </w:r>
          </w:p>
        </w:tc>
      </w:tr>
      <w:tr>
        <w:trPr>
          <w:trHeight w:val="207"/>
        </w:trPr>
        <w:tc>
          <w:tcPr>
            <w:tcW w:w="4580" w:type="dxa"/>
            <w:vAlign w:val="bottom"/>
          </w:tcPr>
          <w:p>
            <w:pPr>
              <w:ind w:left="20"/>
              <w:spacing w:after="0"/>
              <w:rPr>
                <w:sz w:val="20"/>
                <w:szCs w:val="20"/>
                <w:color w:val="auto"/>
              </w:rPr>
            </w:pPr>
            <w:r>
              <w:rPr>
                <w:rFonts w:ascii="Arial" w:cs="Arial" w:eastAsia="Arial" w:hAnsi="Arial"/>
                <w:sz w:val="14"/>
                <w:szCs w:val="14"/>
                <w:b w:val="1"/>
                <w:bCs w:val="1"/>
                <w:color w:val="001C71"/>
              </w:rPr>
              <w:t>PROPOSAL 2 — Ratify the Appointment and Approve the</w:t>
            </w:r>
          </w:p>
        </w:tc>
        <w:tc>
          <w:tcPr>
            <w:tcW w:w="840" w:type="dxa"/>
            <w:vAlign w:val="bottom"/>
          </w:tcPr>
          <w:p>
            <w:pPr>
              <w:spacing w:after="0"/>
              <w:rPr>
                <w:sz w:val="17"/>
                <w:szCs w:val="17"/>
                <w:color w:val="auto"/>
              </w:rPr>
            </w:pPr>
          </w:p>
        </w:tc>
      </w:tr>
      <w:tr>
        <w:trPr>
          <w:trHeight w:val="196"/>
        </w:trPr>
        <w:tc>
          <w:tcPr>
            <w:tcW w:w="4580" w:type="dxa"/>
            <w:vAlign w:val="bottom"/>
          </w:tcPr>
          <w:p>
            <w:pPr>
              <w:ind w:left="20"/>
              <w:spacing w:after="0"/>
              <w:rPr>
                <w:sz w:val="20"/>
                <w:szCs w:val="20"/>
                <w:color w:val="auto"/>
              </w:rPr>
            </w:pPr>
            <w:r>
              <w:rPr>
                <w:rFonts w:ascii="Arial" w:cs="Arial" w:eastAsia="Arial" w:hAnsi="Arial"/>
                <w:sz w:val="14"/>
                <w:szCs w:val="14"/>
                <w:b w:val="1"/>
                <w:bCs w:val="1"/>
                <w:color w:val="001C71"/>
              </w:rPr>
              <w:t>Remuneration of the Auditor</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001C71"/>
              </w:rPr>
              <w:t>41</w:t>
            </w:r>
          </w:p>
        </w:tc>
      </w:tr>
      <w:tr>
        <w:trPr>
          <w:trHeight w:val="69"/>
        </w:trPr>
        <w:tc>
          <w:tcPr>
            <w:tcW w:w="4580" w:type="dxa"/>
            <w:vAlign w:val="bottom"/>
            <w:tcBorders>
              <w:bottom w:val="single" w:sz="8" w:color="5673B8"/>
            </w:tcBorders>
          </w:tcPr>
          <w:p>
            <w:pPr>
              <w:spacing w:after="0"/>
              <w:rPr>
                <w:sz w:val="6"/>
                <w:szCs w:val="6"/>
                <w:color w:val="auto"/>
              </w:rPr>
            </w:pPr>
          </w:p>
        </w:tc>
        <w:tc>
          <w:tcPr>
            <w:tcW w:w="840" w:type="dxa"/>
            <w:vAlign w:val="bottom"/>
            <w:tcBorders>
              <w:bottom w:val="single" w:sz="8" w:color="5673B8"/>
            </w:tcBorders>
          </w:tcPr>
          <w:p>
            <w:pPr>
              <w:spacing w:after="0"/>
              <w:rPr>
                <w:sz w:val="6"/>
                <w:szCs w:val="6"/>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20"/>
                <w:szCs w:val="20"/>
                <w:color w:val="auto"/>
              </w:rPr>
            </w:pPr>
            <w:r>
              <w:rPr>
                <w:rFonts w:ascii="Arial" w:cs="Arial" w:eastAsia="Arial" w:hAnsi="Arial"/>
                <w:sz w:val="14"/>
                <w:szCs w:val="14"/>
                <w:color w:val="auto"/>
              </w:rPr>
              <w:t>Annual Evaluation and Selection of Independent Auditor</w:t>
            </w:r>
          </w:p>
        </w:tc>
        <w:tc>
          <w:tcPr>
            <w:tcW w:w="52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4900" w:type="dxa"/>
            <w:vAlign w:val="bottom"/>
            <w:tcBorders>
              <w:bottom w:val="single" w:sz="8" w:color="5673B8"/>
            </w:tcBorders>
          </w:tcPr>
          <w:p>
            <w:pPr>
              <w:spacing w:after="0"/>
              <w:rPr>
                <w:sz w:val="20"/>
                <w:szCs w:val="20"/>
                <w:color w:val="auto"/>
              </w:rPr>
            </w:pPr>
            <w:r>
              <w:rPr>
                <w:rFonts w:ascii="Arial" w:cs="Arial" w:eastAsia="Arial" w:hAnsi="Arial"/>
                <w:sz w:val="14"/>
                <w:szCs w:val="14"/>
                <w:color w:val="auto"/>
              </w:rPr>
              <w:t>Independent Registered Public Accounting Firm Fees and Services</w:t>
            </w:r>
          </w:p>
        </w:tc>
        <w:tc>
          <w:tcPr>
            <w:tcW w:w="52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5"/>
        </w:trPr>
        <w:tc>
          <w:tcPr>
            <w:tcW w:w="4900" w:type="dxa"/>
            <w:vAlign w:val="bottom"/>
          </w:tcPr>
          <w:p>
            <w:pPr>
              <w:spacing w:after="0"/>
              <w:rPr>
                <w:sz w:val="20"/>
                <w:szCs w:val="20"/>
                <w:color w:val="auto"/>
              </w:rPr>
            </w:pPr>
            <w:r>
              <w:rPr>
                <w:rFonts w:ascii="Arial" w:cs="Arial" w:eastAsia="Arial" w:hAnsi="Arial"/>
                <w:sz w:val="14"/>
                <w:szCs w:val="14"/>
                <w:color w:val="auto"/>
              </w:rPr>
              <w:t>Pre-Approval Policies and Procedures</w:t>
            </w:r>
          </w:p>
        </w:tc>
        <w:tc>
          <w:tcPr>
            <w:tcW w:w="52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4"/>
                <w:szCs w:val="14"/>
                <w:color w:val="auto"/>
              </w:rPr>
              <w:t>Independence</w:t>
            </w:r>
          </w:p>
        </w:tc>
        <w:tc>
          <w:tcPr>
            <w:tcW w:w="52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900" w:type="dxa"/>
            <w:vAlign w:val="bottom"/>
          </w:tcPr>
          <w:p>
            <w:pPr>
              <w:spacing w:after="0"/>
              <w:rPr>
                <w:sz w:val="20"/>
                <w:szCs w:val="20"/>
                <w:color w:val="auto"/>
              </w:rPr>
            </w:pPr>
            <w:r>
              <w:rPr>
                <w:rFonts w:ascii="Arial" w:cs="Arial" w:eastAsia="Arial" w:hAnsi="Arial"/>
                <w:sz w:val="14"/>
                <w:szCs w:val="14"/>
                <w:color w:val="auto"/>
              </w:rPr>
              <w:t>Report of our Audit Committee</w:t>
            </w:r>
          </w:p>
        </w:tc>
        <w:tc>
          <w:tcPr>
            <w:tcW w:w="52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900" w:type="dxa"/>
            <w:vAlign w:val="bottom"/>
            <w:tcBorders>
              <w:bottom w:val="single" w:sz="8" w:color="5673B8"/>
            </w:tcBorders>
          </w:tcPr>
          <w:p>
            <w:pPr>
              <w:spacing w:after="0"/>
              <w:rPr>
                <w:sz w:val="20"/>
                <w:szCs w:val="20"/>
                <w:color w:val="auto"/>
              </w:rPr>
            </w:pPr>
            <w:r>
              <w:rPr>
                <w:rFonts w:ascii="Arial" w:cs="Arial" w:eastAsia="Arial" w:hAnsi="Arial"/>
                <w:sz w:val="14"/>
                <w:szCs w:val="14"/>
                <w:b w:val="1"/>
                <w:bCs w:val="1"/>
                <w:color w:val="852166"/>
              </w:rPr>
              <w:t>EXECUTIVE OFFICERS</w:t>
            </w:r>
          </w:p>
        </w:tc>
        <w:tc>
          <w:tcPr>
            <w:tcW w:w="52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870064"/>
              </w:rPr>
              <w:t>44</w:t>
            </w:r>
          </w:p>
        </w:tc>
        <w:tc>
          <w:tcPr>
            <w:tcW w:w="0" w:type="dxa"/>
            <w:vAlign w:val="bottom"/>
          </w:tcPr>
          <w:p>
            <w:pPr>
              <w:spacing w:after="0"/>
              <w:rPr>
                <w:sz w:val="1"/>
                <w:szCs w:val="1"/>
                <w:color w:val="auto"/>
              </w:rPr>
            </w:pPr>
          </w:p>
        </w:tc>
      </w:tr>
      <w:tr>
        <w:trPr>
          <w:trHeight w:val="207"/>
        </w:trPr>
        <w:tc>
          <w:tcPr>
            <w:tcW w:w="4900" w:type="dxa"/>
            <w:vAlign w:val="bottom"/>
          </w:tcPr>
          <w:p>
            <w:pPr>
              <w:spacing w:after="0"/>
              <w:rPr>
                <w:sz w:val="20"/>
                <w:szCs w:val="20"/>
                <w:color w:val="auto"/>
              </w:rPr>
            </w:pPr>
            <w:r>
              <w:rPr>
                <w:rFonts w:ascii="Arial" w:cs="Arial" w:eastAsia="Arial" w:hAnsi="Arial"/>
                <w:sz w:val="14"/>
                <w:szCs w:val="14"/>
                <w:b w:val="1"/>
                <w:bCs w:val="1"/>
                <w:color w:val="001C71"/>
              </w:rPr>
              <w:t>PROPOSAL 3 — Non-Binding Advisory Vote on Executive</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20"/>
                <w:szCs w:val="20"/>
                <w:color w:val="auto"/>
              </w:rPr>
            </w:pPr>
            <w:r>
              <w:rPr>
                <w:rFonts w:ascii="Arial" w:cs="Arial" w:eastAsia="Arial" w:hAnsi="Arial"/>
                <w:sz w:val="14"/>
                <w:szCs w:val="14"/>
                <w:b w:val="1"/>
                <w:bCs w:val="1"/>
                <w:color w:val="001C71"/>
              </w:rPr>
              <w:t>Compensation</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001C71"/>
              </w:rPr>
              <w:t>47</w:t>
            </w:r>
          </w:p>
        </w:tc>
        <w:tc>
          <w:tcPr>
            <w:tcW w:w="0" w:type="dxa"/>
            <w:vAlign w:val="bottom"/>
          </w:tcPr>
          <w:p>
            <w:pPr>
              <w:spacing w:after="0"/>
              <w:rPr>
                <w:sz w:val="1"/>
                <w:szCs w:val="1"/>
                <w:color w:val="auto"/>
              </w:rPr>
            </w:pPr>
          </w:p>
        </w:tc>
      </w:tr>
      <w:tr>
        <w:trPr>
          <w:trHeight w:val="70"/>
        </w:trPr>
        <w:tc>
          <w:tcPr>
            <w:tcW w:w="4900" w:type="dxa"/>
            <w:vAlign w:val="bottom"/>
            <w:tcBorders>
              <w:bottom w:val="single" w:sz="8" w:color="5673B8"/>
            </w:tcBorders>
          </w:tcPr>
          <w:p>
            <w:pPr>
              <w:spacing w:after="0"/>
              <w:rPr>
                <w:sz w:val="6"/>
                <w:szCs w:val="6"/>
                <w:color w:val="auto"/>
              </w:rPr>
            </w:pPr>
          </w:p>
        </w:tc>
        <w:tc>
          <w:tcPr>
            <w:tcW w:w="520" w:type="dxa"/>
            <w:vAlign w:val="bottom"/>
            <w:tcBorders>
              <w:bottom w:val="single" w:sz="8" w:color="5673B8"/>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4900" w:type="dxa"/>
            <w:vAlign w:val="bottom"/>
            <w:tcBorders>
              <w:bottom w:val="single" w:sz="8" w:color="5673B8"/>
            </w:tcBorders>
          </w:tcPr>
          <w:p>
            <w:pPr>
              <w:spacing w:after="0"/>
              <w:rPr>
                <w:sz w:val="20"/>
                <w:szCs w:val="20"/>
                <w:color w:val="auto"/>
              </w:rPr>
            </w:pPr>
            <w:r>
              <w:rPr>
                <w:rFonts w:ascii="Arial" w:cs="Arial" w:eastAsia="Arial" w:hAnsi="Arial"/>
                <w:sz w:val="14"/>
                <w:szCs w:val="14"/>
                <w:b w:val="1"/>
                <w:bCs w:val="1"/>
                <w:color w:val="852166"/>
              </w:rPr>
              <w:t>EXECUTIVE COMPENSATION</w:t>
            </w:r>
          </w:p>
        </w:tc>
        <w:tc>
          <w:tcPr>
            <w:tcW w:w="52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870064"/>
              </w:rPr>
              <w:t>48</w:t>
            </w:r>
          </w:p>
        </w:tc>
        <w:tc>
          <w:tcPr>
            <w:tcW w:w="0" w:type="dxa"/>
            <w:vAlign w:val="bottom"/>
          </w:tcPr>
          <w:p>
            <w:pPr>
              <w:spacing w:after="0"/>
              <w:rPr>
                <w:sz w:val="1"/>
                <w:szCs w:val="1"/>
                <w:color w:val="auto"/>
              </w:rPr>
            </w:pPr>
          </w:p>
        </w:tc>
      </w:tr>
      <w:tr>
        <w:trPr>
          <w:trHeight w:val="208"/>
        </w:trPr>
        <w:tc>
          <w:tcPr>
            <w:tcW w:w="4900" w:type="dxa"/>
            <w:vAlign w:val="bottom"/>
          </w:tcPr>
          <w:p>
            <w:pPr>
              <w:spacing w:after="0"/>
              <w:rPr>
                <w:sz w:val="20"/>
                <w:szCs w:val="20"/>
                <w:color w:val="auto"/>
              </w:rPr>
            </w:pPr>
            <w:r>
              <w:rPr>
                <w:rFonts w:ascii="Arial" w:cs="Arial" w:eastAsia="Arial" w:hAnsi="Arial"/>
                <w:sz w:val="14"/>
                <w:szCs w:val="14"/>
                <w:color w:val="auto"/>
              </w:rPr>
              <w:t>Compensation Discussion and Analysis</w:t>
            </w:r>
          </w:p>
        </w:tc>
        <w:tc>
          <w:tcPr>
            <w:tcW w:w="52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4"/>
                <w:szCs w:val="14"/>
                <w:color w:val="auto"/>
              </w:rPr>
              <w:t>Compensation Committee Report</w:t>
            </w:r>
          </w:p>
        </w:tc>
        <w:tc>
          <w:tcPr>
            <w:tcW w:w="52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900" w:type="dxa"/>
            <w:vAlign w:val="bottom"/>
          </w:tcPr>
          <w:p>
            <w:pPr>
              <w:spacing w:after="0"/>
              <w:rPr>
                <w:sz w:val="20"/>
                <w:szCs w:val="20"/>
                <w:color w:val="auto"/>
              </w:rPr>
            </w:pPr>
            <w:r>
              <w:rPr>
                <w:rFonts w:ascii="Arial" w:cs="Arial" w:eastAsia="Arial" w:hAnsi="Arial"/>
                <w:sz w:val="14"/>
                <w:szCs w:val="14"/>
                <w:color w:val="auto"/>
              </w:rPr>
              <w:t>Executive Compensation Summary</w:t>
            </w:r>
          </w:p>
        </w:tc>
        <w:tc>
          <w:tcPr>
            <w:tcW w:w="52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4"/>
                <w:szCs w:val="14"/>
                <w:color w:val="auto"/>
              </w:rPr>
              <w:t>Grants of Plan-Based Awards in Fiscal 2025</w:t>
            </w:r>
          </w:p>
        </w:tc>
        <w:tc>
          <w:tcPr>
            <w:tcW w:w="52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4"/>
                <w:szCs w:val="14"/>
                <w:color w:val="auto"/>
              </w:rPr>
              <w:t>Description of Compensation Arrangements</w:t>
            </w:r>
          </w:p>
        </w:tc>
        <w:tc>
          <w:tcPr>
            <w:tcW w:w="52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900" w:type="dxa"/>
            <w:vAlign w:val="bottom"/>
          </w:tcPr>
          <w:p>
            <w:pPr>
              <w:spacing w:after="0"/>
              <w:rPr>
                <w:sz w:val="20"/>
                <w:szCs w:val="20"/>
                <w:color w:val="auto"/>
              </w:rPr>
            </w:pPr>
            <w:r>
              <w:rPr>
                <w:rFonts w:ascii="Arial" w:cs="Arial" w:eastAsia="Arial" w:hAnsi="Arial"/>
                <w:sz w:val="14"/>
                <w:szCs w:val="14"/>
                <w:color w:val="auto"/>
              </w:rPr>
              <w:t>Outstanding Equity Awards at Fiscal Year-End</w:t>
            </w:r>
          </w:p>
        </w:tc>
        <w:tc>
          <w:tcPr>
            <w:tcW w:w="52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900" w:type="dxa"/>
            <w:vAlign w:val="bottom"/>
          </w:tcPr>
          <w:p>
            <w:pPr>
              <w:spacing w:after="0"/>
              <w:rPr>
                <w:sz w:val="20"/>
                <w:szCs w:val="20"/>
                <w:color w:val="auto"/>
              </w:rPr>
            </w:pPr>
            <w:r>
              <w:rPr>
                <w:rFonts w:ascii="Arial" w:cs="Arial" w:eastAsia="Arial" w:hAnsi="Arial"/>
                <w:sz w:val="14"/>
                <w:szCs w:val="14"/>
                <w:color w:val="auto"/>
              </w:rPr>
              <w:t>Option Exercises and Stock Vested in Fiscal Year 2025</w:t>
            </w:r>
          </w:p>
        </w:tc>
        <w:tc>
          <w:tcPr>
            <w:tcW w:w="52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4"/>
                <w:szCs w:val="14"/>
                <w:color w:val="auto"/>
              </w:rPr>
              <w:t>Potential Payments upon Termination or Change in Control</w:t>
            </w:r>
          </w:p>
        </w:tc>
        <w:tc>
          <w:tcPr>
            <w:tcW w:w="52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1"/>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4"/>
                <w:szCs w:val="14"/>
                <w:color w:val="auto"/>
              </w:rPr>
              <w:t>Pay Ratio Disclosure</w:t>
            </w:r>
          </w:p>
        </w:tc>
        <w:tc>
          <w:tcPr>
            <w:tcW w:w="52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900" w:type="dxa"/>
            <w:vAlign w:val="bottom"/>
          </w:tcPr>
          <w:p>
            <w:pPr>
              <w:spacing w:after="0"/>
              <w:rPr>
                <w:sz w:val="20"/>
                <w:szCs w:val="20"/>
                <w:color w:val="auto"/>
              </w:rPr>
            </w:pPr>
            <w:r>
              <w:rPr>
                <w:rFonts w:ascii="Arial" w:cs="Arial" w:eastAsia="Arial" w:hAnsi="Arial"/>
                <w:sz w:val="14"/>
                <w:szCs w:val="14"/>
                <w:color w:val="auto"/>
              </w:rPr>
              <w:t>Item 402(v) Pay versus Performance</w:t>
            </w:r>
          </w:p>
        </w:tc>
        <w:tc>
          <w:tcPr>
            <w:tcW w:w="52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900" w:type="dxa"/>
            <w:vAlign w:val="bottom"/>
          </w:tcPr>
          <w:p>
            <w:pPr>
              <w:spacing w:after="0"/>
              <w:rPr>
                <w:sz w:val="20"/>
                <w:szCs w:val="20"/>
                <w:color w:val="auto"/>
              </w:rPr>
            </w:pPr>
            <w:r>
              <w:rPr>
                <w:rFonts w:ascii="Arial" w:cs="Arial" w:eastAsia="Arial" w:hAnsi="Arial"/>
                <w:sz w:val="14"/>
                <w:szCs w:val="14"/>
                <w:color w:val="auto"/>
              </w:rPr>
              <w:t>Compensation Consultant Fees</w:t>
            </w:r>
          </w:p>
        </w:tc>
        <w:tc>
          <w:tcPr>
            <w:tcW w:w="52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9"/>
        </w:trPr>
        <w:tc>
          <w:tcPr>
            <w:tcW w:w="4900" w:type="dxa"/>
            <w:vAlign w:val="bottom"/>
          </w:tcPr>
          <w:p>
            <w:pPr>
              <w:spacing w:after="0"/>
              <w:rPr>
                <w:sz w:val="20"/>
                <w:szCs w:val="20"/>
                <w:color w:val="auto"/>
              </w:rPr>
            </w:pPr>
            <w:r>
              <w:rPr>
                <w:rFonts w:ascii="Arial" w:cs="Arial" w:eastAsia="Arial" w:hAnsi="Arial"/>
                <w:sz w:val="14"/>
                <w:szCs w:val="14"/>
                <w:b w:val="1"/>
                <w:bCs w:val="1"/>
                <w:color w:val="001C71"/>
              </w:rPr>
              <w:t>PROPOSAL 4 — Board Authority to Allot and Issue Ordinary Shares</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001C71"/>
              </w:rPr>
              <w:t>97</w:t>
            </w:r>
          </w:p>
        </w:tc>
        <w:tc>
          <w:tcPr>
            <w:tcW w:w="0" w:type="dxa"/>
            <w:vAlign w:val="bottom"/>
          </w:tcPr>
          <w:p>
            <w:pPr>
              <w:spacing w:after="0"/>
              <w:rPr>
                <w:sz w:val="1"/>
                <w:szCs w:val="1"/>
                <w:color w:val="auto"/>
              </w:rPr>
            </w:pPr>
          </w:p>
        </w:tc>
      </w:tr>
      <w:tr>
        <w:trPr>
          <w:trHeight w:val="68"/>
        </w:trPr>
        <w:tc>
          <w:tcPr>
            <w:tcW w:w="49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4900" w:type="dxa"/>
            <w:vAlign w:val="bottom"/>
            <w:tcBorders>
              <w:bottom w:val="single" w:sz="8" w:color="5673B8"/>
            </w:tcBorders>
          </w:tcPr>
          <w:p>
            <w:pPr>
              <w:spacing w:after="0"/>
              <w:rPr>
                <w:sz w:val="6"/>
                <w:szCs w:val="6"/>
                <w:color w:val="auto"/>
              </w:rPr>
            </w:pPr>
          </w:p>
        </w:tc>
        <w:tc>
          <w:tcPr>
            <w:tcW w:w="520" w:type="dxa"/>
            <w:vAlign w:val="bottom"/>
            <w:tcBorders>
              <w:bottom w:val="single" w:sz="8" w:color="5673B8"/>
            </w:tcBorders>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4900" w:type="dxa"/>
            <w:vAlign w:val="bottom"/>
          </w:tcPr>
          <w:p>
            <w:pPr>
              <w:spacing w:after="0"/>
              <w:rPr>
                <w:sz w:val="20"/>
                <w:szCs w:val="20"/>
                <w:color w:val="auto"/>
              </w:rPr>
            </w:pPr>
            <w:r>
              <w:rPr>
                <w:rFonts w:ascii="Arial" w:cs="Arial" w:eastAsia="Arial" w:hAnsi="Arial"/>
                <w:sz w:val="14"/>
                <w:szCs w:val="14"/>
                <w:b w:val="1"/>
                <w:bCs w:val="1"/>
                <w:color w:val="001C71"/>
              </w:rPr>
              <w:t>PROPOSAL 5 — Board Authority to Allot and Issue Ordinary Shares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20"/>
                <w:szCs w:val="20"/>
                <w:color w:val="auto"/>
              </w:rPr>
            </w:pPr>
            <w:r>
              <w:rPr>
                <w:rFonts w:ascii="Arial" w:cs="Arial" w:eastAsia="Arial" w:hAnsi="Arial"/>
                <w:sz w:val="14"/>
                <w:szCs w:val="14"/>
                <w:b w:val="1"/>
                <w:bCs w:val="1"/>
                <w:color w:val="001C71"/>
              </w:rPr>
              <w:t>for Cash Without First Offering Shares to Existing Shareholders</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001C71"/>
              </w:rPr>
              <w:t>101</w:t>
            </w:r>
          </w:p>
        </w:tc>
        <w:tc>
          <w:tcPr>
            <w:tcW w:w="0" w:type="dxa"/>
            <w:vAlign w:val="bottom"/>
          </w:tcPr>
          <w:p>
            <w:pPr>
              <w:spacing w:after="0"/>
              <w:rPr>
                <w:sz w:val="1"/>
                <w:szCs w:val="1"/>
                <w:color w:val="auto"/>
              </w:rPr>
            </w:pPr>
          </w:p>
        </w:tc>
      </w:tr>
      <w:tr>
        <w:trPr>
          <w:trHeight w:val="81"/>
        </w:trPr>
        <w:tc>
          <w:tcPr>
            <w:tcW w:w="49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4900" w:type="dxa"/>
            <w:vAlign w:val="bottom"/>
            <w:tcBorders>
              <w:bottom w:val="single" w:sz="8" w:color="5673B8"/>
            </w:tcBorders>
          </w:tcPr>
          <w:p>
            <w:pPr>
              <w:spacing w:after="0"/>
              <w:rPr>
                <w:sz w:val="6"/>
                <w:szCs w:val="6"/>
                <w:color w:val="auto"/>
              </w:rPr>
            </w:pPr>
          </w:p>
        </w:tc>
        <w:tc>
          <w:tcPr>
            <w:tcW w:w="520" w:type="dxa"/>
            <w:vAlign w:val="bottom"/>
            <w:tcBorders>
              <w:bottom w:val="single" w:sz="8" w:color="5673B8"/>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4900" w:type="dxa"/>
            <w:vAlign w:val="bottom"/>
            <w:tcBorders>
              <w:bottom w:val="single" w:sz="8" w:color="5673B8"/>
            </w:tcBorders>
          </w:tcPr>
          <w:p>
            <w:pPr>
              <w:spacing w:after="0"/>
              <w:rPr>
                <w:sz w:val="20"/>
                <w:szCs w:val="20"/>
                <w:color w:val="auto"/>
              </w:rPr>
            </w:pPr>
            <w:r>
              <w:rPr>
                <w:rFonts w:ascii="Arial" w:cs="Arial" w:eastAsia="Arial" w:hAnsi="Arial"/>
                <w:sz w:val="14"/>
                <w:szCs w:val="14"/>
                <w:b w:val="1"/>
                <w:bCs w:val="1"/>
                <w:color w:val="001C71"/>
              </w:rPr>
              <w:t>PROPOSAL 6 — Adjournment Proposal</w:t>
            </w:r>
          </w:p>
        </w:tc>
        <w:tc>
          <w:tcPr>
            <w:tcW w:w="52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103</w:t>
            </w:r>
          </w:p>
        </w:tc>
        <w:tc>
          <w:tcPr>
            <w:tcW w:w="0" w:type="dxa"/>
            <w:vAlign w:val="bottom"/>
          </w:tcPr>
          <w:p>
            <w:pPr>
              <w:spacing w:after="0"/>
              <w:rPr>
                <w:sz w:val="1"/>
                <w:szCs w:val="1"/>
                <w:color w:val="auto"/>
              </w:rPr>
            </w:pPr>
          </w:p>
        </w:tc>
      </w:tr>
      <w:tr>
        <w:trPr>
          <w:trHeight w:val="207"/>
        </w:trPr>
        <w:tc>
          <w:tcPr>
            <w:tcW w:w="4900" w:type="dxa"/>
            <w:vAlign w:val="bottom"/>
          </w:tcPr>
          <w:p>
            <w:pPr>
              <w:spacing w:after="0"/>
              <w:rPr>
                <w:sz w:val="20"/>
                <w:szCs w:val="20"/>
                <w:color w:val="auto"/>
              </w:rPr>
            </w:pPr>
            <w:r>
              <w:rPr>
                <w:rFonts w:ascii="Arial" w:cs="Arial" w:eastAsia="Arial" w:hAnsi="Arial"/>
                <w:sz w:val="14"/>
                <w:szCs w:val="14"/>
                <w:b w:val="1"/>
                <w:bCs w:val="1"/>
                <w:color w:val="852166"/>
              </w:rPr>
              <w:t>SECURITY OWNERSHIP OF CERTAIN BENEFICIAL OWNERS AND</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20"/>
                <w:szCs w:val="20"/>
                <w:color w:val="auto"/>
              </w:rPr>
            </w:pPr>
            <w:r>
              <w:rPr>
                <w:rFonts w:ascii="Arial" w:cs="Arial" w:eastAsia="Arial" w:hAnsi="Arial"/>
                <w:sz w:val="14"/>
                <w:szCs w:val="14"/>
                <w:b w:val="1"/>
                <w:bCs w:val="1"/>
                <w:color w:val="852166"/>
              </w:rPr>
              <w:t>MANAGEMENT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852166"/>
              </w:rPr>
              <w:t>104</w:t>
            </w:r>
          </w:p>
        </w:tc>
        <w:tc>
          <w:tcPr>
            <w:tcW w:w="0" w:type="dxa"/>
            <w:vAlign w:val="bottom"/>
          </w:tcPr>
          <w:p>
            <w:pPr>
              <w:spacing w:after="0"/>
              <w:rPr>
                <w:sz w:val="1"/>
                <w:szCs w:val="1"/>
                <w:color w:val="auto"/>
              </w:rPr>
            </w:pPr>
          </w:p>
        </w:tc>
      </w:tr>
      <w:tr>
        <w:trPr>
          <w:trHeight w:val="70"/>
        </w:trPr>
        <w:tc>
          <w:tcPr>
            <w:tcW w:w="4900" w:type="dxa"/>
            <w:vAlign w:val="bottom"/>
            <w:tcBorders>
              <w:bottom w:val="single" w:sz="8" w:color="5673B8"/>
            </w:tcBorders>
          </w:tcPr>
          <w:p>
            <w:pPr>
              <w:spacing w:after="0"/>
              <w:rPr>
                <w:sz w:val="6"/>
                <w:szCs w:val="6"/>
                <w:color w:val="auto"/>
              </w:rPr>
            </w:pPr>
          </w:p>
        </w:tc>
        <w:tc>
          <w:tcPr>
            <w:tcW w:w="520" w:type="dxa"/>
            <w:vAlign w:val="bottom"/>
            <w:tcBorders>
              <w:bottom w:val="single" w:sz="8" w:color="5673B8"/>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5673B8"/>
            </w:tcBorders>
          </w:tcPr>
          <w:p>
            <w:pPr>
              <w:spacing w:after="0"/>
              <w:rPr>
                <w:sz w:val="20"/>
                <w:szCs w:val="20"/>
                <w:color w:val="auto"/>
              </w:rPr>
            </w:pPr>
            <w:r>
              <w:rPr>
                <w:rFonts w:ascii="Arial" w:cs="Arial" w:eastAsia="Arial" w:hAnsi="Arial"/>
                <w:sz w:val="14"/>
                <w:szCs w:val="14"/>
                <w:b w:val="1"/>
                <w:bCs w:val="1"/>
                <w:color w:val="852166"/>
              </w:rPr>
              <w:t>ADDITIONAL INFORMATION</w:t>
            </w:r>
          </w:p>
        </w:tc>
        <w:tc>
          <w:tcPr>
            <w:tcW w:w="52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852166"/>
              </w:rPr>
              <w:t>106</w:t>
            </w:r>
          </w:p>
        </w:tc>
        <w:tc>
          <w:tcPr>
            <w:tcW w:w="0" w:type="dxa"/>
            <w:vAlign w:val="bottom"/>
          </w:tcPr>
          <w:p>
            <w:pPr>
              <w:spacing w:after="0"/>
              <w:rPr>
                <w:sz w:val="1"/>
                <w:szCs w:val="1"/>
                <w:color w:val="auto"/>
              </w:rPr>
            </w:pPr>
          </w:p>
        </w:tc>
      </w:tr>
      <w:tr>
        <w:trPr>
          <w:trHeight w:val="208"/>
        </w:trPr>
        <w:tc>
          <w:tcPr>
            <w:tcW w:w="4900" w:type="dxa"/>
            <w:vAlign w:val="bottom"/>
          </w:tcPr>
          <w:p>
            <w:pPr>
              <w:spacing w:after="0"/>
              <w:rPr>
                <w:sz w:val="20"/>
                <w:szCs w:val="20"/>
                <w:color w:val="auto"/>
              </w:rPr>
            </w:pPr>
            <w:r>
              <w:rPr>
                <w:rFonts w:ascii="Arial" w:cs="Arial" w:eastAsia="Arial" w:hAnsi="Arial"/>
                <w:sz w:val="14"/>
                <w:szCs w:val="14"/>
                <w:color w:val="auto"/>
              </w:rPr>
              <w:t>Special Note Regarding Forward-Looking Statements</w:t>
            </w:r>
          </w:p>
        </w:tc>
        <w:tc>
          <w:tcPr>
            <w:tcW w:w="52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900" w:type="dxa"/>
            <w:vAlign w:val="bottom"/>
          </w:tcPr>
          <w:p>
            <w:pPr>
              <w:spacing w:after="0"/>
              <w:rPr>
                <w:sz w:val="20"/>
                <w:szCs w:val="20"/>
                <w:color w:val="auto"/>
              </w:rPr>
            </w:pPr>
            <w:r>
              <w:rPr>
                <w:rFonts w:ascii="Arial" w:cs="Arial" w:eastAsia="Arial" w:hAnsi="Arial"/>
                <w:sz w:val="14"/>
                <w:szCs w:val="14"/>
                <w:color w:val="auto"/>
              </w:rPr>
              <w:t>Householding of Proxy Materials</w:t>
            </w:r>
          </w:p>
        </w:tc>
        <w:tc>
          <w:tcPr>
            <w:tcW w:w="52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900" w:type="dxa"/>
            <w:vAlign w:val="bottom"/>
          </w:tcPr>
          <w:p>
            <w:pPr>
              <w:spacing w:after="0"/>
              <w:rPr>
                <w:sz w:val="20"/>
                <w:szCs w:val="20"/>
                <w:color w:val="auto"/>
              </w:rPr>
            </w:pPr>
            <w:r>
              <w:rPr>
                <w:rFonts w:ascii="Arial" w:cs="Arial" w:eastAsia="Arial" w:hAnsi="Arial"/>
                <w:sz w:val="14"/>
                <w:szCs w:val="14"/>
                <w:color w:val="auto"/>
              </w:rPr>
              <w:t>Delinquent Section 16(a) Reports</w:t>
            </w:r>
          </w:p>
        </w:tc>
        <w:tc>
          <w:tcPr>
            <w:tcW w:w="52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4"/>
                <w:szCs w:val="14"/>
                <w:color w:val="auto"/>
              </w:rPr>
              <w:t>General</w:t>
            </w:r>
          </w:p>
        </w:tc>
        <w:tc>
          <w:tcPr>
            <w:tcW w:w="52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2"/>
        </w:trPr>
        <w:tc>
          <w:tcPr>
            <w:tcW w:w="490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5673B8"/>
            </w:tcBorders>
          </w:tcPr>
          <w:p>
            <w:pPr>
              <w:spacing w:after="0"/>
              <w:rPr>
                <w:sz w:val="20"/>
                <w:szCs w:val="20"/>
                <w:color w:val="auto"/>
              </w:rPr>
            </w:pPr>
            <w:r>
              <w:rPr>
                <w:rFonts w:ascii="Arial" w:cs="Arial" w:eastAsia="Arial" w:hAnsi="Arial"/>
                <w:sz w:val="14"/>
                <w:szCs w:val="14"/>
                <w:b w:val="1"/>
                <w:bCs w:val="1"/>
                <w:color w:val="852166"/>
              </w:rPr>
              <w:t>QUESTIONS AND ANSWERS</w:t>
            </w:r>
          </w:p>
        </w:tc>
        <w:tc>
          <w:tcPr>
            <w:tcW w:w="52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870064"/>
              </w:rPr>
              <w:t>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690245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300"/>
            <w:col w:w="5420"/>
          </w:cols>
          <w:pgMar w:left="320" w:top="1440" w:right="439" w:bottom="1440" w:gutter="0" w:footer="0" w:header="0"/>
          <w:type w:val="continuous"/>
        </w:sectPr>
      </w:pPr>
    </w:p>
    <w:bookmarkStart w:id="7" w:name="page8"/>
    <w:bookmarkEnd w:id="7"/>
    <w:p>
      <w:pPr>
        <w:ind w:left="200"/>
        <w:spacing w:after="0"/>
        <w:rPr>
          <w:sz w:val="20"/>
          <w:szCs w:val="20"/>
          <w:color w:val="auto"/>
        </w:rPr>
      </w:pPr>
      <w:r>
        <w:rPr>
          <w:rFonts w:ascii="Arial" w:cs="Arial" w:eastAsia="Arial" w:hAnsi="Arial"/>
          <w:sz w:val="15"/>
          <w:szCs w:val="15"/>
          <w:b w:val="1"/>
          <w:bCs w:val="1"/>
          <w:color w:val="001C71"/>
        </w:rPr>
        <w:drawing>
          <wp:anchor simplePos="0" relativeHeight="251657728" behindDoc="1" locked="0" layoutInCell="0" allowOverlap="1">
            <wp:simplePos x="0" y="0"/>
            <wp:positionH relativeFrom="page">
              <wp:posOffset>208280</wp:posOffset>
            </wp:positionH>
            <wp:positionV relativeFrom="page">
              <wp:posOffset>723265</wp:posOffset>
            </wp:positionV>
            <wp:extent cx="2794635" cy="59061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4635" cy="5906135"/>
                    </a:xfrm>
                    <a:prstGeom prst="rect">
                      <a:avLst/>
                    </a:prstGeom>
                    <a:noFill/>
                  </pic:spPr>
                </pic:pic>
              </a:graphicData>
            </a:graphic>
          </wp:anchor>
        </w:drawing>
        <w:t>INDEX OF FREQUENTLY REQUESTED INFORMATION</w:t>
      </w:r>
    </w:p>
    <w:p>
      <w:pPr>
        <w:spacing w:after="0" w:line="145" w:lineRule="exact"/>
        <w:rPr>
          <w:sz w:val="20"/>
          <w:szCs w:val="20"/>
          <w:color w:val="auto"/>
        </w:rPr>
      </w:pPr>
    </w:p>
    <w:tbl>
      <w:tblPr>
        <w:tblLayout w:type="fixed"/>
        <w:tblInd w:w="180" w:type="dxa"/>
        <w:tblCellMar>
          <w:top w:w="0" w:type="dxa"/>
          <w:left w:w="0" w:type="dxa"/>
          <w:bottom w:w="0" w:type="dxa"/>
          <w:right w:w="0" w:type="dxa"/>
        </w:tblCellMar>
      </w:tblPr>
      <w:tr>
        <w:trPr>
          <w:trHeight w:val="196"/>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Anti-Hedging/Pledging Policy</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40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Borders>
              <w:bottom w:val="single" w:sz="8" w:color="F0F0F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Auditor Fees</w:t>
            </w:r>
          </w:p>
        </w:tc>
        <w:tc>
          <w:tcPr>
            <w:tcW w:w="420" w:type="dxa"/>
            <w:vAlign w:val="bottom"/>
            <w:tcBorders>
              <w:bottom w:val="single" w:sz="8" w:color="F0F0F0"/>
            </w:tcBorders>
            <w:shd w:val="clear" w:color="auto" w:fill="F0F0F0"/>
          </w:tcPr>
          <w:p>
            <w:pPr>
              <w:jc w:val="right"/>
              <w:spacing w:after="0"/>
              <w:rPr>
                <w:sz w:val="20"/>
                <w:szCs w:val="20"/>
                <w:color w:val="auto"/>
              </w:rPr>
            </w:pPr>
            <w:r>
              <w:rPr>
                <w:rFonts w:ascii="Arial" w:cs="Arial" w:eastAsia="Arial" w:hAnsi="Arial"/>
                <w:sz w:val="14"/>
                <w:szCs w:val="14"/>
                <w:b w:val="1"/>
                <w:bCs w:val="1"/>
                <w:color w:val="636466"/>
              </w:rPr>
              <w:t>42</w:t>
            </w:r>
          </w:p>
        </w:tc>
        <w:tc>
          <w:tcPr>
            <w:tcW w:w="200" w:type="dxa"/>
            <w:vAlign w:val="bottom"/>
            <w:tcBorders>
              <w:bottom w:val="single" w:sz="8" w:color="F0F0F0"/>
            </w:tcBorders>
            <w:shd w:val="clear" w:color="auto" w:fill="F0F0F0"/>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0" w:type="dxa"/>
            <w:vAlign w:val="bottom"/>
            <w:tcBorders>
              <w:top w:val="single" w:sz="8" w:color="5673B8"/>
            </w:tcBorders>
          </w:tcPr>
          <w:p>
            <w:pPr>
              <w:ind w:left="20"/>
              <w:spacing w:after="0"/>
              <w:rPr>
                <w:sz w:val="20"/>
                <w:szCs w:val="20"/>
                <w:color w:val="auto"/>
              </w:rPr>
            </w:pPr>
            <w:r>
              <w:rPr>
                <w:rFonts w:ascii="Arial" w:cs="Arial" w:eastAsia="Arial" w:hAnsi="Arial"/>
                <w:sz w:val="14"/>
                <w:szCs w:val="14"/>
                <w:b w:val="1"/>
                <w:bCs w:val="1"/>
                <w:color w:val="636466"/>
              </w:rPr>
              <w:t>Board Composition</w:t>
            </w:r>
          </w:p>
        </w:tc>
        <w:tc>
          <w:tcPr>
            <w:tcW w:w="420" w:type="dxa"/>
            <w:vAlign w:val="bottom"/>
            <w:tcBorders>
              <w:top w:val="single" w:sz="8" w:color="5673B8"/>
            </w:tcBorders>
          </w:tcPr>
          <w:p>
            <w:pPr>
              <w:jc w:val="right"/>
              <w:spacing w:after="0"/>
              <w:rPr>
                <w:sz w:val="20"/>
                <w:szCs w:val="20"/>
                <w:color w:val="auto"/>
              </w:rPr>
            </w:pPr>
            <w:r>
              <w:rPr>
                <w:rFonts w:ascii="Arial" w:cs="Arial" w:eastAsia="Arial" w:hAnsi="Arial"/>
                <w:sz w:val="14"/>
                <w:szCs w:val="14"/>
                <w:b w:val="1"/>
                <w:bCs w:val="1"/>
                <w:color w:val="636466"/>
              </w:rPr>
              <w:t>24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Board Leadership Structure</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24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Board Operations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29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Certain Relationships and Related Party</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636466"/>
              </w:rPr>
              <w:t>37</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636466"/>
              </w:rPr>
              <w:t>Transactions</w:t>
            </w:r>
          </w:p>
        </w:tc>
        <w:tc>
          <w:tcPr>
            <w:tcW w:w="4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6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3600" w:type="dxa"/>
            <w:vAlign w:val="bottom"/>
            <w:tcBorders>
              <w:bottom w:val="single" w:sz="8" w:color="5673B8"/>
            </w:tcBorders>
          </w:tcPr>
          <w:p>
            <w:pPr>
              <w:spacing w:after="0"/>
              <w:rPr>
                <w:sz w:val="2"/>
                <w:szCs w:val="2"/>
                <w:color w:val="auto"/>
              </w:rPr>
            </w:pPr>
          </w:p>
        </w:tc>
        <w:tc>
          <w:tcPr>
            <w:tcW w:w="420" w:type="dxa"/>
            <w:vAlign w:val="bottom"/>
            <w:tcBorders>
              <w:bottom w:val="single" w:sz="8" w:color="5673B8"/>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Clawback Policy</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40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Code of Conduct and Ethics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39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Compensation Consultant Fees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96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Corporate Governance Guidelines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23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Director Biographies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10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Director Commitments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Independence of our Board</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25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Item 402(v) Pay versus Performance</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93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Election of Directors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Key Components and Design of the Executive</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636466"/>
              </w:rPr>
              <w:t>56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636466"/>
              </w:rPr>
              <w:t>Compensation Program</w:t>
            </w:r>
          </w:p>
        </w:tc>
        <w:tc>
          <w:tcPr>
            <w:tcW w:w="4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6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3600" w:type="dxa"/>
            <w:vAlign w:val="bottom"/>
            <w:tcBorders>
              <w:bottom w:val="single" w:sz="8" w:color="5673B8"/>
            </w:tcBorders>
          </w:tcPr>
          <w:p>
            <w:pPr>
              <w:spacing w:after="0"/>
              <w:rPr>
                <w:sz w:val="2"/>
                <w:szCs w:val="2"/>
                <w:color w:val="auto"/>
              </w:rPr>
            </w:pPr>
          </w:p>
        </w:tc>
        <w:tc>
          <w:tcPr>
            <w:tcW w:w="420" w:type="dxa"/>
            <w:vAlign w:val="bottom"/>
            <w:tcBorders>
              <w:bottom w:val="single" w:sz="8" w:color="5673B8"/>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Oversight of CSSI</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28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Oversight of Risk</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27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Pay Ratio Disclosure</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92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2025 Peer Group</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53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Severance Benefits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58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Share Ownership Guidelines for Directors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21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Share Ownership Guidelines for Executive Officers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73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Shareholder Engagement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36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600" w:type="dxa"/>
            <w:vAlign w:val="bottom"/>
          </w:tcPr>
          <w:p>
            <w:pPr>
              <w:ind w:left="20"/>
              <w:spacing w:after="0"/>
              <w:rPr>
                <w:sz w:val="20"/>
                <w:szCs w:val="20"/>
                <w:color w:val="auto"/>
              </w:rPr>
            </w:pPr>
            <w:r>
              <w:rPr>
                <w:rFonts w:ascii="Arial" w:cs="Arial" w:eastAsia="Arial" w:hAnsi="Arial"/>
                <w:sz w:val="14"/>
                <w:szCs w:val="14"/>
                <w:b w:val="1"/>
                <w:bCs w:val="1"/>
                <w:color w:val="636466"/>
              </w:rPr>
              <w:t>Shareholder Communications with our Board</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636466"/>
              </w:rPr>
              <w:t>36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600" w:type="dxa"/>
            <w:vAlign w:val="bottom"/>
            <w:tcBorders>
              <w:bottom w:val="single" w:sz="8" w:color="5673B8"/>
            </w:tcBorders>
          </w:tcPr>
          <w:p>
            <w:pPr>
              <w:spacing w:after="0"/>
              <w:rPr>
                <w:sz w:val="4"/>
                <w:szCs w:val="4"/>
                <w:color w:val="auto"/>
              </w:rPr>
            </w:pPr>
          </w:p>
        </w:tc>
        <w:tc>
          <w:tcPr>
            <w:tcW w:w="420" w:type="dxa"/>
            <w:vAlign w:val="bottom"/>
            <w:tcBorders>
              <w:bottom w:val="single" w:sz="8" w:color="5673B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600" w:type="dxa"/>
            <w:vAlign w:val="bottom"/>
          </w:tcPr>
          <w:p>
            <w:pPr>
              <w:ind w:left="20"/>
              <w:spacing w:after="0" w:line="120" w:lineRule="exact"/>
              <w:rPr>
                <w:sz w:val="20"/>
                <w:szCs w:val="20"/>
                <w:color w:val="auto"/>
              </w:rPr>
            </w:pPr>
            <w:r>
              <w:rPr>
                <w:rFonts w:ascii="Arial" w:cs="Arial" w:eastAsia="Arial" w:hAnsi="Arial"/>
                <w:sz w:val="13"/>
                <w:szCs w:val="13"/>
                <w:b w:val="1"/>
                <w:bCs w:val="1"/>
                <w:color w:val="636466"/>
              </w:rPr>
              <w:t>Shareholder Proposals and Director Nominations</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96"/>
        </w:trPr>
        <w:tc>
          <w:tcPr>
            <w:tcW w:w="2520" w:type="dxa"/>
            <w:vAlign w:val="bottom"/>
            <w:vMerge w:val="restart"/>
          </w:tcPr>
          <w:p>
            <w:pPr>
              <w:ind w:left="20"/>
              <w:spacing w:after="0"/>
              <w:rPr>
                <w:sz w:val="20"/>
                <w:szCs w:val="20"/>
                <w:color w:val="auto"/>
              </w:rPr>
            </w:pPr>
            <w:r>
              <w:rPr>
                <w:rFonts w:ascii="Arial" w:cs="Arial" w:eastAsia="Arial" w:hAnsi="Arial"/>
                <w:sz w:val="14"/>
                <w:szCs w:val="14"/>
                <w:b w:val="1"/>
                <w:bCs w:val="1"/>
                <w:color w:val="636466"/>
              </w:rPr>
              <w:t>for the 2027 AGM</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636466"/>
              </w:rPr>
              <w:t>37</w:t>
            </w:r>
          </w:p>
        </w:tc>
        <w:tc>
          <w:tcPr>
            <w:tcW w:w="0" w:type="dxa"/>
            <w:vAlign w:val="bottom"/>
          </w:tcPr>
          <w:p>
            <w:pPr>
              <w:spacing w:after="0"/>
              <w:rPr>
                <w:sz w:val="1"/>
                <w:szCs w:val="1"/>
                <w:color w:val="auto"/>
              </w:rPr>
            </w:pPr>
          </w:p>
        </w:tc>
      </w:tr>
      <w:tr>
        <w:trPr>
          <w:trHeight w:val="67"/>
        </w:trPr>
        <w:tc>
          <w:tcPr>
            <w:tcW w:w="252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5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520" w:type="dxa"/>
            <w:vAlign w:val="bottom"/>
            <w:shd w:val="clear" w:color="auto" w:fill="F0F0F0"/>
          </w:tcPr>
          <w:p>
            <w:pPr>
              <w:spacing w:after="0"/>
              <w:rPr>
                <w:sz w:val="23"/>
                <w:szCs w:val="23"/>
                <w:color w:val="auto"/>
              </w:rPr>
            </w:pPr>
          </w:p>
        </w:tc>
        <w:tc>
          <w:tcPr>
            <w:tcW w:w="1500" w:type="dxa"/>
            <w:vAlign w:val="bottom"/>
            <w:shd w:val="clear" w:color="auto" w:fill="F0F0F0"/>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i w:val="1"/>
          <w:iCs w:val="1"/>
          <w:color w:val="636466"/>
        </w:rPr>
        <w:t>In this proxy statement, unless otherwise indicated or the context otherwise requires, all references to “Jazz Pharmaceuticals,” “Jazz,” “our Company,” “we,” “us” and “our” refer to Jazz Pharmaceuticals plc and its consolidated subsidiaries, except when the context makes clear that the time period being referenced is prior to January 18, 2012, in which case such terms are references to Jazz Pharmaceuticals, Inc. and its consolidated subsidiaries. In the Azur Merger, we became the parent company of and successor to Jazz Pharmaceuticals, Inc., with Jazz Pharmaceuticals, Inc. becoming our wholly owned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108839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54"/>
          <w:szCs w:val="54"/>
          <w:b w:val="1"/>
          <w:bCs w:val="1"/>
          <w:color w:val="001C71"/>
        </w:rPr>
        <w:t>Proxy Summary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636466"/>
        </w:rPr>
        <w:t>FOR OUR 2026 AGM TO BE HELD ON JULY 23, 2026</w:t>
      </w:r>
    </w:p>
    <w:p>
      <w:pPr>
        <w:spacing w:after="0" w:line="310" w:lineRule="exact"/>
        <w:rPr>
          <w:sz w:val="20"/>
          <w:szCs w:val="20"/>
          <w:color w:val="auto"/>
        </w:rPr>
      </w:pPr>
    </w:p>
    <w:p>
      <w:pPr>
        <w:spacing w:after="0"/>
        <w:rPr>
          <w:sz w:val="20"/>
          <w:szCs w:val="20"/>
          <w:color w:val="auto"/>
        </w:rPr>
      </w:pPr>
      <w:r>
        <w:rPr>
          <w:rFonts w:ascii="Arial" w:cs="Arial" w:eastAsia="Arial" w:hAnsi="Arial"/>
          <w:sz w:val="29"/>
          <w:szCs w:val="29"/>
          <w:color w:val="852166"/>
        </w:rPr>
        <w:t>General</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001C71"/>
        </w:rPr>
        <w:t>PURPOSE OF OUR PROXY STATEMENT AND OTHER GENERAL INFORMATION</w:t>
      </w:r>
    </w:p>
    <w:p>
      <w:pPr>
        <w:spacing w:after="0" w:line="196"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Our Board is soliciting proxies for use at our 2026 AGM. Our proxy statement contains important information for you to consider when deciding how to vote on the matters brought before our 2026 AGM. You should read our entire proxy statement carefully before voting. The Notice of our proxy materials, which include our proxy statement, our annual letter to shareholders and our 2025 Annual Report on Form 10-K, is first being mailed to shareholders on or about June 8, 2026. Our proxy materials are also available online at https://materials.proxyvote.com/G50871. The specific proposals to be considered and acted upon at our 2026 AGM are summarized in the accompanying Notice of our 2026 AGM. Each proposal is described in more detail in our proxy statement.</w:t>
      </w:r>
    </w:p>
    <w:p>
      <w:pPr>
        <w:spacing w:after="0" w:line="130"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This solicitation is made on behalf of our Board and all solicitation expenses, including costs of preparing, assembling and mailing proxy materials and notices, will be borne by us. We have also retained Alliance Advisors, LLC, a proxy solicitation firm, to assist in the solicitation of proxies for a fee of approximately $45,000 plus reimbursement of expenses. In addition to our proxy materials, our proxy solicitor,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35"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Our Board has set the close of business on May 28, 2026 as the record date for our 2026 AGM. Shareholders of record who own our ordinary shares on that date are entitled to vote at and attend our 2026 AGM. Each ordinary share is entitled to one vote. There were 62,817,628 of our ordinary shares outstanding and entitled to vote on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172085</wp:posOffset>
            </wp:positionV>
            <wp:extent cx="1242695"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636466"/>
        </w:rPr>
        <w:t>CALL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-281940</wp:posOffset>
            </wp:positionV>
            <wp:extent cx="1645920" cy="2057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45920" cy="205740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636466"/>
        </w:rPr>
        <w:t>SHAREHOLDERS:</w:t>
      </w:r>
    </w:p>
    <w:p>
      <w:pPr>
        <w:spacing w:after="0" w:line="171" w:lineRule="exact"/>
        <w:rPr>
          <w:sz w:val="20"/>
          <w:szCs w:val="20"/>
          <w:color w:val="auto"/>
        </w:rPr>
      </w:pPr>
    </w:p>
    <w:p>
      <w:pPr>
        <w:ind w:right="1420"/>
        <w:spacing w:after="0" w:line="308" w:lineRule="auto"/>
        <w:rPr>
          <w:sz w:val="20"/>
          <w:szCs w:val="20"/>
          <w:color w:val="auto"/>
        </w:rPr>
      </w:pPr>
      <w:r>
        <w:rPr>
          <w:rFonts w:ascii="Arial" w:cs="Arial" w:eastAsia="Arial" w:hAnsi="Arial"/>
          <w:sz w:val="18"/>
          <w:szCs w:val="18"/>
          <w:color w:val="636466"/>
        </w:rPr>
        <w:t>We encourage all shareholders to enroll in e-delivery as a simpler, speedier and more cost effective way to receive proxy materials. Sign up here: www.proxyvote.com</w:t>
      </w:r>
    </w:p>
    <w:p>
      <w:pPr>
        <w:spacing w:after="0" w:line="2098" w:lineRule="exact"/>
        <w:rPr>
          <w:sz w:val="20"/>
          <w:szCs w:val="20"/>
          <w:color w:val="auto"/>
        </w:rPr>
      </w:pPr>
    </w:p>
    <w:p>
      <w:pPr>
        <w:sectPr>
          <w:pgSz w:w="11900" w:h="16838" w:orient="portrait"/>
          <w:cols w:equalWidth="0" w:num="2">
            <w:col w:w="7480" w:space="200"/>
            <w:col w:w="3560"/>
          </w:cols>
          <w:pgMar w:left="320" w:top="1440" w:right="339" w:bottom="1440" w:gutter="0" w:footer="0" w:header="0"/>
          <w:type w:val="continuous"/>
        </w:sectPr>
      </w:pP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6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852166"/>
              </w:rPr>
              <w:t>1</w:t>
            </w:r>
          </w:p>
        </w:tc>
      </w:tr>
      <w:tr>
        <w:trPr>
          <w:trHeight w:val="495"/>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 w:name="page10"/>
    <w:bookmarkEnd w:id="9"/>
    <w:p>
      <w:pPr>
        <w:ind w:left="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174115" cy="300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74115" cy="300355"/>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Voting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780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780415"/>
                    </a:xfrm>
                    <a:prstGeom prst="rect">
                      <a:avLst/>
                    </a:prstGeom>
                    <a:noFill/>
                  </pic:spPr>
                </pic:pic>
              </a:graphicData>
            </a:graphic>
          </wp:anchor>
        </w:drawing>
      </w:r>
    </w:p>
    <w:p>
      <w:pPr>
        <w:spacing w:after="0" w:line="398"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1100" w:type="dxa"/>
            <w:vAlign w:val="bottom"/>
          </w:tcPr>
          <w:p>
            <w:pPr>
              <w:jc w:val="center"/>
              <w:ind w:right="156"/>
              <w:spacing w:after="0"/>
              <w:rPr>
                <w:sz w:val="20"/>
                <w:szCs w:val="20"/>
                <w:color w:val="auto"/>
              </w:rPr>
            </w:pPr>
            <w:r>
              <w:rPr>
                <w:rFonts w:ascii="Arial" w:cs="Arial" w:eastAsia="Arial" w:hAnsi="Arial"/>
                <w:sz w:val="14"/>
                <w:szCs w:val="14"/>
                <w:b w:val="1"/>
                <w:bCs w:val="1"/>
                <w:color w:val="FFFFFF"/>
              </w:rPr>
              <w:t>PROPOSAL</w:t>
            </w:r>
          </w:p>
        </w:tc>
        <w:tc>
          <w:tcPr>
            <w:tcW w:w="7940" w:type="dxa"/>
            <w:vAlign w:val="bottom"/>
            <w:vMerge w:val="restart"/>
          </w:tcPr>
          <w:p>
            <w:pPr>
              <w:ind w:left="280"/>
              <w:spacing w:after="0"/>
              <w:rPr>
                <w:sz w:val="20"/>
                <w:szCs w:val="20"/>
                <w:color w:val="auto"/>
              </w:rPr>
            </w:pPr>
            <w:r>
              <w:rPr>
                <w:rFonts w:ascii="Arial" w:cs="Arial" w:eastAsia="Arial" w:hAnsi="Arial"/>
                <w:sz w:val="25"/>
                <w:szCs w:val="25"/>
                <w:color w:val="FFFFFF"/>
              </w:rPr>
              <w:t>Election of Directors</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100" w:type="dxa"/>
            <w:vAlign w:val="bottom"/>
            <w:vMerge w:val="restart"/>
          </w:tcPr>
          <w:p>
            <w:pPr>
              <w:jc w:val="right"/>
              <w:ind w:right="436"/>
              <w:spacing w:after="0"/>
              <w:rPr>
                <w:sz w:val="20"/>
                <w:szCs w:val="20"/>
                <w:color w:val="auto"/>
              </w:rPr>
            </w:pPr>
            <w:r>
              <w:rPr>
                <w:rFonts w:ascii="Arial" w:cs="Arial" w:eastAsia="Arial" w:hAnsi="Arial"/>
                <w:sz w:val="43"/>
                <w:szCs w:val="43"/>
                <w:color w:val="FFFFFF"/>
              </w:rPr>
              <w:t>1</w:t>
            </w:r>
          </w:p>
        </w:tc>
        <w:tc>
          <w:tcPr>
            <w:tcW w:w="794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6"/>
        </w:trPr>
        <w:tc>
          <w:tcPr>
            <w:tcW w:w="1100" w:type="dxa"/>
            <w:vAlign w:val="bottom"/>
            <w:vMerge w:val="continue"/>
          </w:tcPr>
          <w:p>
            <w:pPr>
              <w:spacing w:after="0"/>
              <w:rPr>
                <w:sz w:val="24"/>
                <w:szCs w:val="24"/>
                <w:color w:val="auto"/>
              </w:rPr>
            </w:pPr>
          </w:p>
        </w:tc>
        <w:tc>
          <w:tcPr>
            <w:tcW w:w="7940" w:type="dxa"/>
            <w:vAlign w:val="bottom"/>
          </w:tcPr>
          <w:p>
            <w:pPr>
              <w:ind w:left="940"/>
              <w:spacing w:after="0"/>
              <w:rPr>
                <w:sz w:val="20"/>
                <w:szCs w:val="20"/>
                <w:color w:val="auto"/>
              </w:rPr>
            </w:pPr>
            <w:r>
              <w:rPr>
                <w:rFonts w:ascii="Arial" w:cs="Arial" w:eastAsia="Arial" w:hAnsi="Arial"/>
                <w:sz w:val="14"/>
                <w:szCs w:val="14"/>
                <w:b w:val="1"/>
                <w:bCs w:val="1"/>
                <w:color w:val="FFFFFF"/>
              </w:rPr>
              <w:t>OUR BOARD RECOMMENDS A VOTE “FOR” EACH DIRECTOR NOMINEE NAMED HEREIN.</w:t>
            </w:r>
          </w:p>
        </w:tc>
        <w:tc>
          <w:tcPr>
            <w:tcW w:w="1560" w:type="dxa"/>
            <w:vAlign w:val="bottom"/>
          </w:tcPr>
          <w:p>
            <w:pPr>
              <w:ind w:left="820"/>
              <w:spacing w:after="0"/>
              <w:rPr>
                <w:sz w:val="20"/>
                <w:szCs w:val="20"/>
                <w:color w:val="auto"/>
              </w:rPr>
            </w:pPr>
            <w:r>
              <w:rPr>
                <w:rFonts w:ascii="Arial" w:cs="Arial" w:eastAsia="Arial" w:hAnsi="Arial"/>
                <w:sz w:val="14"/>
                <w:szCs w:val="14"/>
                <w:color w:val="FFFFFF"/>
              </w:rPr>
              <w:t>See page 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315595</wp:posOffset>
            </wp:positionV>
            <wp:extent cx="617220" cy="6172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220" cy="61722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315595</wp:posOffset>
            </wp:positionV>
            <wp:extent cx="617220" cy="6172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220" cy="61722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315595</wp:posOffset>
            </wp:positionV>
            <wp:extent cx="617220" cy="6172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2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20" w:type="dxa"/>
            <w:vAlign w:val="bottom"/>
            <w:gridSpan w:val="2"/>
          </w:tcPr>
          <w:p>
            <w:pPr>
              <w:ind w:left="20"/>
              <w:spacing w:after="0"/>
              <w:rPr>
                <w:sz w:val="20"/>
                <w:szCs w:val="20"/>
                <w:color w:val="auto"/>
              </w:rPr>
            </w:pPr>
            <w:r>
              <w:rPr>
                <w:rFonts w:ascii="Arial" w:cs="Arial" w:eastAsia="Arial" w:hAnsi="Arial"/>
                <w:sz w:val="16"/>
                <w:szCs w:val="16"/>
                <w:b w:val="1"/>
                <w:bCs w:val="1"/>
                <w:color w:val="001C71"/>
              </w:rPr>
              <w:t>Bruce C. Cozadd</w:t>
            </w:r>
          </w:p>
        </w:tc>
        <w:tc>
          <w:tcPr>
            <w:tcW w:w="5000" w:type="dxa"/>
            <w:vAlign w:val="bottom"/>
          </w:tcPr>
          <w:p>
            <w:pPr>
              <w:ind w:left="1120"/>
              <w:spacing w:after="0"/>
              <w:rPr>
                <w:sz w:val="20"/>
                <w:szCs w:val="20"/>
                <w:color w:val="auto"/>
              </w:rPr>
            </w:pPr>
            <w:r>
              <w:rPr>
                <w:rFonts w:ascii="Arial" w:cs="Arial" w:eastAsia="Arial" w:hAnsi="Arial"/>
                <w:sz w:val="16"/>
                <w:szCs w:val="16"/>
                <w:b w:val="1"/>
                <w:bCs w:val="1"/>
                <w:color w:val="001C71"/>
              </w:rPr>
              <w:t>Heather Ann McSharry</w:t>
            </w:r>
          </w:p>
        </w:tc>
        <w:tc>
          <w:tcPr>
            <w:tcW w:w="2620" w:type="dxa"/>
            <w:vAlign w:val="bottom"/>
            <w:gridSpan w:val="2"/>
          </w:tcPr>
          <w:p>
            <w:pPr>
              <w:ind w:left="20"/>
              <w:spacing w:after="0"/>
              <w:rPr>
                <w:sz w:val="20"/>
                <w:szCs w:val="20"/>
                <w:color w:val="auto"/>
              </w:rPr>
            </w:pPr>
            <w:r>
              <w:rPr>
                <w:rFonts w:ascii="Arial" w:cs="Arial" w:eastAsia="Arial" w:hAnsi="Arial"/>
                <w:sz w:val="16"/>
                <w:szCs w:val="16"/>
                <w:b w:val="1"/>
                <w:bCs w:val="1"/>
                <w:color w:val="001C71"/>
              </w:rPr>
              <w:t>Rick E Winningham</w:t>
            </w:r>
          </w:p>
        </w:tc>
        <w:tc>
          <w:tcPr>
            <w:tcW w:w="0" w:type="dxa"/>
            <w:vAlign w:val="bottom"/>
          </w:tcPr>
          <w:p>
            <w:pPr>
              <w:spacing w:after="0"/>
              <w:rPr>
                <w:sz w:val="1"/>
                <w:szCs w:val="1"/>
                <w:color w:val="auto"/>
              </w:rPr>
            </w:pPr>
          </w:p>
        </w:tc>
      </w:tr>
      <w:tr>
        <w:trPr>
          <w:trHeight w:val="480"/>
        </w:trPr>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20" w:type="dxa"/>
            <w:vAlign w:val="bottom"/>
            <w:shd w:val="clear" w:color="auto" w:fill="5673B8"/>
          </w:tcPr>
          <w:p>
            <w:pPr>
              <w:spacing w:after="0"/>
              <w:rPr>
                <w:sz w:val="24"/>
                <w:szCs w:val="24"/>
                <w:color w:val="auto"/>
              </w:rPr>
            </w:pPr>
          </w:p>
        </w:tc>
        <w:tc>
          <w:tcPr>
            <w:tcW w:w="980" w:type="dxa"/>
            <w:vAlign w:val="bottom"/>
            <w:shd w:val="clear" w:color="auto" w:fill="5673B8"/>
          </w:tcPr>
          <w:p>
            <w:pPr>
              <w:jc w:val="center"/>
              <w:spacing w:after="0"/>
              <w:rPr>
                <w:sz w:val="20"/>
                <w:szCs w:val="20"/>
                <w:color w:val="auto"/>
              </w:rPr>
            </w:pPr>
            <w:r>
              <w:rPr>
                <w:rFonts w:ascii="Arial" w:cs="Arial" w:eastAsia="Arial" w:hAnsi="Arial"/>
                <w:sz w:val="14"/>
                <w:szCs w:val="14"/>
                <w:b w:val="1"/>
                <w:bCs w:val="1"/>
                <w:color w:val="FFFFFF"/>
              </w:rPr>
              <w:t>PROPOSAL</w:t>
            </w:r>
          </w:p>
        </w:tc>
        <w:tc>
          <w:tcPr>
            <w:tcW w:w="540" w:type="dxa"/>
            <w:vAlign w:val="bottom"/>
            <w:shd w:val="clear" w:color="auto" w:fill="5673B8"/>
          </w:tcPr>
          <w:p>
            <w:pPr>
              <w:spacing w:after="0"/>
              <w:rPr>
                <w:sz w:val="24"/>
                <w:szCs w:val="24"/>
                <w:color w:val="auto"/>
              </w:rPr>
            </w:pPr>
          </w:p>
        </w:tc>
        <w:tc>
          <w:tcPr>
            <w:tcW w:w="6880" w:type="dxa"/>
            <w:vAlign w:val="bottom"/>
            <w:gridSpan w:val="2"/>
            <w:vMerge w:val="restart"/>
            <w:shd w:val="clear" w:color="auto" w:fill="5673B8"/>
          </w:tcPr>
          <w:p>
            <w:pPr>
              <w:ind w:left="20"/>
              <w:spacing w:after="0"/>
              <w:rPr>
                <w:sz w:val="20"/>
                <w:szCs w:val="20"/>
                <w:color w:val="auto"/>
              </w:rPr>
            </w:pPr>
            <w:r>
              <w:rPr>
                <w:rFonts w:ascii="Arial" w:cs="Arial" w:eastAsia="Arial" w:hAnsi="Arial"/>
                <w:sz w:val="25"/>
                <w:szCs w:val="25"/>
                <w:color w:val="FFFFFF"/>
              </w:rPr>
              <w:t>Ratify the Appointment and Approve Remuneration of Auditor</w:t>
            </w:r>
          </w:p>
        </w:tc>
        <w:tc>
          <w:tcPr>
            <w:tcW w:w="2380" w:type="dxa"/>
            <w:vAlign w:val="bottom"/>
            <w:shd w:val="clear" w:color="auto" w:fill="5673B8"/>
          </w:tcPr>
          <w:p>
            <w:pPr>
              <w:spacing w:after="0"/>
              <w:rPr>
                <w:sz w:val="24"/>
                <w:szCs w:val="24"/>
                <w:color w:val="auto"/>
              </w:rPr>
            </w:pPr>
          </w:p>
        </w:tc>
        <w:tc>
          <w:tcPr>
            <w:tcW w:w="240" w:type="dxa"/>
            <w:vAlign w:val="bottom"/>
            <w:shd w:val="clear" w:color="auto" w:fill="5673B8"/>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20" w:type="dxa"/>
            <w:vAlign w:val="bottom"/>
            <w:shd w:val="clear" w:color="auto" w:fill="5673B8"/>
          </w:tcPr>
          <w:p>
            <w:pPr>
              <w:spacing w:after="0"/>
              <w:rPr>
                <w:sz w:val="11"/>
                <w:szCs w:val="11"/>
                <w:color w:val="auto"/>
              </w:rPr>
            </w:pPr>
          </w:p>
        </w:tc>
        <w:tc>
          <w:tcPr>
            <w:tcW w:w="980" w:type="dxa"/>
            <w:vAlign w:val="bottom"/>
            <w:vMerge w:val="restart"/>
            <w:shd w:val="clear" w:color="auto" w:fill="5673B8"/>
          </w:tcPr>
          <w:p>
            <w:pPr>
              <w:jc w:val="right"/>
              <w:ind w:right="156"/>
              <w:spacing w:after="0"/>
              <w:rPr>
                <w:sz w:val="20"/>
                <w:szCs w:val="20"/>
                <w:color w:val="auto"/>
              </w:rPr>
            </w:pPr>
            <w:r>
              <w:rPr>
                <w:rFonts w:ascii="Arial" w:cs="Arial" w:eastAsia="Arial" w:hAnsi="Arial"/>
                <w:sz w:val="43"/>
                <w:szCs w:val="43"/>
                <w:color w:val="FFFFFF"/>
              </w:rPr>
              <w:t>2</w:t>
            </w:r>
          </w:p>
        </w:tc>
        <w:tc>
          <w:tcPr>
            <w:tcW w:w="540" w:type="dxa"/>
            <w:vAlign w:val="bottom"/>
            <w:shd w:val="clear" w:color="auto" w:fill="5673B8"/>
          </w:tcPr>
          <w:p>
            <w:pPr>
              <w:spacing w:after="0"/>
              <w:rPr>
                <w:sz w:val="11"/>
                <w:szCs w:val="11"/>
                <w:color w:val="auto"/>
              </w:rPr>
            </w:pPr>
          </w:p>
        </w:tc>
        <w:tc>
          <w:tcPr>
            <w:tcW w:w="6880" w:type="dxa"/>
            <w:vAlign w:val="bottom"/>
            <w:gridSpan w:val="2"/>
            <w:vMerge w:val="continue"/>
            <w:shd w:val="clear" w:color="auto" w:fill="5673B8"/>
          </w:tcPr>
          <w:p>
            <w:pPr>
              <w:spacing w:after="0"/>
              <w:rPr>
                <w:sz w:val="11"/>
                <w:szCs w:val="11"/>
                <w:color w:val="auto"/>
              </w:rPr>
            </w:pPr>
          </w:p>
        </w:tc>
        <w:tc>
          <w:tcPr>
            <w:tcW w:w="2380" w:type="dxa"/>
            <w:vAlign w:val="bottom"/>
            <w:shd w:val="clear" w:color="auto" w:fill="5673B8"/>
          </w:tcPr>
          <w:p>
            <w:pPr>
              <w:spacing w:after="0"/>
              <w:rPr>
                <w:sz w:val="11"/>
                <w:szCs w:val="11"/>
                <w:color w:val="auto"/>
              </w:rPr>
            </w:pPr>
          </w:p>
        </w:tc>
        <w:tc>
          <w:tcPr>
            <w:tcW w:w="240" w:type="dxa"/>
            <w:vAlign w:val="bottom"/>
            <w:shd w:val="clear" w:color="auto" w:fill="5673B8"/>
          </w:tcPr>
          <w:p>
            <w:pPr>
              <w:spacing w:after="0"/>
              <w:rPr>
                <w:sz w:val="11"/>
                <w:szCs w:val="11"/>
                <w:color w:val="auto"/>
              </w:rPr>
            </w:pPr>
          </w:p>
        </w:tc>
        <w:tc>
          <w:tcPr>
            <w:tcW w:w="0" w:type="dxa"/>
            <w:vAlign w:val="bottom"/>
          </w:tcPr>
          <w:p>
            <w:pPr>
              <w:spacing w:after="0"/>
              <w:rPr>
                <w:sz w:val="1"/>
                <w:szCs w:val="1"/>
                <w:color w:val="auto"/>
              </w:rPr>
            </w:pPr>
          </w:p>
        </w:tc>
      </w:tr>
      <w:tr>
        <w:trPr>
          <w:trHeight w:val="350"/>
        </w:trPr>
        <w:tc>
          <w:tcPr>
            <w:tcW w:w="220" w:type="dxa"/>
            <w:vAlign w:val="bottom"/>
            <w:shd w:val="clear" w:color="auto" w:fill="5673B8"/>
          </w:tcPr>
          <w:p>
            <w:pPr>
              <w:spacing w:after="0"/>
              <w:rPr>
                <w:sz w:val="24"/>
                <w:szCs w:val="24"/>
                <w:color w:val="auto"/>
              </w:rPr>
            </w:pPr>
          </w:p>
        </w:tc>
        <w:tc>
          <w:tcPr>
            <w:tcW w:w="980" w:type="dxa"/>
            <w:vAlign w:val="bottom"/>
            <w:vMerge w:val="continue"/>
            <w:shd w:val="clear" w:color="auto" w:fill="5673B8"/>
          </w:tcPr>
          <w:p>
            <w:pPr>
              <w:spacing w:after="0"/>
              <w:rPr>
                <w:sz w:val="24"/>
                <w:szCs w:val="24"/>
                <w:color w:val="auto"/>
              </w:rPr>
            </w:pPr>
          </w:p>
        </w:tc>
        <w:tc>
          <w:tcPr>
            <w:tcW w:w="540" w:type="dxa"/>
            <w:vAlign w:val="bottom"/>
            <w:shd w:val="clear" w:color="auto" w:fill="5673B8"/>
          </w:tcPr>
          <w:p>
            <w:pPr>
              <w:spacing w:after="0"/>
              <w:rPr>
                <w:sz w:val="24"/>
                <w:szCs w:val="24"/>
                <w:color w:val="auto"/>
              </w:rPr>
            </w:pPr>
          </w:p>
        </w:tc>
        <w:tc>
          <w:tcPr>
            <w:tcW w:w="6880" w:type="dxa"/>
            <w:vAlign w:val="bottom"/>
            <w:gridSpan w:val="2"/>
            <w:shd w:val="clear" w:color="auto" w:fill="5673B8"/>
          </w:tcPr>
          <w:p>
            <w:pPr>
              <w:ind w:left="680"/>
              <w:spacing w:after="0"/>
              <w:rPr>
                <w:sz w:val="20"/>
                <w:szCs w:val="20"/>
                <w:color w:val="auto"/>
              </w:rPr>
            </w:pPr>
            <w:r>
              <w:rPr>
                <w:rFonts w:ascii="Arial" w:cs="Arial" w:eastAsia="Arial" w:hAnsi="Arial"/>
                <w:sz w:val="14"/>
                <w:szCs w:val="14"/>
                <w:b w:val="1"/>
                <w:bCs w:val="1"/>
                <w:color w:val="FFFFFF"/>
              </w:rPr>
              <w:t>OUR BOARD RECOMMENDS A VOTE “FOR” THIS PROPOSAL.</w:t>
            </w:r>
          </w:p>
        </w:tc>
        <w:tc>
          <w:tcPr>
            <w:tcW w:w="2380" w:type="dxa"/>
            <w:vAlign w:val="bottom"/>
            <w:vMerge w:val="restart"/>
            <w:shd w:val="clear" w:color="auto" w:fill="5673B8"/>
          </w:tcPr>
          <w:p>
            <w:pPr>
              <w:ind w:left="1540"/>
              <w:spacing w:after="0"/>
              <w:rPr>
                <w:sz w:val="20"/>
                <w:szCs w:val="20"/>
                <w:color w:val="auto"/>
              </w:rPr>
            </w:pPr>
            <w:r>
              <w:rPr>
                <w:rFonts w:ascii="Arial" w:cs="Arial" w:eastAsia="Arial" w:hAnsi="Arial"/>
                <w:sz w:val="14"/>
                <w:szCs w:val="14"/>
                <w:color w:val="FFFFFF"/>
              </w:rPr>
              <w:t>See page 41</w:t>
            </w:r>
          </w:p>
        </w:tc>
        <w:tc>
          <w:tcPr>
            <w:tcW w:w="240" w:type="dxa"/>
            <w:vAlign w:val="bottom"/>
            <w:shd w:val="clear" w:color="auto" w:fill="5673B8"/>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20" w:type="dxa"/>
            <w:vAlign w:val="bottom"/>
            <w:shd w:val="clear" w:color="auto" w:fill="5673B8"/>
          </w:tcPr>
          <w:p>
            <w:pPr>
              <w:spacing w:after="0"/>
              <w:rPr>
                <w:sz w:val="8"/>
                <w:szCs w:val="8"/>
                <w:color w:val="auto"/>
              </w:rPr>
            </w:pPr>
          </w:p>
        </w:tc>
        <w:tc>
          <w:tcPr>
            <w:tcW w:w="980" w:type="dxa"/>
            <w:vAlign w:val="bottom"/>
            <w:vMerge w:val="continue"/>
            <w:shd w:val="clear" w:color="auto" w:fill="5673B8"/>
          </w:tcPr>
          <w:p>
            <w:pPr>
              <w:spacing w:after="0"/>
              <w:rPr>
                <w:sz w:val="8"/>
                <w:szCs w:val="8"/>
                <w:color w:val="auto"/>
              </w:rPr>
            </w:pPr>
          </w:p>
        </w:tc>
        <w:tc>
          <w:tcPr>
            <w:tcW w:w="540" w:type="dxa"/>
            <w:vAlign w:val="bottom"/>
            <w:shd w:val="clear" w:color="auto" w:fill="5673B8"/>
          </w:tcPr>
          <w:p>
            <w:pPr>
              <w:spacing w:after="0"/>
              <w:rPr>
                <w:sz w:val="8"/>
                <w:szCs w:val="8"/>
                <w:color w:val="auto"/>
              </w:rPr>
            </w:pPr>
          </w:p>
        </w:tc>
        <w:tc>
          <w:tcPr>
            <w:tcW w:w="1880" w:type="dxa"/>
            <w:vAlign w:val="bottom"/>
            <w:shd w:val="clear" w:color="auto" w:fill="5673B8"/>
          </w:tcPr>
          <w:p>
            <w:pPr>
              <w:spacing w:after="0"/>
              <w:rPr>
                <w:sz w:val="8"/>
                <w:szCs w:val="8"/>
                <w:color w:val="auto"/>
              </w:rPr>
            </w:pPr>
          </w:p>
        </w:tc>
        <w:tc>
          <w:tcPr>
            <w:tcW w:w="5000" w:type="dxa"/>
            <w:vAlign w:val="bottom"/>
            <w:shd w:val="clear" w:color="auto" w:fill="5673B8"/>
          </w:tcPr>
          <w:p>
            <w:pPr>
              <w:spacing w:after="0"/>
              <w:rPr>
                <w:sz w:val="8"/>
                <w:szCs w:val="8"/>
                <w:color w:val="auto"/>
              </w:rPr>
            </w:pPr>
          </w:p>
        </w:tc>
        <w:tc>
          <w:tcPr>
            <w:tcW w:w="2380" w:type="dxa"/>
            <w:vAlign w:val="bottom"/>
            <w:vMerge w:val="continue"/>
            <w:shd w:val="clear" w:color="auto" w:fill="5673B8"/>
          </w:tcPr>
          <w:p>
            <w:pPr>
              <w:spacing w:after="0"/>
              <w:rPr>
                <w:sz w:val="8"/>
                <w:szCs w:val="8"/>
                <w:color w:val="auto"/>
              </w:rPr>
            </w:pPr>
          </w:p>
        </w:tc>
        <w:tc>
          <w:tcPr>
            <w:tcW w:w="240" w:type="dxa"/>
            <w:vAlign w:val="bottom"/>
            <w:shd w:val="clear" w:color="auto" w:fill="5673B8"/>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220" w:type="dxa"/>
            <w:vAlign w:val="bottom"/>
            <w:shd w:val="clear" w:color="auto" w:fill="5673B8"/>
          </w:tcPr>
          <w:p>
            <w:pPr>
              <w:spacing w:after="0"/>
              <w:rPr>
                <w:sz w:val="23"/>
                <w:szCs w:val="23"/>
                <w:color w:val="auto"/>
              </w:rPr>
            </w:pPr>
          </w:p>
        </w:tc>
        <w:tc>
          <w:tcPr>
            <w:tcW w:w="980" w:type="dxa"/>
            <w:vAlign w:val="bottom"/>
            <w:shd w:val="clear" w:color="auto" w:fill="5673B8"/>
          </w:tcPr>
          <w:p>
            <w:pPr>
              <w:spacing w:after="0"/>
              <w:rPr>
                <w:sz w:val="23"/>
                <w:szCs w:val="23"/>
                <w:color w:val="auto"/>
              </w:rPr>
            </w:pPr>
          </w:p>
        </w:tc>
        <w:tc>
          <w:tcPr>
            <w:tcW w:w="540" w:type="dxa"/>
            <w:vAlign w:val="bottom"/>
            <w:shd w:val="clear" w:color="auto" w:fill="5673B8"/>
          </w:tcPr>
          <w:p>
            <w:pPr>
              <w:spacing w:after="0"/>
              <w:rPr>
                <w:sz w:val="23"/>
                <w:szCs w:val="23"/>
                <w:color w:val="auto"/>
              </w:rPr>
            </w:pPr>
          </w:p>
        </w:tc>
        <w:tc>
          <w:tcPr>
            <w:tcW w:w="1880" w:type="dxa"/>
            <w:vAlign w:val="bottom"/>
            <w:shd w:val="clear" w:color="auto" w:fill="5673B8"/>
          </w:tcPr>
          <w:p>
            <w:pPr>
              <w:spacing w:after="0"/>
              <w:rPr>
                <w:sz w:val="23"/>
                <w:szCs w:val="23"/>
                <w:color w:val="auto"/>
              </w:rPr>
            </w:pPr>
          </w:p>
        </w:tc>
        <w:tc>
          <w:tcPr>
            <w:tcW w:w="5000" w:type="dxa"/>
            <w:vAlign w:val="bottom"/>
            <w:shd w:val="clear" w:color="auto" w:fill="5673B8"/>
          </w:tcPr>
          <w:p>
            <w:pPr>
              <w:spacing w:after="0"/>
              <w:rPr>
                <w:sz w:val="23"/>
                <w:szCs w:val="23"/>
                <w:color w:val="auto"/>
              </w:rPr>
            </w:pPr>
          </w:p>
        </w:tc>
        <w:tc>
          <w:tcPr>
            <w:tcW w:w="2380" w:type="dxa"/>
            <w:vAlign w:val="bottom"/>
            <w:shd w:val="clear" w:color="auto" w:fill="5673B8"/>
          </w:tcPr>
          <w:p>
            <w:pPr>
              <w:spacing w:after="0"/>
              <w:rPr>
                <w:sz w:val="23"/>
                <w:szCs w:val="23"/>
                <w:color w:val="auto"/>
              </w:rPr>
            </w:pPr>
          </w:p>
        </w:tc>
        <w:tc>
          <w:tcPr>
            <w:tcW w:w="240" w:type="dxa"/>
            <w:vAlign w:val="bottom"/>
            <w:shd w:val="clear" w:color="auto" w:fill="5673B8"/>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-393700</wp:posOffset>
            </wp:positionV>
            <wp:extent cx="20574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-170815</wp:posOffset>
            </wp:positionV>
            <wp:extent cx="50546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5460" cy="26035"/>
                    </a:xfrm>
                    <a:prstGeom prst="rect">
                      <a:avLst/>
                    </a:prstGeom>
                    <a:noFill/>
                  </pic:spPr>
                </pic:pic>
              </a:graphicData>
            </a:graphic>
          </wp:anchor>
        </w:drawing>
      </w:r>
    </w:p>
    <w:p>
      <w:pPr>
        <w:spacing w:after="0" w:line="222"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Our Audit Committee has determined that it is in the best interests of our Company and its shareholders to continue to retain KPMG to serve as our independent registered public accounting firm for the fiscal year ending December 31, 2026, and we are seeking shareholder ratification of this on a non-binding advisory basis.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Our shareholders are also being asked to authorize our Board, acting through our Audit Committee, to determine KPMG’s remuneration.</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376"/>
        </w:trPr>
        <w:tc>
          <w:tcPr>
            <w:tcW w:w="220" w:type="dxa"/>
            <w:vAlign w:val="bottom"/>
            <w:shd w:val="clear" w:color="auto" w:fill="852166"/>
          </w:tcPr>
          <w:p>
            <w:pPr>
              <w:spacing w:after="0"/>
              <w:rPr>
                <w:sz w:val="24"/>
                <w:szCs w:val="24"/>
                <w:color w:val="auto"/>
              </w:rPr>
            </w:pPr>
          </w:p>
        </w:tc>
        <w:tc>
          <w:tcPr>
            <w:tcW w:w="1120" w:type="dxa"/>
            <w:vAlign w:val="bottom"/>
            <w:shd w:val="clear" w:color="auto" w:fill="852166"/>
          </w:tcPr>
          <w:p>
            <w:pPr>
              <w:jc w:val="center"/>
              <w:spacing w:after="0"/>
              <w:rPr>
                <w:sz w:val="20"/>
                <w:szCs w:val="20"/>
                <w:color w:val="auto"/>
              </w:rPr>
            </w:pPr>
            <w:r>
              <w:rPr>
                <w:rFonts w:ascii="Arial" w:cs="Arial" w:eastAsia="Arial" w:hAnsi="Arial"/>
                <w:sz w:val="14"/>
                <w:szCs w:val="14"/>
                <w:b w:val="1"/>
                <w:bCs w:val="1"/>
                <w:color w:val="FFFFFF"/>
              </w:rPr>
              <w:t>PROPOSAL</w:t>
            </w:r>
          </w:p>
        </w:tc>
        <w:tc>
          <w:tcPr>
            <w:tcW w:w="400" w:type="dxa"/>
            <w:vAlign w:val="bottom"/>
            <w:shd w:val="clear" w:color="auto" w:fill="852166"/>
          </w:tcPr>
          <w:p>
            <w:pPr>
              <w:spacing w:after="0"/>
              <w:rPr>
                <w:sz w:val="24"/>
                <w:szCs w:val="24"/>
                <w:color w:val="auto"/>
              </w:rPr>
            </w:pPr>
          </w:p>
        </w:tc>
        <w:tc>
          <w:tcPr>
            <w:tcW w:w="7320" w:type="dxa"/>
            <w:vAlign w:val="bottom"/>
            <w:vMerge w:val="restart"/>
            <w:shd w:val="clear" w:color="auto" w:fill="852166"/>
          </w:tcPr>
          <w:p>
            <w:pPr>
              <w:ind w:left="20"/>
              <w:spacing w:after="0"/>
              <w:rPr>
                <w:sz w:val="20"/>
                <w:szCs w:val="20"/>
                <w:color w:val="auto"/>
              </w:rPr>
            </w:pPr>
            <w:r>
              <w:rPr>
                <w:rFonts w:ascii="Arial" w:cs="Arial" w:eastAsia="Arial" w:hAnsi="Arial"/>
                <w:sz w:val="25"/>
                <w:szCs w:val="25"/>
                <w:color w:val="FFFFFF"/>
              </w:rPr>
              <w:t>Non-Binding Advisory Vote on Executive Compensation</w:t>
            </w:r>
          </w:p>
        </w:tc>
        <w:tc>
          <w:tcPr>
            <w:tcW w:w="1940" w:type="dxa"/>
            <w:vAlign w:val="bottom"/>
            <w:shd w:val="clear" w:color="auto" w:fill="852166"/>
          </w:tcPr>
          <w:p>
            <w:pPr>
              <w:spacing w:after="0"/>
              <w:rPr>
                <w:sz w:val="24"/>
                <w:szCs w:val="24"/>
                <w:color w:val="auto"/>
              </w:rPr>
            </w:pPr>
          </w:p>
        </w:tc>
        <w:tc>
          <w:tcPr>
            <w:tcW w:w="240" w:type="dxa"/>
            <w:vAlign w:val="bottom"/>
            <w:shd w:val="clear" w:color="auto" w:fill="852166"/>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20" w:type="dxa"/>
            <w:vAlign w:val="bottom"/>
            <w:shd w:val="clear" w:color="auto" w:fill="852166"/>
          </w:tcPr>
          <w:p>
            <w:pPr>
              <w:spacing w:after="0"/>
              <w:rPr>
                <w:sz w:val="11"/>
                <w:szCs w:val="11"/>
                <w:color w:val="auto"/>
              </w:rPr>
            </w:pPr>
          </w:p>
        </w:tc>
        <w:tc>
          <w:tcPr>
            <w:tcW w:w="1120" w:type="dxa"/>
            <w:vAlign w:val="bottom"/>
            <w:vMerge w:val="restart"/>
            <w:shd w:val="clear" w:color="auto" w:fill="852166"/>
          </w:tcPr>
          <w:p>
            <w:pPr>
              <w:jc w:val="right"/>
              <w:ind w:right="296"/>
              <w:spacing w:after="0"/>
              <w:rPr>
                <w:sz w:val="20"/>
                <w:szCs w:val="20"/>
                <w:color w:val="auto"/>
              </w:rPr>
            </w:pPr>
            <w:r>
              <w:rPr>
                <w:rFonts w:ascii="Arial" w:cs="Arial" w:eastAsia="Arial" w:hAnsi="Arial"/>
                <w:sz w:val="43"/>
                <w:szCs w:val="43"/>
                <w:color w:val="FFFFFF"/>
              </w:rPr>
              <w:t>3</w:t>
            </w:r>
          </w:p>
        </w:tc>
        <w:tc>
          <w:tcPr>
            <w:tcW w:w="400" w:type="dxa"/>
            <w:vAlign w:val="bottom"/>
            <w:shd w:val="clear" w:color="auto" w:fill="852166"/>
          </w:tcPr>
          <w:p>
            <w:pPr>
              <w:spacing w:after="0"/>
              <w:rPr>
                <w:sz w:val="11"/>
                <w:szCs w:val="11"/>
                <w:color w:val="auto"/>
              </w:rPr>
            </w:pPr>
          </w:p>
        </w:tc>
        <w:tc>
          <w:tcPr>
            <w:tcW w:w="7320" w:type="dxa"/>
            <w:vAlign w:val="bottom"/>
            <w:vMerge w:val="continue"/>
            <w:shd w:val="clear" w:color="auto" w:fill="852166"/>
          </w:tcPr>
          <w:p>
            <w:pPr>
              <w:spacing w:after="0"/>
              <w:rPr>
                <w:sz w:val="11"/>
                <w:szCs w:val="11"/>
                <w:color w:val="auto"/>
              </w:rPr>
            </w:pPr>
          </w:p>
        </w:tc>
        <w:tc>
          <w:tcPr>
            <w:tcW w:w="1940" w:type="dxa"/>
            <w:vAlign w:val="bottom"/>
            <w:shd w:val="clear" w:color="auto" w:fill="852166"/>
          </w:tcPr>
          <w:p>
            <w:pPr>
              <w:spacing w:after="0"/>
              <w:rPr>
                <w:sz w:val="11"/>
                <w:szCs w:val="11"/>
                <w:color w:val="auto"/>
              </w:rPr>
            </w:pPr>
          </w:p>
        </w:tc>
        <w:tc>
          <w:tcPr>
            <w:tcW w:w="240" w:type="dxa"/>
            <w:vAlign w:val="bottom"/>
            <w:shd w:val="clear" w:color="auto" w:fill="852166"/>
          </w:tcPr>
          <w:p>
            <w:pPr>
              <w:spacing w:after="0"/>
              <w:rPr>
                <w:sz w:val="11"/>
                <w:szCs w:val="11"/>
                <w:color w:val="auto"/>
              </w:rPr>
            </w:pPr>
          </w:p>
        </w:tc>
        <w:tc>
          <w:tcPr>
            <w:tcW w:w="0" w:type="dxa"/>
            <w:vAlign w:val="bottom"/>
          </w:tcPr>
          <w:p>
            <w:pPr>
              <w:spacing w:after="0"/>
              <w:rPr>
                <w:sz w:val="1"/>
                <w:szCs w:val="1"/>
                <w:color w:val="auto"/>
              </w:rPr>
            </w:pPr>
          </w:p>
        </w:tc>
      </w:tr>
      <w:tr>
        <w:trPr>
          <w:trHeight w:val="350"/>
        </w:trPr>
        <w:tc>
          <w:tcPr>
            <w:tcW w:w="220" w:type="dxa"/>
            <w:vAlign w:val="bottom"/>
            <w:shd w:val="clear" w:color="auto" w:fill="852166"/>
          </w:tcPr>
          <w:p>
            <w:pPr>
              <w:spacing w:after="0"/>
              <w:rPr>
                <w:sz w:val="24"/>
                <w:szCs w:val="24"/>
                <w:color w:val="auto"/>
              </w:rPr>
            </w:pPr>
          </w:p>
        </w:tc>
        <w:tc>
          <w:tcPr>
            <w:tcW w:w="1120" w:type="dxa"/>
            <w:vAlign w:val="bottom"/>
            <w:vMerge w:val="continue"/>
            <w:shd w:val="clear" w:color="auto" w:fill="852166"/>
          </w:tcPr>
          <w:p>
            <w:pPr>
              <w:spacing w:after="0"/>
              <w:rPr>
                <w:sz w:val="24"/>
                <w:szCs w:val="24"/>
                <w:color w:val="auto"/>
              </w:rPr>
            </w:pPr>
          </w:p>
        </w:tc>
        <w:tc>
          <w:tcPr>
            <w:tcW w:w="400" w:type="dxa"/>
            <w:vAlign w:val="bottom"/>
            <w:shd w:val="clear" w:color="auto" w:fill="852166"/>
          </w:tcPr>
          <w:p>
            <w:pPr>
              <w:spacing w:after="0"/>
              <w:rPr>
                <w:sz w:val="24"/>
                <w:szCs w:val="24"/>
                <w:color w:val="auto"/>
              </w:rPr>
            </w:pPr>
          </w:p>
        </w:tc>
        <w:tc>
          <w:tcPr>
            <w:tcW w:w="7320" w:type="dxa"/>
            <w:vAlign w:val="bottom"/>
            <w:shd w:val="clear" w:color="auto" w:fill="852166"/>
          </w:tcPr>
          <w:p>
            <w:pPr>
              <w:ind w:left="680"/>
              <w:spacing w:after="0"/>
              <w:rPr>
                <w:sz w:val="20"/>
                <w:szCs w:val="20"/>
                <w:color w:val="auto"/>
              </w:rPr>
            </w:pPr>
            <w:r>
              <w:rPr>
                <w:rFonts w:ascii="Arial" w:cs="Arial" w:eastAsia="Arial" w:hAnsi="Arial"/>
                <w:sz w:val="14"/>
                <w:szCs w:val="14"/>
                <w:b w:val="1"/>
                <w:bCs w:val="1"/>
                <w:color w:val="FFFFFF"/>
              </w:rPr>
              <w:t>OUR BOARD RECOMMENDS A VOTE “FOR THIS PROPOSAL.</w:t>
            </w:r>
          </w:p>
        </w:tc>
        <w:tc>
          <w:tcPr>
            <w:tcW w:w="1940" w:type="dxa"/>
            <w:vAlign w:val="bottom"/>
            <w:vMerge w:val="restart"/>
            <w:shd w:val="clear" w:color="auto" w:fill="852166"/>
          </w:tcPr>
          <w:p>
            <w:pPr>
              <w:ind w:left="1100"/>
              <w:spacing w:after="0"/>
              <w:rPr>
                <w:sz w:val="20"/>
                <w:szCs w:val="20"/>
                <w:color w:val="auto"/>
              </w:rPr>
            </w:pPr>
            <w:r>
              <w:rPr>
                <w:rFonts w:ascii="Arial" w:cs="Arial" w:eastAsia="Arial" w:hAnsi="Arial"/>
                <w:sz w:val="14"/>
                <w:szCs w:val="14"/>
                <w:color w:val="FFFFFF"/>
              </w:rPr>
              <w:t>See page 47</w:t>
            </w:r>
          </w:p>
        </w:tc>
        <w:tc>
          <w:tcPr>
            <w:tcW w:w="240" w:type="dxa"/>
            <w:vAlign w:val="bottom"/>
            <w:shd w:val="clear" w:color="auto" w:fill="852166"/>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20" w:type="dxa"/>
            <w:vAlign w:val="bottom"/>
            <w:shd w:val="clear" w:color="auto" w:fill="852166"/>
          </w:tcPr>
          <w:p>
            <w:pPr>
              <w:spacing w:after="0"/>
              <w:rPr>
                <w:sz w:val="8"/>
                <w:szCs w:val="8"/>
                <w:color w:val="auto"/>
              </w:rPr>
            </w:pPr>
          </w:p>
        </w:tc>
        <w:tc>
          <w:tcPr>
            <w:tcW w:w="1120" w:type="dxa"/>
            <w:vAlign w:val="bottom"/>
            <w:vMerge w:val="continue"/>
            <w:shd w:val="clear" w:color="auto" w:fill="852166"/>
          </w:tcPr>
          <w:p>
            <w:pPr>
              <w:spacing w:after="0"/>
              <w:rPr>
                <w:sz w:val="8"/>
                <w:szCs w:val="8"/>
                <w:color w:val="auto"/>
              </w:rPr>
            </w:pPr>
          </w:p>
        </w:tc>
        <w:tc>
          <w:tcPr>
            <w:tcW w:w="400" w:type="dxa"/>
            <w:vAlign w:val="bottom"/>
            <w:shd w:val="clear" w:color="auto" w:fill="852166"/>
          </w:tcPr>
          <w:p>
            <w:pPr>
              <w:spacing w:after="0"/>
              <w:rPr>
                <w:sz w:val="8"/>
                <w:szCs w:val="8"/>
                <w:color w:val="auto"/>
              </w:rPr>
            </w:pPr>
          </w:p>
        </w:tc>
        <w:tc>
          <w:tcPr>
            <w:tcW w:w="7320" w:type="dxa"/>
            <w:vAlign w:val="bottom"/>
            <w:shd w:val="clear" w:color="auto" w:fill="852166"/>
          </w:tcPr>
          <w:p>
            <w:pPr>
              <w:spacing w:after="0"/>
              <w:rPr>
                <w:sz w:val="8"/>
                <w:szCs w:val="8"/>
                <w:color w:val="auto"/>
              </w:rPr>
            </w:pPr>
          </w:p>
        </w:tc>
        <w:tc>
          <w:tcPr>
            <w:tcW w:w="1940" w:type="dxa"/>
            <w:vAlign w:val="bottom"/>
            <w:vMerge w:val="continue"/>
            <w:shd w:val="clear" w:color="auto" w:fill="852166"/>
          </w:tcPr>
          <w:p>
            <w:pPr>
              <w:spacing w:after="0"/>
              <w:rPr>
                <w:sz w:val="8"/>
                <w:szCs w:val="8"/>
                <w:color w:val="auto"/>
              </w:rPr>
            </w:pPr>
          </w:p>
        </w:tc>
        <w:tc>
          <w:tcPr>
            <w:tcW w:w="240" w:type="dxa"/>
            <w:vAlign w:val="bottom"/>
            <w:shd w:val="clear" w:color="auto" w:fill="852166"/>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220" w:type="dxa"/>
            <w:vAlign w:val="bottom"/>
            <w:shd w:val="clear" w:color="auto" w:fill="852166"/>
          </w:tcPr>
          <w:p>
            <w:pPr>
              <w:spacing w:after="0"/>
              <w:rPr>
                <w:sz w:val="23"/>
                <w:szCs w:val="23"/>
                <w:color w:val="auto"/>
              </w:rPr>
            </w:pPr>
          </w:p>
        </w:tc>
        <w:tc>
          <w:tcPr>
            <w:tcW w:w="1120" w:type="dxa"/>
            <w:vAlign w:val="bottom"/>
            <w:shd w:val="clear" w:color="auto" w:fill="852166"/>
          </w:tcPr>
          <w:p>
            <w:pPr>
              <w:spacing w:after="0"/>
              <w:rPr>
                <w:sz w:val="23"/>
                <w:szCs w:val="23"/>
                <w:color w:val="auto"/>
              </w:rPr>
            </w:pPr>
          </w:p>
        </w:tc>
        <w:tc>
          <w:tcPr>
            <w:tcW w:w="400" w:type="dxa"/>
            <w:vAlign w:val="bottom"/>
            <w:shd w:val="clear" w:color="auto" w:fill="852166"/>
          </w:tcPr>
          <w:p>
            <w:pPr>
              <w:spacing w:after="0"/>
              <w:rPr>
                <w:sz w:val="23"/>
                <w:szCs w:val="23"/>
                <w:color w:val="auto"/>
              </w:rPr>
            </w:pPr>
          </w:p>
        </w:tc>
        <w:tc>
          <w:tcPr>
            <w:tcW w:w="7320" w:type="dxa"/>
            <w:vAlign w:val="bottom"/>
            <w:shd w:val="clear" w:color="auto" w:fill="852166"/>
          </w:tcPr>
          <w:p>
            <w:pPr>
              <w:spacing w:after="0"/>
              <w:rPr>
                <w:sz w:val="23"/>
                <w:szCs w:val="23"/>
                <w:color w:val="auto"/>
              </w:rPr>
            </w:pPr>
          </w:p>
        </w:tc>
        <w:tc>
          <w:tcPr>
            <w:tcW w:w="1940" w:type="dxa"/>
            <w:vAlign w:val="bottom"/>
            <w:shd w:val="clear" w:color="auto" w:fill="852166"/>
          </w:tcPr>
          <w:p>
            <w:pPr>
              <w:spacing w:after="0"/>
              <w:rPr>
                <w:sz w:val="23"/>
                <w:szCs w:val="23"/>
                <w:color w:val="auto"/>
              </w:rPr>
            </w:pPr>
          </w:p>
        </w:tc>
        <w:tc>
          <w:tcPr>
            <w:tcW w:w="240" w:type="dxa"/>
            <w:vAlign w:val="bottom"/>
            <w:shd w:val="clear" w:color="auto" w:fill="852166"/>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-393700</wp:posOffset>
            </wp:positionV>
            <wp:extent cx="20574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-170815</wp:posOffset>
            </wp:positionV>
            <wp:extent cx="50546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5460" cy="25400"/>
                    </a:xfrm>
                    <a:prstGeom prst="rect">
                      <a:avLst/>
                    </a:prstGeom>
                    <a:noFill/>
                  </pic:spPr>
                </pic:pic>
              </a:graphicData>
            </a:graphic>
          </wp:anchor>
        </w:drawing>
      </w:r>
    </w:p>
    <w:p>
      <w:pPr>
        <w:spacing w:after="0" w:line="222"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We are asking you to approve, on a non-binding, advisory basis, the compensation for our NEOs, as disclosed in our proxy statement, commonly referred to as a “say-on-pay” vote.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376"/>
        </w:trPr>
        <w:tc>
          <w:tcPr>
            <w:tcW w:w="220" w:type="dxa"/>
            <w:vAlign w:val="bottom"/>
            <w:shd w:val="clear" w:color="auto" w:fill="D27E28"/>
          </w:tcPr>
          <w:p>
            <w:pPr>
              <w:spacing w:after="0"/>
              <w:rPr>
                <w:sz w:val="24"/>
                <w:szCs w:val="24"/>
                <w:color w:val="auto"/>
              </w:rPr>
            </w:pPr>
          </w:p>
        </w:tc>
        <w:tc>
          <w:tcPr>
            <w:tcW w:w="1120" w:type="dxa"/>
            <w:vAlign w:val="bottom"/>
            <w:shd w:val="clear" w:color="auto" w:fill="D27E28"/>
          </w:tcPr>
          <w:p>
            <w:pPr>
              <w:jc w:val="center"/>
              <w:spacing w:after="0"/>
              <w:rPr>
                <w:sz w:val="20"/>
                <w:szCs w:val="20"/>
                <w:color w:val="auto"/>
              </w:rPr>
            </w:pPr>
            <w:r>
              <w:rPr>
                <w:rFonts w:ascii="Arial" w:cs="Arial" w:eastAsia="Arial" w:hAnsi="Arial"/>
                <w:sz w:val="14"/>
                <w:szCs w:val="14"/>
                <w:b w:val="1"/>
                <w:bCs w:val="1"/>
                <w:color w:val="FFFFFF"/>
              </w:rPr>
              <w:t>PROPOSAL</w:t>
            </w:r>
          </w:p>
        </w:tc>
        <w:tc>
          <w:tcPr>
            <w:tcW w:w="400" w:type="dxa"/>
            <w:vAlign w:val="bottom"/>
            <w:shd w:val="clear" w:color="auto" w:fill="D27E28"/>
          </w:tcPr>
          <w:p>
            <w:pPr>
              <w:spacing w:after="0"/>
              <w:rPr>
                <w:sz w:val="24"/>
                <w:szCs w:val="24"/>
                <w:color w:val="auto"/>
              </w:rPr>
            </w:pPr>
          </w:p>
        </w:tc>
        <w:tc>
          <w:tcPr>
            <w:tcW w:w="7040" w:type="dxa"/>
            <w:vAlign w:val="bottom"/>
            <w:vMerge w:val="restart"/>
            <w:shd w:val="clear" w:color="auto" w:fill="D27E28"/>
          </w:tcPr>
          <w:p>
            <w:pPr>
              <w:jc w:val="center"/>
              <w:ind w:right="1261"/>
              <w:spacing w:after="0"/>
              <w:rPr>
                <w:sz w:val="20"/>
                <w:szCs w:val="20"/>
                <w:color w:val="auto"/>
              </w:rPr>
            </w:pPr>
            <w:r>
              <w:rPr>
                <w:rFonts w:ascii="Arial" w:cs="Arial" w:eastAsia="Arial" w:hAnsi="Arial"/>
                <w:sz w:val="25"/>
                <w:szCs w:val="25"/>
                <w:color w:val="FFFFFF"/>
              </w:rPr>
              <w:t>Board Authority to Allot and Issue Ordinary Shares</w:t>
            </w:r>
          </w:p>
        </w:tc>
        <w:tc>
          <w:tcPr>
            <w:tcW w:w="2220" w:type="dxa"/>
            <w:vAlign w:val="bottom"/>
            <w:shd w:val="clear" w:color="auto" w:fill="D27E28"/>
          </w:tcPr>
          <w:p>
            <w:pPr>
              <w:spacing w:after="0"/>
              <w:rPr>
                <w:sz w:val="24"/>
                <w:szCs w:val="24"/>
                <w:color w:val="auto"/>
              </w:rPr>
            </w:pPr>
          </w:p>
        </w:tc>
        <w:tc>
          <w:tcPr>
            <w:tcW w:w="240" w:type="dxa"/>
            <w:vAlign w:val="bottom"/>
            <w:shd w:val="clear" w:color="auto" w:fill="D27E28"/>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20" w:type="dxa"/>
            <w:vAlign w:val="bottom"/>
            <w:shd w:val="clear" w:color="auto" w:fill="D27E28"/>
          </w:tcPr>
          <w:p>
            <w:pPr>
              <w:spacing w:after="0"/>
              <w:rPr>
                <w:sz w:val="11"/>
                <w:szCs w:val="11"/>
                <w:color w:val="auto"/>
              </w:rPr>
            </w:pPr>
          </w:p>
        </w:tc>
        <w:tc>
          <w:tcPr>
            <w:tcW w:w="1120" w:type="dxa"/>
            <w:vAlign w:val="bottom"/>
            <w:vMerge w:val="restart"/>
            <w:shd w:val="clear" w:color="auto" w:fill="D27E28"/>
          </w:tcPr>
          <w:p>
            <w:pPr>
              <w:jc w:val="right"/>
              <w:ind w:right="296"/>
              <w:spacing w:after="0"/>
              <w:rPr>
                <w:sz w:val="20"/>
                <w:szCs w:val="20"/>
                <w:color w:val="auto"/>
              </w:rPr>
            </w:pPr>
            <w:r>
              <w:rPr>
                <w:rFonts w:ascii="Arial" w:cs="Arial" w:eastAsia="Arial" w:hAnsi="Arial"/>
                <w:sz w:val="43"/>
                <w:szCs w:val="43"/>
                <w:color w:val="FFFFFF"/>
              </w:rPr>
              <w:t>4</w:t>
            </w:r>
          </w:p>
        </w:tc>
        <w:tc>
          <w:tcPr>
            <w:tcW w:w="400" w:type="dxa"/>
            <w:vAlign w:val="bottom"/>
            <w:shd w:val="clear" w:color="auto" w:fill="D27E28"/>
          </w:tcPr>
          <w:p>
            <w:pPr>
              <w:spacing w:after="0"/>
              <w:rPr>
                <w:sz w:val="11"/>
                <w:szCs w:val="11"/>
                <w:color w:val="auto"/>
              </w:rPr>
            </w:pPr>
          </w:p>
        </w:tc>
        <w:tc>
          <w:tcPr>
            <w:tcW w:w="7040" w:type="dxa"/>
            <w:vAlign w:val="bottom"/>
            <w:vMerge w:val="continue"/>
            <w:shd w:val="clear" w:color="auto" w:fill="D27E28"/>
          </w:tcPr>
          <w:p>
            <w:pPr>
              <w:spacing w:after="0"/>
              <w:rPr>
                <w:sz w:val="11"/>
                <w:szCs w:val="11"/>
                <w:color w:val="auto"/>
              </w:rPr>
            </w:pPr>
          </w:p>
        </w:tc>
        <w:tc>
          <w:tcPr>
            <w:tcW w:w="2220" w:type="dxa"/>
            <w:vAlign w:val="bottom"/>
            <w:shd w:val="clear" w:color="auto" w:fill="D27E28"/>
          </w:tcPr>
          <w:p>
            <w:pPr>
              <w:spacing w:after="0"/>
              <w:rPr>
                <w:sz w:val="11"/>
                <w:szCs w:val="11"/>
                <w:color w:val="auto"/>
              </w:rPr>
            </w:pPr>
          </w:p>
        </w:tc>
        <w:tc>
          <w:tcPr>
            <w:tcW w:w="240" w:type="dxa"/>
            <w:vAlign w:val="bottom"/>
            <w:shd w:val="clear" w:color="auto" w:fill="D27E28"/>
          </w:tcPr>
          <w:p>
            <w:pPr>
              <w:spacing w:after="0"/>
              <w:rPr>
                <w:sz w:val="11"/>
                <w:szCs w:val="11"/>
                <w:color w:val="auto"/>
              </w:rPr>
            </w:pPr>
          </w:p>
        </w:tc>
        <w:tc>
          <w:tcPr>
            <w:tcW w:w="0" w:type="dxa"/>
            <w:vAlign w:val="bottom"/>
          </w:tcPr>
          <w:p>
            <w:pPr>
              <w:spacing w:after="0"/>
              <w:rPr>
                <w:sz w:val="1"/>
                <w:szCs w:val="1"/>
                <w:color w:val="auto"/>
              </w:rPr>
            </w:pPr>
          </w:p>
        </w:tc>
      </w:tr>
      <w:tr>
        <w:trPr>
          <w:trHeight w:val="350"/>
        </w:trPr>
        <w:tc>
          <w:tcPr>
            <w:tcW w:w="220" w:type="dxa"/>
            <w:vAlign w:val="bottom"/>
            <w:shd w:val="clear" w:color="auto" w:fill="D27E28"/>
          </w:tcPr>
          <w:p>
            <w:pPr>
              <w:spacing w:after="0"/>
              <w:rPr>
                <w:sz w:val="24"/>
                <w:szCs w:val="24"/>
                <w:color w:val="auto"/>
              </w:rPr>
            </w:pPr>
          </w:p>
        </w:tc>
        <w:tc>
          <w:tcPr>
            <w:tcW w:w="1120" w:type="dxa"/>
            <w:vAlign w:val="bottom"/>
            <w:vMerge w:val="continue"/>
            <w:shd w:val="clear" w:color="auto" w:fill="D27E28"/>
          </w:tcPr>
          <w:p>
            <w:pPr>
              <w:spacing w:after="0"/>
              <w:rPr>
                <w:sz w:val="24"/>
                <w:szCs w:val="24"/>
                <w:color w:val="auto"/>
              </w:rPr>
            </w:pPr>
          </w:p>
        </w:tc>
        <w:tc>
          <w:tcPr>
            <w:tcW w:w="400" w:type="dxa"/>
            <w:vAlign w:val="bottom"/>
            <w:shd w:val="clear" w:color="auto" w:fill="D27E28"/>
          </w:tcPr>
          <w:p>
            <w:pPr>
              <w:spacing w:after="0"/>
              <w:rPr>
                <w:sz w:val="24"/>
                <w:szCs w:val="24"/>
                <w:color w:val="auto"/>
              </w:rPr>
            </w:pPr>
          </w:p>
        </w:tc>
        <w:tc>
          <w:tcPr>
            <w:tcW w:w="7040" w:type="dxa"/>
            <w:vAlign w:val="bottom"/>
            <w:shd w:val="clear" w:color="auto" w:fill="D27E28"/>
          </w:tcPr>
          <w:p>
            <w:pPr>
              <w:jc w:val="center"/>
              <w:ind w:right="1281"/>
              <w:spacing w:after="0"/>
              <w:rPr>
                <w:sz w:val="20"/>
                <w:szCs w:val="20"/>
                <w:color w:val="auto"/>
              </w:rPr>
            </w:pPr>
            <w:r>
              <w:rPr>
                <w:rFonts w:ascii="Arial" w:cs="Arial" w:eastAsia="Arial" w:hAnsi="Arial"/>
                <w:sz w:val="14"/>
                <w:szCs w:val="14"/>
                <w:b w:val="1"/>
                <w:bCs w:val="1"/>
                <w:color w:val="FFFFFF"/>
              </w:rPr>
              <w:t>OUR BOARD RECOMMENDS A VOTE “FOR” THIS PROPOSAL.</w:t>
            </w:r>
          </w:p>
        </w:tc>
        <w:tc>
          <w:tcPr>
            <w:tcW w:w="2220" w:type="dxa"/>
            <w:vAlign w:val="bottom"/>
            <w:vMerge w:val="restart"/>
            <w:shd w:val="clear" w:color="auto" w:fill="D27E28"/>
          </w:tcPr>
          <w:p>
            <w:pPr>
              <w:ind w:left="1380"/>
              <w:spacing w:after="0"/>
              <w:rPr>
                <w:sz w:val="20"/>
                <w:szCs w:val="20"/>
                <w:color w:val="auto"/>
              </w:rPr>
            </w:pPr>
            <w:r>
              <w:rPr>
                <w:rFonts w:ascii="Arial" w:cs="Arial" w:eastAsia="Arial" w:hAnsi="Arial"/>
                <w:sz w:val="14"/>
                <w:szCs w:val="14"/>
                <w:color w:val="FFFFFF"/>
              </w:rPr>
              <w:t>See page 97</w:t>
            </w:r>
          </w:p>
        </w:tc>
        <w:tc>
          <w:tcPr>
            <w:tcW w:w="240" w:type="dxa"/>
            <w:vAlign w:val="bottom"/>
            <w:shd w:val="clear" w:color="auto" w:fill="D27E28"/>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20" w:type="dxa"/>
            <w:vAlign w:val="bottom"/>
            <w:shd w:val="clear" w:color="auto" w:fill="D27E28"/>
          </w:tcPr>
          <w:p>
            <w:pPr>
              <w:spacing w:after="0"/>
              <w:rPr>
                <w:sz w:val="8"/>
                <w:szCs w:val="8"/>
                <w:color w:val="auto"/>
              </w:rPr>
            </w:pPr>
          </w:p>
        </w:tc>
        <w:tc>
          <w:tcPr>
            <w:tcW w:w="1120" w:type="dxa"/>
            <w:vAlign w:val="bottom"/>
            <w:vMerge w:val="continue"/>
            <w:shd w:val="clear" w:color="auto" w:fill="D27E28"/>
          </w:tcPr>
          <w:p>
            <w:pPr>
              <w:spacing w:after="0"/>
              <w:rPr>
                <w:sz w:val="8"/>
                <w:szCs w:val="8"/>
                <w:color w:val="auto"/>
              </w:rPr>
            </w:pPr>
          </w:p>
        </w:tc>
        <w:tc>
          <w:tcPr>
            <w:tcW w:w="400" w:type="dxa"/>
            <w:vAlign w:val="bottom"/>
            <w:shd w:val="clear" w:color="auto" w:fill="D27E28"/>
          </w:tcPr>
          <w:p>
            <w:pPr>
              <w:spacing w:after="0"/>
              <w:rPr>
                <w:sz w:val="8"/>
                <w:szCs w:val="8"/>
                <w:color w:val="auto"/>
              </w:rPr>
            </w:pPr>
          </w:p>
        </w:tc>
        <w:tc>
          <w:tcPr>
            <w:tcW w:w="7040" w:type="dxa"/>
            <w:vAlign w:val="bottom"/>
            <w:shd w:val="clear" w:color="auto" w:fill="D27E28"/>
          </w:tcPr>
          <w:p>
            <w:pPr>
              <w:spacing w:after="0"/>
              <w:rPr>
                <w:sz w:val="8"/>
                <w:szCs w:val="8"/>
                <w:color w:val="auto"/>
              </w:rPr>
            </w:pPr>
          </w:p>
        </w:tc>
        <w:tc>
          <w:tcPr>
            <w:tcW w:w="2220" w:type="dxa"/>
            <w:vAlign w:val="bottom"/>
            <w:vMerge w:val="continue"/>
            <w:shd w:val="clear" w:color="auto" w:fill="D27E28"/>
          </w:tcPr>
          <w:p>
            <w:pPr>
              <w:spacing w:after="0"/>
              <w:rPr>
                <w:sz w:val="8"/>
                <w:szCs w:val="8"/>
                <w:color w:val="auto"/>
              </w:rPr>
            </w:pPr>
          </w:p>
        </w:tc>
        <w:tc>
          <w:tcPr>
            <w:tcW w:w="240" w:type="dxa"/>
            <w:vAlign w:val="bottom"/>
            <w:shd w:val="clear" w:color="auto" w:fill="D27E28"/>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220" w:type="dxa"/>
            <w:vAlign w:val="bottom"/>
            <w:shd w:val="clear" w:color="auto" w:fill="D27E28"/>
          </w:tcPr>
          <w:p>
            <w:pPr>
              <w:spacing w:after="0"/>
              <w:rPr>
                <w:sz w:val="23"/>
                <w:szCs w:val="23"/>
                <w:color w:val="auto"/>
              </w:rPr>
            </w:pPr>
          </w:p>
        </w:tc>
        <w:tc>
          <w:tcPr>
            <w:tcW w:w="1120" w:type="dxa"/>
            <w:vAlign w:val="bottom"/>
            <w:shd w:val="clear" w:color="auto" w:fill="D27E28"/>
          </w:tcPr>
          <w:p>
            <w:pPr>
              <w:spacing w:after="0"/>
              <w:rPr>
                <w:sz w:val="23"/>
                <w:szCs w:val="23"/>
                <w:color w:val="auto"/>
              </w:rPr>
            </w:pPr>
          </w:p>
        </w:tc>
        <w:tc>
          <w:tcPr>
            <w:tcW w:w="400" w:type="dxa"/>
            <w:vAlign w:val="bottom"/>
            <w:shd w:val="clear" w:color="auto" w:fill="D27E28"/>
          </w:tcPr>
          <w:p>
            <w:pPr>
              <w:spacing w:after="0"/>
              <w:rPr>
                <w:sz w:val="23"/>
                <w:szCs w:val="23"/>
                <w:color w:val="auto"/>
              </w:rPr>
            </w:pPr>
          </w:p>
        </w:tc>
        <w:tc>
          <w:tcPr>
            <w:tcW w:w="7040" w:type="dxa"/>
            <w:vAlign w:val="bottom"/>
            <w:shd w:val="clear" w:color="auto" w:fill="D27E28"/>
          </w:tcPr>
          <w:p>
            <w:pPr>
              <w:spacing w:after="0"/>
              <w:rPr>
                <w:sz w:val="23"/>
                <w:szCs w:val="23"/>
                <w:color w:val="auto"/>
              </w:rPr>
            </w:pPr>
          </w:p>
        </w:tc>
        <w:tc>
          <w:tcPr>
            <w:tcW w:w="2220" w:type="dxa"/>
            <w:vAlign w:val="bottom"/>
            <w:shd w:val="clear" w:color="auto" w:fill="D27E28"/>
          </w:tcPr>
          <w:p>
            <w:pPr>
              <w:spacing w:after="0"/>
              <w:rPr>
                <w:sz w:val="23"/>
                <w:szCs w:val="23"/>
                <w:color w:val="auto"/>
              </w:rPr>
            </w:pPr>
          </w:p>
        </w:tc>
        <w:tc>
          <w:tcPr>
            <w:tcW w:w="240" w:type="dxa"/>
            <w:vAlign w:val="bottom"/>
            <w:shd w:val="clear" w:color="auto" w:fill="D27E28"/>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-393700</wp:posOffset>
            </wp:positionV>
            <wp:extent cx="205740"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-170815</wp:posOffset>
            </wp:positionV>
            <wp:extent cx="50546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5460" cy="25400"/>
                    </a:xfrm>
                    <a:prstGeom prst="rect">
                      <a:avLst/>
                    </a:prstGeom>
                    <a:noFill/>
                  </pic:spPr>
                </pic:pic>
              </a:graphicData>
            </a:graphic>
          </wp:anchor>
        </w:drawing>
      </w:r>
    </w:p>
    <w:p>
      <w:pPr>
        <w:spacing w:after="0" w:line="22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are asking our shareholders to renew our authority granted to our Board at the 2021 AGM, to allot and issue up to the amount of shares that are already within our authorized share capital for an additional five years. The directors of an Irish public limited company must have specific authority from shareholders to issue shares (including rights to subscribe for or otherwise acquire any shares)—even shares which are part of the company’s authorized but unissued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183515</wp:posOffset>
            </wp:positionV>
            <wp:extent cx="1242695"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1"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 w:name="page11"/>
    <w:bookmarkEnd w:id="10"/>
    <w:p>
      <w:pPr>
        <w:ind w:left="98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6165850</wp:posOffset>
            </wp:positionH>
            <wp:positionV relativeFrom="page">
              <wp:posOffset>208915</wp:posOffset>
            </wp:positionV>
            <wp:extent cx="1174750" cy="300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74750" cy="300355"/>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132320" cy="9772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380" w:type="dxa"/>
        <w:tblCellMar>
          <w:top w:w="0" w:type="dxa"/>
          <w:left w:w="0" w:type="dxa"/>
          <w:bottom w:w="0" w:type="dxa"/>
          <w:right w:w="0" w:type="dxa"/>
        </w:tblCellMar>
      </w:tblPr>
      <w:tr>
        <w:trPr>
          <w:trHeight w:val="231"/>
        </w:trPr>
        <w:tc>
          <w:tcPr>
            <w:tcW w:w="1100" w:type="dxa"/>
            <w:vAlign w:val="bottom"/>
          </w:tcPr>
          <w:p>
            <w:pPr>
              <w:spacing w:after="0"/>
              <w:rPr>
                <w:sz w:val="20"/>
                <w:szCs w:val="20"/>
                <w:color w:val="auto"/>
              </w:rPr>
            </w:pPr>
            <w:r>
              <w:rPr>
                <w:rFonts w:ascii="Arial" w:cs="Arial" w:eastAsia="Arial" w:hAnsi="Arial"/>
                <w:sz w:val="14"/>
                <w:szCs w:val="14"/>
                <w:b w:val="1"/>
                <w:bCs w:val="1"/>
                <w:color w:val="FFFFFF"/>
              </w:rPr>
              <w:t>PROPOSAL</w:t>
            </w:r>
          </w:p>
        </w:tc>
        <w:tc>
          <w:tcPr>
            <w:tcW w:w="8420" w:type="dxa"/>
            <w:vAlign w:val="bottom"/>
            <w:vMerge w:val="restart"/>
          </w:tcPr>
          <w:p>
            <w:pPr>
              <w:ind w:left="280"/>
              <w:spacing w:after="0"/>
              <w:rPr>
                <w:sz w:val="20"/>
                <w:szCs w:val="20"/>
                <w:color w:val="auto"/>
              </w:rPr>
            </w:pPr>
            <w:r>
              <w:rPr>
                <w:rFonts w:ascii="Arial" w:cs="Arial" w:eastAsia="Arial" w:hAnsi="Arial"/>
                <w:sz w:val="25"/>
                <w:szCs w:val="25"/>
                <w:color w:val="FFFFFF"/>
              </w:rPr>
              <w:t>Board Authority to Allot and Issue Ordinary Shares for Cash Without First</w:t>
            </w:r>
          </w:p>
        </w:tc>
        <w:tc>
          <w:tcPr>
            <w:tcW w:w="0" w:type="dxa"/>
            <w:vAlign w:val="bottom"/>
          </w:tcPr>
          <w:p>
            <w:pPr>
              <w:spacing w:after="0"/>
              <w:rPr>
                <w:sz w:val="1"/>
                <w:szCs w:val="1"/>
                <w:color w:val="auto"/>
              </w:rPr>
            </w:pPr>
          </w:p>
        </w:tc>
      </w:tr>
      <w:tr>
        <w:trPr>
          <w:trHeight w:val="57"/>
        </w:trPr>
        <w:tc>
          <w:tcPr>
            <w:tcW w:w="1100" w:type="dxa"/>
            <w:vAlign w:val="bottom"/>
          </w:tcPr>
          <w:p>
            <w:pPr>
              <w:spacing w:after="0"/>
              <w:rPr>
                <w:sz w:val="4"/>
                <w:szCs w:val="4"/>
                <w:color w:val="auto"/>
              </w:rPr>
            </w:pPr>
          </w:p>
        </w:tc>
        <w:tc>
          <w:tcPr>
            <w:tcW w:w="8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760" w:hanging="1096"/>
        <w:spacing w:after="0" w:line="195" w:lineRule="auto"/>
        <w:tabs>
          <w:tab w:leader="none" w:pos="1760" w:val="left"/>
        </w:tabs>
        <w:numPr>
          <w:ilvl w:val="0"/>
          <w:numId w:val="4"/>
        </w:numPr>
        <w:rPr>
          <w:rFonts w:ascii="Arial" w:cs="Arial" w:eastAsia="Arial" w:hAnsi="Arial"/>
          <w:sz w:val="43"/>
          <w:szCs w:val="43"/>
          <w:color w:val="FFFFFF"/>
        </w:rPr>
      </w:pPr>
      <w:r>
        <w:rPr>
          <w:rFonts w:ascii="Arial" w:cs="Arial" w:eastAsia="Arial" w:hAnsi="Arial"/>
          <w:sz w:val="25"/>
          <w:szCs w:val="25"/>
          <w:color w:val="FFFFFF"/>
        </w:rPr>
        <w:t>Offering Shares to Existing Shareholders</w:t>
      </w:r>
    </w:p>
    <w:p>
      <w:pPr>
        <w:spacing w:after="0" w:line="169" w:lineRule="exact"/>
        <w:rPr>
          <w:sz w:val="20"/>
          <w:szCs w:val="20"/>
          <w:color w:val="auto"/>
        </w:rPr>
      </w:pPr>
    </w:p>
    <w:tbl>
      <w:tblPr>
        <w:tblLayout w:type="fixed"/>
        <w:tblInd w:w="2420" w:type="dxa"/>
        <w:tblCellMar>
          <w:top w:w="0" w:type="dxa"/>
          <w:left w:w="0" w:type="dxa"/>
          <w:bottom w:w="0" w:type="dxa"/>
          <w:right w:w="0" w:type="dxa"/>
        </w:tblCellMar>
      </w:tblPr>
      <w:tr>
        <w:trPr>
          <w:trHeight w:val="196"/>
        </w:trPr>
        <w:tc>
          <w:tcPr>
            <w:tcW w:w="5980" w:type="dxa"/>
            <w:vAlign w:val="bottom"/>
          </w:tcPr>
          <w:p>
            <w:pPr>
              <w:spacing w:after="0"/>
              <w:rPr>
                <w:sz w:val="20"/>
                <w:szCs w:val="20"/>
                <w:color w:val="auto"/>
              </w:rPr>
            </w:pPr>
            <w:r>
              <w:rPr>
                <w:rFonts w:ascii="Arial" w:cs="Arial" w:eastAsia="Arial" w:hAnsi="Arial"/>
                <w:sz w:val="14"/>
                <w:szCs w:val="14"/>
                <w:b w:val="1"/>
                <w:bCs w:val="1"/>
                <w:color w:val="FFFFFF"/>
              </w:rPr>
              <w:t>OUR BOARD RECOMMENDS A VOTE “FOR” THIS PROPOSAL.</w:t>
            </w:r>
          </w:p>
        </w:tc>
        <w:tc>
          <w:tcPr>
            <w:tcW w:w="2580" w:type="dxa"/>
            <w:vAlign w:val="bottom"/>
            <w:vMerge w:val="restart"/>
          </w:tcPr>
          <w:p>
            <w:pPr>
              <w:ind w:left="1680"/>
              <w:spacing w:after="0"/>
              <w:rPr>
                <w:sz w:val="20"/>
                <w:szCs w:val="20"/>
                <w:color w:val="auto"/>
              </w:rPr>
            </w:pPr>
            <w:r>
              <w:rPr>
                <w:rFonts w:ascii="Arial" w:cs="Arial" w:eastAsia="Arial" w:hAnsi="Arial"/>
                <w:sz w:val="14"/>
                <w:szCs w:val="14"/>
                <w:color w:val="FFFFFF"/>
              </w:rPr>
              <w:t>See page 101</w:t>
            </w:r>
          </w:p>
        </w:tc>
        <w:tc>
          <w:tcPr>
            <w:tcW w:w="0" w:type="dxa"/>
            <w:vAlign w:val="bottom"/>
          </w:tcPr>
          <w:p>
            <w:pPr>
              <w:spacing w:after="0"/>
              <w:rPr>
                <w:sz w:val="1"/>
                <w:szCs w:val="1"/>
                <w:color w:val="auto"/>
              </w:rPr>
            </w:pPr>
          </w:p>
        </w:tc>
      </w:tr>
      <w:tr>
        <w:trPr>
          <w:trHeight w:val="62"/>
        </w:trPr>
        <w:tc>
          <w:tcPr>
            <w:tcW w:w="5980" w:type="dxa"/>
            <w:vAlign w:val="bottom"/>
          </w:tcPr>
          <w:p>
            <w:pPr>
              <w:spacing w:after="0"/>
              <w:rPr>
                <w:sz w:val="5"/>
                <w:szCs w:val="5"/>
                <w:color w:val="auto"/>
              </w:rPr>
            </w:pPr>
          </w:p>
        </w:tc>
        <w:tc>
          <w:tcPr>
            <w:tcW w:w="2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We are asking our shareholders to renew the authority granted to our Board at the 2025 AGM, to opt out of the pre-emption rights provision in the event of an issuance of shares for cash up to the amount of 20% of our issued ordinary share capital in the aggregate, for a period expiring on the date being 18 months from the passing of the resolution set forth in Proposal 5, unless otherwise varied, renewed or revoked.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7797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77978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1100" w:type="dxa"/>
            <w:vAlign w:val="bottom"/>
          </w:tcPr>
          <w:p>
            <w:pPr>
              <w:jc w:val="center"/>
              <w:ind w:right="156"/>
              <w:spacing w:after="0"/>
              <w:rPr>
                <w:sz w:val="20"/>
                <w:szCs w:val="20"/>
                <w:color w:val="auto"/>
              </w:rPr>
            </w:pPr>
            <w:r>
              <w:rPr>
                <w:rFonts w:ascii="Arial" w:cs="Arial" w:eastAsia="Arial" w:hAnsi="Arial"/>
                <w:sz w:val="14"/>
                <w:szCs w:val="14"/>
                <w:b w:val="1"/>
                <w:bCs w:val="1"/>
                <w:color w:val="FFFFFF"/>
              </w:rPr>
              <w:t>PROPOSAL</w:t>
            </w:r>
          </w:p>
        </w:tc>
        <w:tc>
          <w:tcPr>
            <w:tcW w:w="6920" w:type="dxa"/>
            <w:vAlign w:val="bottom"/>
            <w:vMerge w:val="restart"/>
          </w:tcPr>
          <w:p>
            <w:pPr>
              <w:ind w:left="280"/>
              <w:spacing w:after="0"/>
              <w:rPr>
                <w:sz w:val="20"/>
                <w:szCs w:val="20"/>
                <w:color w:val="auto"/>
              </w:rPr>
            </w:pPr>
            <w:r>
              <w:rPr>
                <w:rFonts w:ascii="Arial" w:cs="Arial" w:eastAsia="Arial" w:hAnsi="Arial"/>
                <w:sz w:val="25"/>
                <w:szCs w:val="25"/>
                <w:color w:val="FFFFFF"/>
              </w:rPr>
              <w:t>Adjournment Proposal</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100" w:type="dxa"/>
            <w:vAlign w:val="bottom"/>
            <w:vMerge w:val="restart"/>
          </w:tcPr>
          <w:p>
            <w:pPr>
              <w:jc w:val="right"/>
              <w:ind w:right="436"/>
              <w:spacing w:after="0"/>
              <w:rPr>
                <w:sz w:val="20"/>
                <w:szCs w:val="20"/>
                <w:color w:val="auto"/>
              </w:rPr>
            </w:pPr>
            <w:r>
              <w:rPr>
                <w:rFonts w:ascii="Arial" w:cs="Arial" w:eastAsia="Arial" w:hAnsi="Arial"/>
                <w:sz w:val="43"/>
                <w:szCs w:val="43"/>
                <w:color w:val="FFFFFF"/>
              </w:rPr>
              <w:t>6</w:t>
            </w:r>
          </w:p>
        </w:tc>
        <w:tc>
          <w:tcPr>
            <w:tcW w:w="6920" w:type="dxa"/>
            <w:vAlign w:val="bottom"/>
            <w:vMerge w:val="continue"/>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6"/>
        </w:trPr>
        <w:tc>
          <w:tcPr>
            <w:tcW w:w="1100" w:type="dxa"/>
            <w:vAlign w:val="bottom"/>
            <w:vMerge w:val="continue"/>
          </w:tcPr>
          <w:p>
            <w:pPr>
              <w:spacing w:after="0"/>
              <w:rPr>
                <w:sz w:val="24"/>
                <w:szCs w:val="24"/>
                <w:color w:val="auto"/>
              </w:rPr>
            </w:pPr>
          </w:p>
        </w:tc>
        <w:tc>
          <w:tcPr>
            <w:tcW w:w="6920" w:type="dxa"/>
            <w:vAlign w:val="bottom"/>
          </w:tcPr>
          <w:p>
            <w:pPr>
              <w:ind w:left="940"/>
              <w:spacing w:after="0"/>
              <w:rPr>
                <w:sz w:val="20"/>
                <w:szCs w:val="20"/>
                <w:color w:val="auto"/>
              </w:rPr>
            </w:pPr>
            <w:r>
              <w:rPr>
                <w:rFonts w:ascii="Arial" w:cs="Arial" w:eastAsia="Arial" w:hAnsi="Arial"/>
                <w:sz w:val="14"/>
                <w:szCs w:val="14"/>
                <w:b w:val="1"/>
                <w:bCs w:val="1"/>
                <w:color w:val="FFFFFF"/>
              </w:rPr>
              <w:t>OUR BOARD RECOMMENDS A VOTE “FOR” THIS PROPOSAL.</w:t>
            </w:r>
          </w:p>
        </w:tc>
        <w:tc>
          <w:tcPr>
            <w:tcW w:w="2580" w:type="dxa"/>
            <w:vAlign w:val="bottom"/>
          </w:tcPr>
          <w:p>
            <w:pPr>
              <w:ind w:left="1680"/>
              <w:spacing w:after="0"/>
              <w:rPr>
                <w:sz w:val="20"/>
                <w:szCs w:val="20"/>
                <w:color w:val="auto"/>
              </w:rPr>
            </w:pPr>
            <w:r>
              <w:rPr>
                <w:rFonts w:ascii="Arial" w:cs="Arial" w:eastAsia="Arial" w:hAnsi="Arial"/>
                <w:sz w:val="14"/>
                <w:szCs w:val="14"/>
                <w:color w:val="FFFFFF"/>
              </w:rPr>
              <w:t>See page 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We are asking our shareholders to vote on a proposal to approve any motion to adjourn the AGM, or any adjournments thereof, to another time and place to solicit additional proxies if there are insufficient votes at the time of the AGM to approve either Proposal 4 or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416560</wp:posOffset>
            </wp:positionV>
            <wp:extent cx="1242695"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6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852166"/>
              </w:rPr>
              <w:t>3</w:t>
            </w:r>
          </w:p>
        </w:tc>
      </w:tr>
      <w:tr>
        <w:trPr>
          <w:trHeight w:val="495"/>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1" w:name="page12"/>
    <w:bookmarkEnd w:id="11"/>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108839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rPr>
          <w:sz w:val="20"/>
          <w:szCs w:val="20"/>
          <w:color w:val="auto"/>
        </w:rPr>
      </w:pPr>
      <w:r>
        <w:rPr>
          <w:rFonts w:ascii="Arial" w:cs="Arial" w:eastAsia="Arial" w:hAnsi="Arial"/>
          <w:sz w:val="54"/>
          <w:szCs w:val="54"/>
          <w:b w:val="1"/>
          <w:bCs w:val="1"/>
          <w:color w:val="001C71"/>
        </w:rPr>
        <w:t>Our Board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Borders>
              <w:right w:val="single" w:sz="8" w:color="852166"/>
            </w:tcBorders>
          </w:tcPr>
          <w:p>
            <w:pPr>
              <w:spacing w:after="0"/>
              <w:rPr>
                <w:sz w:val="16"/>
                <w:szCs w:val="16"/>
                <w:color w:val="auto"/>
              </w:rPr>
            </w:pPr>
          </w:p>
        </w:tc>
        <w:tc>
          <w:tcPr>
            <w:tcW w:w="920" w:type="dxa"/>
            <w:vAlign w:val="bottom"/>
            <w:tcBorders>
              <w:top w:val="single" w:sz="8" w:color="852166"/>
            </w:tcBorders>
          </w:tcPr>
          <w:p>
            <w:pPr>
              <w:spacing w:after="0"/>
              <w:rPr>
                <w:sz w:val="16"/>
                <w:szCs w:val="16"/>
                <w:color w:val="auto"/>
              </w:rPr>
            </w:pPr>
          </w:p>
        </w:tc>
        <w:tc>
          <w:tcPr>
            <w:tcW w:w="2160" w:type="dxa"/>
            <w:vAlign w:val="bottom"/>
            <w:tcBorders>
              <w:top w:val="single" w:sz="8" w:color="852166"/>
            </w:tcBorders>
            <w:gridSpan w:val="2"/>
          </w:tcPr>
          <w:p>
            <w:pPr>
              <w:ind w:left="160"/>
              <w:spacing w:after="0"/>
              <w:rPr>
                <w:sz w:val="20"/>
                <w:szCs w:val="20"/>
                <w:color w:val="auto"/>
              </w:rPr>
            </w:pPr>
            <w:r>
              <w:rPr>
                <w:rFonts w:ascii="Arial" w:cs="Arial" w:eastAsia="Arial" w:hAnsi="Arial"/>
                <w:sz w:val="13"/>
                <w:szCs w:val="13"/>
                <w:b w:val="1"/>
                <w:bCs w:val="1"/>
                <w:color w:val="852166"/>
              </w:rPr>
              <w:t>Committee Membership</w:t>
            </w:r>
          </w:p>
        </w:tc>
        <w:tc>
          <w:tcPr>
            <w:tcW w:w="520" w:type="dxa"/>
            <w:vAlign w:val="bottom"/>
            <w:tcBorders>
              <w:top w:val="single" w:sz="8" w:color="852166"/>
              <w:right w:val="single" w:sz="8" w:color="852166"/>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Borders>
              <w:right w:val="single" w:sz="8" w:color="852166"/>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Borders>
              <w:right w:val="single" w:sz="8" w:color="85216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200" w:type="dxa"/>
            <w:vAlign w:val="bottom"/>
            <w:shd w:val="clear" w:color="auto" w:fill="001C71"/>
          </w:tcPr>
          <w:p>
            <w:pPr>
              <w:spacing w:after="0"/>
              <w:rPr>
                <w:sz w:val="18"/>
                <w:szCs w:val="18"/>
                <w:color w:val="auto"/>
              </w:rPr>
            </w:pPr>
          </w:p>
        </w:tc>
        <w:tc>
          <w:tcPr>
            <w:tcW w:w="460" w:type="dxa"/>
            <w:vAlign w:val="bottom"/>
            <w:shd w:val="clear" w:color="auto" w:fill="001C71"/>
          </w:tcPr>
          <w:p>
            <w:pPr>
              <w:spacing w:after="0"/>
              <w:rPr>
                <w:sz w:val="18"/>
                <w:szCs w:val="18"/>
                <w:color w:val="auto"/>
              </w:rPr>
            </w:pPr>
          </w:p>
        </w:tc>
        <w:tc>
          <w:tcPr>
            <w:tcW w:w="760" w:type="dxa"/>
            <w:vAlign w:val="bottom"/>
            <w:shd w:val="clear" w:color="auto" w:fill="001C71"/>
          </w:tcPr>
          <w:p>
            <w:pPr>
              <w:jc w:val="center"/>
              <w:spacing w:after="0"/>
              <w:rPr>
                <w:sz w:val="20"/>
                <w:szCs w:val="20"/>
                <w:color w:val="auto"/>
              </w:rPr>
            </w:pPr>
            <w:r>
              <w:rPr>
                <w:rFonts w:ascii="Arial" w:cs="Arial" w:eastAsia="Arial" w:hAnsi="Arial"/>
                <w:sz w:val="13"/>
                <w:szCs w:val="13"/>
                <w:b w:val="1"/>
                <w:bCs w:val="1"/>
                <w:color w:val="FFFFFF"/>
                <w:w w:val="96"/>
              </w:rPr>
              <w:t>Director</w:t>
            </w:r>
          </w:p>
        </w:tc>
        <w:tc>
          <w:tcPr>
            <w:tcW w:w="1040" w:type="dxa"/>
            <w:vAlign w:val="bottom"/>
            <w:shd w:val="clear" w:color="auto" w:fill="001C71"/>
          </w:tcPr>
          <w:p>
            <w:pPr>
              <w:spacing w:after="0"/>
              <w:rPr>
                <w:sz w:val="18"/>
                <w:szCs w:val="18"/>
                <w:color w:val="auto"/>
              </w:rPr>
            </w:pPr>
          </w:p>
        </w:tc>
        <w:tc>
          <w:tcPr>
            <w:tcW w:w="1200" w:type="dxa"/>
            <w:vAlign w:val="bottom"/>
            <w:tcBorders>
              <w:right w:val="single" w:sz="8" w:color="852166"/>
            </w:tcBorders>
            <w:shd w:val="clear" w:color="auto" w:fill="001C71"/>
          </w:tcPr>
          <w:p>
            <w:pPr>
              <w:jc w:val="center"/>
              <w:spacing w:after="0"/>
              <w:rPr>
                <w:sz w:val="20"/>
                <w:szCs w:val="20"/>
                <w:color w:val="auto"/>
              </w:rPr>
            </w:pPr>
            <w:r>
              <w:rPr>
                <w:rFonts w:ascii="Arial" w:cs="Arial" w:eastAsia="Arial" w:hAnsi="Arial"/>
                <w:sz w:val="13"/>
                <w:szCs w:val="13"/>
                <w:b w:val="1"/>
                <w:bCs w:val="1"/>
                <w:color w:val="FFFFFF"/>
                <w:w w:val="96"/>
              </w:rPr>
              <w:t>Other Current</w:t>
            </w:r>
          </w:p>
        </w:tc>
        <w:tc>
          <w:tcPr>
            <w:tcW w:w="92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6"/>
              </w:rPr>
              <w:t>Audit</w:t>
            </w:r>
          </w:p>
        </w:tc>
        <w:tc>
          <w:tcPr>
            <w:tcW w:w="120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7"/>
              </w:rPr>
              <w:t>Compensation</w:t>
            </w:r>
          </w:p>
        </w:tc>
        <w:tc>
          <w:tcPr>
            <w:tcW w:w="96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7"/>
              </w:rPr>
              <w:t>Nominating</w:t>
            </w:r>
          </w:p>
        </w:tc>
        <w:tc>
          <w:tcPr>
            <w:tcW w:w="520" w:type="dxa"/>
            <w:vAlign w:val="bottom"/>
            <w:tcBorders>
              <w:right w:val="single" w:sz="8" w:color="852166"/>
            </w:tcBorders>
            <w:shd w:val="clear" w:color="auto" w:fill="852166"/>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200" w:type="dxa"/>
            <w:vAlign w:val="bottom"/>
            <w:shd w:val="clear" w:color="auto" w:fill="001C71"/>
          </w:tcPr>
          <w:p>
            <w:pPr>
              <w:ind w:left="80"/>
              <w:spacing w:after="0"/>
              <w:rPr>
                <w:sz w:val="20"/>
                <w:szCs w:val="20"/>
                <w:color w:val="auto"/>
              </w:rPr>
            </w:pPr>
            <w:r>
              <w:rPr>
                <w:rFonts w:ascii="Arial" w:cs="Arial" w:eastAsia="Arial" w:hAnsi="Arial"/>
                <w:sz w:val="13"/>
                <w:szCs w:val="13"/>
                <w:b w:val="1"/>
                <w:bCs w:val="1"/>
                <w:color w:val="FFFFFF"/>
              </w:rPr>
              <w:t>Name and Principal Position</w:t>
            </w:r>
          </w:p>
        </w:tc>
        <w:tc>
          <w:tcPr>
            <w:tcW w:w="460" w:type="dxa"/>
            <w:vAlign w:val="bottom"/>
            <w:shd w:val="clear" w:color="auto" w:fill="001C71"/>
          </w:tcPr>
          <w:p>
            <w:pPr>
              <w:ind w:left="120"/>
              <w:spacing w:after="0"/>
              <w:rPr>
                <w:sz w:val="20"/>
                <w:szCs w:val="20"/>
                <w:color w:val="auto"/>
              </w:rPr>
            </w:pPr>
            <w:r>
              <w:rPr>
                <w:rFonts w:ascii="Arial" w:cs="Arial" w:eastAsia="Arial" w:hAnsi="Arial"/>
                <w:sz w:val="13"/>
                <w:szCs w:val="13"/>
                <w:b w:val="1"/>
                <w:bCs w:val="1"/>
                <w:color w:val="FFFFFF"/>
              </w:rPr>
              <w:t>Age</w:t>
            </w:r>
          </w:p>
        </w:tc>
        <w:tc>
          <w:tcPr>
            <w:tcW w:w="760" w:type="dxa"/>
            <w:vAlign w:val="bottom"/>
            <w:shd w:val="clear" w:color="auto" w:fill="001C71"/>
          </w:tcPr>
          <w:p>
            <w:pPr>
              <w:jc w:val="center"/>
              <w:spacing w:after="0"/>
              <w:rPr>
                <w:sz w:val="20"/>
                <w:szCs w:val="20"/>
                <w:color w:val="auto"/>
              </w:rPr>
            </w:pPr>
            <w:r>
              <w:rPr>
                <w:rFonts w:ascii="Arial" w:cs="Arial" w:eastAsia="Arial" w:hAnsi="Arial"/>
                <w:sz w:val="13"/>
                <w:szCs w:val="13"/>
                <w:b w:val="1"/>
                <w:bCs w:val="1"/>
                <w:color w:val="FFFFFF"/>
                <w:w w:val="97"/>
              </w:rPr>
              <w:t>Since</w:t>
            </w:r>
          </w:p>
        </w:tc>
        <w:tc>
          <w:tcPr>
            <w:tcW w:w="1040" w:type="dxa"/>
            <w:vAlign w:val="bottom"/>
            <w:shd w:val="clear" w:color="auto" w:fill="001C71"/>
          </w:tcPr>
          <w:p>
            <w:pPr>
              <w:ind w:left="120"/>
              <w:spacing w:after="0"/>
              <w:rPr>
                <w:sz w:val="20"/>
                <w:szCs w:val="20"/>
                <w:color w:val="auto"/>
              </w:rPr>
            </w:pPr>
            <w:r>
              <w:rPr>
                <w:rFonts w:ascii="Arial" w:cs="Arial" w:eastAsia="Arial" w:hAnsi="Arial"/>
                <w:sz w:val="13"/>
                <w:szCs w:val="13"/>
                <w:b w:val="1"/>
                <w:bCs w:val="1"/>
                <w:color w:val="FFFFFF"/>
              </w:rPr>
              <w:t>Independent</w:t>
            </w:r>
          </w:p>
        </w:tc>
        <w:tc>
          <w:tcPr>
            <w:tcW w:w="1200" w:type="dxa"/>
            <w:vAlign w:val="bottom"/>
            <w:tcBorders>
              <w:right w:val="single" w:sz="8" w:color="852166"/>
            </w:tcBorders>
            <w:shd w:val="clear" w:color="auto" w:fill="001C71"/>
          </w:tcPr>
          <w:p>
            <w:pPr>
              <w:jc w:val="center"/>
              <w:spacing w:after="0"/>
              <w:rPr>
                <w:sz w:val="20"/>
                <w:szCs w:val="20"/>
                <w:color w:val="auto"/>
              </w:rPr>
            </w:pPr>
            <w:r>
              <w:rPr>
                <w:rFonts w:ascii="Arial" w:cs="Arial" w:eastAsia="Arial" w:hAnsi="Arial"/>
                <w:sz w:val="13"/>
                <w:szCs w:val="13"/>
                <w:b w:val="1"/>
                <w:bCs w:val="1"/>
                <w:color w:val="FFFFFF"/>
                <w:w w:val="98"/>
              </w:rPr>
              <w:t>Public Boards</w:t>
            </w:r>
          </w:p>
        </w:tc>
        <w:tc>
          <w:tcPr>
            <w:tcW w:w="92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8"/>
              </w:rPr>
              <w:t>Committee</w:t>
            </w:r>
          </w:p>
        </w:tc>
        <w:tc>
          <w:tcPr>
            <w:tcW w:w="120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5"/>
              </w:rPr>
              <w:t>Committee</w:t>
            </w:r>
          </w:p>
        </w:tc>
        <w:tc>
          <w:tcPr>
            <w:tcW w:w="96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8"/>
              </w:rPr>
              <w:t>Committee</w:t>
            </w:r>
          </w:p>
        </w:tc>
        <w:tc>
          <w:tcPr>
            <w:tcW w:w="520" w:type="dxa"/>
            <w:vAlign w:val="bottom"/>
            <w:tcBorders>
              <w:right w:val="single" w:sz="8" w:color="852166"/>
            </w:tcBorders>
            <w:shd w:val="clear" w:color="auto" w:fill="852166"/>
          </w:tcPr>
          <w:p>
            <w:pPr>
              <w:jc w:val="center"/>
              <w:spacing w:after="0"/>
              <w:rPr>
                <w:sz w:val="20"/>
                <w:szCs w:val="20"/>
                <w:color w:val="auto"/>
              </w:rPr>
            </w:pPr>
            <w:r>
              <w:rPr>
                <w:rFonts w:ascii="Arial" w:cs="Arial" w:eastAsia="Arial" w:hAnsi="Arial"/>
                <w:sz w:val="13"/>
                <w:szCs w:val="13"/>
                <w:b w:val="1"/>
                <w:bCs w:val="1"/>
                <w:color w:val="FFFFFF"/>
                <w:w w:val="96"/>
              </w:rPr>
              <w:t>SMC</w:t>
            </w:r>
          </w:p>
        </w:tc>
        <w:tc>
          <w:tcPr>
            <w:tcW w:w="0" w:type="dxa"/>
            <w:vAlign w:val="bottom"/>
          </w:tcPr>
          <w:p>
            <w:pPr>
              <w:spacing w:after="0"/>
              <w:rPr>
                <w:sz w:val="1"/>
                <w:szCs w:val="1"/>
                <w:color w:val="auto"/>
              </w:rPr>
            </w:pPr>
          </w:p>
        </w:tc>
      </w:tr>
      <w:tr>
        <w:trPr>
          <w:trHeight w:val="76"/>
        </w:trPr>
        <w:tc>
          <w:tcPr>
            <w:tcW w:w="4200" w:type="dxa"/>
            <w:vAlign w:val="bottom"/>
            <w:shd w:val="clear" w:color="auto" w:fill="001C71"/>
          </w:tcPr>
          <w:p>
            <w:pPr>
              <w:spacing w:after="0"/>
              <w:rPr>
                <w:sz w:val="6"/>
                <w:szCs w:val="6"/>
                <w:color w:val="auto"/>
              </w:rPr>
            </w:pPr>
          </w:p>
        </w:tc>
        <w:tc>
          <w:tcPr>
            <w:tcW w:w="460" w:type="dxa"/>
            <w:vAlign w:val="bottom"/>
            <w:shd w:val="clear" w:color="auto" w:fill="001C71"/>
          </w:tcPr>
          <w:p>
            <w:pPr>
              <w:spacing w:after="0"/>
              <w:rPr>
                <w:sz w:val="6"/>
                <w:szCs w:val="6"/>
                <w:color w:val="auto"/>
              </w:rPr>
            </w:pPr>
          </w:p>
        </w:tc>
        <w:tc>
          <w:tcPr>
            <w:tcW w:w="760" w:type="dxa"/>
            <w:vAlign w:val="bottom"/>
            <w:shd w:val="clear" w:color="auto" w:fill="001C71"/>
          </w:tcPr>
          <w:p>
            <w:pPr>
              <w:spacing w:after="0"/>
              <w:rPr>
                <w:sz w:val="6"/>
                <w:szCs w:val="6"/>
                <w:color w:val="auto"/>
              </w:rPr>
            </w:pPr>
          </w:p>
        </w:tc>
        <w:tc>
          <w:tcPr>
            <w:tcW w:w="1040" w:type="dxa"/>
            <w:vAlign w:val="bottom"/>
            <w:shd w:val="clear" w:color="auto" w:fill="001C71"/>
          </w:tcPr>
          <w:p>
            <w:pPr>
              <w:spacing w:after="0"/>
              <w:rPr>
                <w:sz w:val="6"/>
                <w:szCs w:val="6"/>
                <w:color w:val="auto"/>
              </w:rPr>
            </w:pPr>
          </w:p>
        </w:tc>
        <w:tc>
          <w:tcPr>
            <w:tcW w:w="1200" w:type="dxa"/>
            <w:vAlign w:val="bottom"/>
            <w:tcBorders>
              <w:right w:val="single" w:sz="8" w:color="852166"/>
            </w:tcBorders>
            <w:shd w:val="clear" w:color="auto" w:fill="001C71"/>
          </w:tcPr>
          <w:p>
            <w:pPr>
              <w:spacing w:after="0"/>
              <w:rPr>
                <w:sz w:val="6"/>
                <w:szCs w:val="6"/>
                <w:color w:val="auto"/>
              </w:rPr>
            </w:pPr>
          </w:p>
        </w:tc>
        <w:tc>
          <w:tcPr>
            <w:tcW w:w="920" w:type="dxa"/>
            <w:vAlign w:val="bottom"/>
            <w:shd w:val="clear" w:color="auto" w:fill="852166"/>
          </w:tcPr>
          <w:p>
            <w:pPr>
              <w:spacing w:after="0"/>
              <w:rPr>
                <w:sz w:val="6"/>
                <w:szCs w:val="6"/>
                <w:color w:val="auto"/>
              </w:rPr>
            </w:pPr>
          </w:p>
        </w:tc>
        <w:tc>
          <w:tcPr>
            <w:tcW w:w="1200" w:type="dxa"/>
            <w:vAlign w:val="bottom"/>
            <w:shd w:val="clear" w:color="auto" w:fill="852166"/>
          </w:tcPr>
          <w:p>
            <w:pPr>
              <w:spacing w:after="0"/>
              <w:rPr>
                <w:sz w:val="6"/>
                <w:szCs w:val="6"/>
                <w:color w:val="auto"/>
              </w:rPr>
            </w:pPr>
          </w:p>
        </w:tc>
        <w:tc>
          <w:tcPr>
            <w:tcW w:w="960" w:type="dxa"/>
            <w:vAlign w:val="bottom"/>
            <w:shd w:val="clear" w:color="auto" w:fill="852166"/>
          </w:tcPr>
          <w:p>
            <w:pPr>
              <w:spacing w:after="0"/>
              <w:rPr>
                <w:sz w:val="6"/>
                <w:szCs w:val="6"/>
                <w:color w:val="auto"/>
              </w:rPr>
            </w:pPr>
          </w:p>
        </w:tc>
        <w:tc>
          <w:tcPr>
            <w:tcW w:w="520" w:type="dxa"/>
            <w:vAlign w:val="bottom"/>
            <w:tcBorders>
              <w:right w:val="single" w:sz="8" w:color="852166"/>
            </w:tcBorders>
            <w:shd w:val="clear" w:color="auto" w:fill="852166"/>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F0F0F0"/>
          </w:tcPr>
          <w:p>
            <w:pPr>
              <w:ind w:left="80"/>
              <w:spacing w:after="0"/>
              <w:rPr>
                <w:sz w:val="20"/>
                <w:szCs w:val="20"/>
                <w:color w:val="auto"/>
              </w:rPr>
            </w:pPr>
            <w:r>
              <w:rPr>
                <w:rFonts w:ascii="Arial" w:cs="Arial" w:eastAsia="Arial" w:hAnsi="Arial"/>
                <w:sz w:val="14"/>
                <w:szCs w:val="14"/>
                <w:b w:val="1"/>
                <w:bCs w:val="1"/>
                <w:color w:val="5673B8"/>
              </w:rPr>
              <w:t>2026 DIRECTOR NOMINEES</w:t>
            </w:r>
          </w:p>
        </w:tc>
        <w:tc>
          <w:tcPr>
            <w:tcW w:w="460" w:type="dxa"/>
            <w:vAlign w:val="bottom"/>
            <w:shd w:val="clear" w:color="auto" w:fill="F0F0F0"/>
          </w:tcPr>
          <w:p>
            <w:pPr>
              <w:spacing w:after="0"/>
              <w:rPr>
                <w:sz w:val="19"/>
                <w:szCs w:val="19"/>
                <w:color w:val="auto"/>
              </w:rPr>
            </w:pPr>
          </w:p>
        </w:tc>
        <w:tc>
          <w:tcPr>
            <w:tcW w:w="760" w:type="dxa"/>
            <w:vAlign w:val="bottom"/>
            <w:shd w:val="clear" w:color="auto" w:fill="F0F0F0"/>
          </w:tcPr>
          <w:p>
            <w:pPr>
              <w:spacing w:after="0"/>
              <w:rPr>
                <w:sz w:val="19"/>
                <w:szCs w:val="19"/>
                <w:color w:val="auto"/>
              </w:rPr>
            </w:pPr>
          </w:p>
        </w:tc>
        <w:tc>
          <w:tcPr>
            <w:tcW w:w="1040" w:type="dxa"/>
            <w:vAlign w:val="bottom"/>
            <w:shd w:val="clear" w:color="auto" w:fill="F0F0F0"/>
          </w:tcPr>
          <w:p>
            <w:pPr>
              <w:spacing w:after="0"/>
              <w:rPr>
                <w:sz w:val="19"/>
                <w:szCs w:val="19"/>
                <w:color w:val="auto"/>
              </w:rPr>
            </w:pPr>
          </w:p>
        </w:tc>
        <w:tc>
          <w:tcPr>
            <w:tcW w:w="1200" w:type="dxa"/>
            <w:vAlign w:val="bottom"/>
            <w:tcBorders>
              <w:right w:val="single" w:sz="8" w:color="852166"/>
            </w:tcBorders>
            <w:shd w:val="clear" w:color="auto" w:fill="F0F0F0"/>
          </w:tcPr>
          <w:p>
            <w:pPr>
              <w:spacing w:after="0"/>
              <w:rPr>
                <w:sz w:val="19"/>
                <w:szCs w:val="19"/>
                <w:color w:val="auto"/>
              </w:rPr>
            </w:pPr>
          </w:p>
        </w:tc>
        <w:tc>
          <w:tcPr>
            <w:tcW w:w="920" w:type="dxa"/>
            <w:vAlign w:val="bottom"/>
            <w:shd w:val="clear" w:color="auto" w:fill="F0F0F0"/>
          </w:tcPr>
          <w:p>
            <w:pPr>
              <w:spacing w:after="0"/>
              <w:rPr>
                <w:sz w:val="19"/>
                <w:szCs w:val="19"/>
                <w:color w:val="auto"/>
              </w:rPr>
            </w:pPr>
          </w:p>
        </w:tc>
        <w:tc>
          <w:tcPr>
            <w:tcW w:w="1200" w:type="dxa"/>
            <w:vAlign w:val="bottom"/>
            <w:shd w:val="clear" w:color="auto" w:fill="F0F0F0"/>
          </w:tcPr>
          <w:p>
            <w:pPr>
              <w:spacing w:after="0"/>
              <w:rPr>
                <w:sz w:val="19"/>
                <w:szCs w:val="19"/>
                <w:color w:val="auto"/>
              </w:rPr>
            </w:pPr>
          </w:p>
        </w:tc>
        <w:tc>
          <w:tcPr>
            <w:tcW w:w="960" w:type="dxa"/>
            <w:vAlign w:val="bottom"/>
            <w:shd w:val="clear" w:color="auto" w:fill="F0F0F0"/>
          </w:tcPr>
          <w:p>
            <w:pPr>
              <w:spacing w:after="0"/>
              <w:rPr>
                <w:sz w:val="19"/>
                <w:szCs w:val="19"/>
                <w:color w:val="auto"/>
              </w:rPr>
            </w:pPr>
          </w:p>
        </w:tc>
        <w:tc>
          <w:tcPr>
            <w:tcW w:w="520" w:type="dxa"/>
            <w:vAlign w:val="bottom"/>
            <w:tcBorders>
              <w:right w:val="single" w:sz="8" w:color="852166"/>
            </w:tcBorders>
            <w:shd w:val="clear" w:color="auto" w:fill="F0F0F0"/>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Bruce C. Cozadd</w:t>
            </w:r>
          </w:p>
        </w:tc>
        <w:tc>
          <w:tcPr>
            <w:tcW w:w="460" w:type="dxa"/>
            <w:vAlign w:val="bottom"/>
          </w:tcPr>
          <w:p>
            <w:pPr>
              <w:ind w:left="120"/>
              <w:spacing w:after="0"/>
              <w:rPr>
                <w:sz w:val="20"/>
                <w:szCs w:val="20"/>
                <w:color w:val="auto"/>
              </w:rPr>
            </w:pPr>
            <w:r>
              <w:rPr>
                <w:rFonts w:ascii="Arial" w:cs="Arial" w:eastAsia="Arial" w:hAnsi="Arial"/>
                <w:sz w:val="14"/>
                <w:szCs w:val="14"/>
                <w:color w:val="auto"/>
              </w:rPr>
              <w:t>62</w:t>
            </w: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2003</w:t>
            </w:r>
            <w:r>
              <w:rPr>
                <w:rFonts w:ascii="Arial" w:cs="Arial" w:eastAsia="Arial" w:hAnsi="Arial"/>
                <w:sz w:val="18"/>
                <w:szCs w:val="18"/>
                <w:color w:val="auto"/>
                <w:w w:val="95"/>
                <w:vertAlign w:val="superscript"/>
              </w:rPr>
              <w:t>(1)</w:t>
            </w:r>
          </w:p>
        </w:tc>
        <w:tc>
          <w:tcPr>
            <w:tcW w:w="1040" w:type="dxa"/>
            <w:vAlign w:val="bottom"/>
          </w:tcPr>
          <w:p>
            <w:pPr>
              <w:spacing w:after="0"/>
              <w:rPr>
                <w:sz w:val="24"/>
                <w:szCs w:val="24"/>
                <w:color w:val="auto"/>
              </w:rPr>
            </w:pPr>
          </w:p>
        </w:tc>
        <w:tc>
          <w:tcPr>
            <w:tcW w:w="1200" w:type="dxa"/>
            <w:vAlign w:val="bottom"/>
            <w:tcBorders>
              <w:right w:val="single" w:sz="8" w:color="852166"/>
            </w:tcBorders>
          </w:tcPr>
          <w:p>
            <w:pPr>
              <w:jc w:val="center"/>
              <w:spacing w:after="0"/>
              <w:rPr>
                <w:sz w:val="20"/>
                <w:szCs w:val="20"/>
                <w:color w:val="auto"/>
              </w:rPr>
            </w:pPr>
            <w:r>
              <w:rPr>
                <w:rFonts w:ascii="Arial" w:cs="Arial" w:eastAsia="Arial" w:hAnsi="Arial"/>
                <w:sz w:val="14"/>
                <w:szCs w:val="14"/>
                <w:color w:val="auto"/>
              </w:rPr>
              <w:t>0</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Borders>
              <w:right w:val="single" w:sz="8" w:color="852166"/>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200" w:type="dxa"/>
            <w:vAlign w:val="bottom"/>
          </w:tcPr>
          <w:p>
            <w:pPr>
              <w:ind w:left="740"/>
              <w:spacing w:after="0"/>
              <w:rPr>
                <w:sz w:val="20"/>
                <w:szCs w:val="20"/>
                <w:color w:val="auto"/>
              </w:rPr>
            </w:pPr>
            <w:r>
              <w:rPr>
                <w:rFonts w:ascii="Arial" w:cs="Arial" w:eastAsia="Arial" w:hAnsi="Arial"/>
                <w:sz w:val="14"/>
                <w:szCs w:val="14"/>
                <w:color w:val="auto"/>
              </w:rPr>
              <w:t>Chairperson, Jazz Pharmaceuticals plc</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Borders>
              <w:right w:val="single" w:sz="8" w:color="852166"/>
            </w:tcBorders>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Borders>
              <w:right w:val="single" w:sz="8" w:color="852166"/>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200" w:type="dxa"/>
            <w:vAlign w:val="bottom"/>
            <w:tcBorders>
              <w:bottom w:val="single" w:sz="8" w:color="5673B8"/>
            </w:tcBorders>
          </w:tcPr>
          <w:p>
            <w:pPr>
              <w:spacing w:after="0"/>
              <w:rPr>
                <w:sz w:val="6"/>
                <w:szCs w:val="6"/>
                <w:color w:val="auto"/>
              </w:rPr>
            </w:pPr>
          </w:p>
        </w:tc>
        <w:tc>
          <w:tcPr>
            <w:tcW w:w="460" w:type="dxa"/>
            <w:vAlign w:val="bottom"/>
            <w:tcBorders>
              <w:bottom w:val="single" w:sz="8" w:color="5673B8"/>
            </w:tcBorders>
          </w:tcPr>
          <w:p>
            <w:pPr>
              <w:spacing w:after="0"/>
              <w:rPr>
                <w:sz w:val="6"/>
                <w:szCs w:val="6"/>
                <w:color w:val="auto"/>
              </w:rPr>
            </w:pPr>
          </w:p>
        </w:tc>
        <w:tc>
          <w:tcPr>
            <w:tcW w:w="760" w:type="dxa"/>
            <w:vAlign w:val="bottom"/>
            <w:tcBorders>
              <w:bottom w:val="single" w:sz="8" w:color="5673B8"/>
            </w:tcBorders>
          </w:tcPr>
          <w:p>
            <w:pPr>
              <w:spacing w:after="0"/>
              <w:rPr>
                <w:sz w:val="6"/>
                <w:szCs w:val="6"/>
                <w:color w:val="auto"/>
              </w:rPr>
            </w:pPr>
          </w:p>
        </w:tc>
        <w:tc>
          <w:tcPr>
            <w:tcW w:w="1040" w:type="dxa"/>
            <w:vAlign w:val="bottom"/>
            <w:tcBorders>
              <w:bottom w:val="single" w:sz="8" w:color="5673B8"/>
            </w:tcBorders>
          </w:tcPr>
          <w:p>
            <w:pPr>
              <w:spacing w:after="0"/>
              <w:rPr>
                <w:sz w:val="6"/>
                <w:szCs w:val="6"/>
                <w:color w:val="auto"/>
              </w:rPr>
            </w:pPr>
          </w:p>
        </w:tc>
        <w:tc>
          <w:tcPr>
            <w:tcW w:w="1200" w:type="dxa"/>
            <w:vAlign w:val="bottom"/>
            <w:tcBorders>
              <w:bottom w:val="single" w:sz="8" w:color="5673B8"/>
              <w:right w:val="single" w:sz="8" w:color="852166"/>
            </w:tcBorders>
          </w:tcPr>
          <w:p>
            <w:pPr>
              <w:spacing w:after="0"/>
              <w:rPr>
                <w:sz w:val="6"/>
                <w:szCs w:val="6"/>
                <w:color w:val="auto"/>
              </w:rPr>
            </w:pPr>
          </w:p>
        </w:tc>
        <w:tc>
          <w:tcPr>
            <w:tcW w:w="920" w:type="dxa"/>
            <w:vAlign w:val="bottom"/>
            <w:tcBorders>
              <w:bottom w:val="single" w:sz="8" w:color="5673B8"/>
            </w:tcBorders>
          </w:tcPr>
          <w:p>
            <w:pPr>
              <w:spacing w:after="0"/>
              <w:rPr>
                <w:sz w:val="6"/>
                <w:szCs w:val="6"/>
                <w:color w:val="auto"/>
              </w:rPr>
            </w:pPr>
          </w:p>
        </w:tc>
        <w:tc>
          <w:tcPr>
            <w:tcW w:w="1200" w:type="dxa"/>
            <w:vAlign w:val="bottom"/>
            <w:tcBorders>
              <w:bottom w:val="single" w:sz="8" w:color="5673B8"/>
            </w:tcBorders>
          </w:tcPr>
          <w:p>
            <w:pPr>
              <w:spacing w:after="0"/>
              <w:rPr>
                <w:sz w:val="6"/>
                <w:szCs w:val="6"/>
                <w:color w:val="auto"/>
              </w:rPr>
            </w:pPr>
          </w:p>
        </w:tc>
        <w:tc>
          <w:tcPr>
            <w:tcW w:w="960" w:type="dxa"/>
            <w:vAlign w:val="bottom"/>
            <w:tcBorders>
              <w:bottom w:val="single" w:sz="8" w:color="5673B8"/>
            </w:tcBorders>
          </w:tcPr>
          <w:p>
            <w:pPr>
              <w:spacing w:after="0"/>
              <w:rPr>
                <w:sz w:val="6"/>
                <w:szCs w:val="6"/>
                <w:color w:val="auto"/>
              </w:rPr>
            </w:pPr>
          </w:p>
        </w:tc>
        <w:tc>
          <w:tcPr>
            <w:tcW w:w="520" w:type="dxa"/>
            <w:vAlign w:val="bottom"/>
            <w:tcBorders>
              <w:bottom w:val="single" w:sz="8" w:color="5673B8"/>
              <w:right w:val="single" w:sz="8" w:color="852166"/>
            </w:tcBorders>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Heather Ann McSharry</w:t>
            </w:r>
          </w:p>
        </w:tc>
        <w:tc>
          <w:tcPr>
            <w:tcW w:w="460" w:type="dxa"/>
            <w:vAlign w:val="bottom"/>
            <w:vMerge w:val="restart"/>
          </w:tcPr>
          <w:p>
            <w:pPr>
              <w:ind w:left="120"/>
              <w:spacing w:after="0"/>
              <w:rPr>
                <w:sz w:val="20"/>
                <w:szCs w:val="20"/>
                <w:color w:val="auto"/>
              </w:rPr>
            </w:pPr>
            <w:r>
              <w:rPr>
                <w:rFonts w:ascii="Arial" w:cs="Arial" w:eastAsia="Arial" w:hAnsi="Arial"/>
                <w:sz w:val="14"/>
                <w:szCs w:val="14"/>
                <w:color w:val="auto"/>
              </w:rPr>
              <w:t>64</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2013</w:t>
            </w:r>
          </w:p>
        </w:tc>
        <w:tc>
          <w:tcPr>
            <w:tcW w:w="1040" w:type="dxa"/>
            <w:vAlign w:val="bottom"/>
          </w:tcPr>
          <w:p>
            <w:pPr>
              <w:spacing w:after="0"/>
              <w:rPr>
                <w:sz w:val="20"/>
                <w:szCs w:val="20"/>
                <w:color w:val="auto"/>
              </w:rPr>
            </w:pPr>
          </w:p>
        </w:tc>
        <w:tc>
          <w:tcPr>
            <w:tcW w:w="120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14"/>
                <w:szCs w:val="14"/>
                <w:color w:val="auto"/>
              </w:rPr>
              <w:t>1</w:t>
            </w:r>
          </w:p>
        </w:tc>
        <w:tc>
          <w:tcPr>
            <w:tcW w:w="920" w:type="dxa"/>
            <w:vAlign w:val="bottom"/>
            <w:vMerge w:val="restart"/>
          </w:tcPr>
          <w:p>
            <w:pPr>
              <w:spacing w:after="0"/>
              <w:rPr>
                <w:sz w:val="20"/>
                <w:szCs w:val="20"/>
                <w:color w:val="auto"/>
              </w:rPr>
            </w:pPr>
          </w:p>
        </w:tc>
        <w:tc>
          <w:tcPr>
            <w:tcW w:w="1200" w:type="dxa"/>
            <w:vAlign w:val="bottom"/>
          </w:tcPr>
          <w:p>
            <w:pPr>
              <w:spacing w:after="0"/>
              <w:rPr>
                <w:sz w:val="20"/>
                <w:szCs w:val="20"/>
                <w:color w:val="auto"/>
              </w:rPr>
            </w:pPr>
          </w:p>
        </w:tc>
        <w:tc>
          <w:tcPr>
            <w:tcW w:w="960" w:type="dxa"/>
            <w:vAlign w:val="bottom"/>
            <w:vMerge w:val="restart"/>
          </w:tcPr>
          <w:p>
            <w:pPr>
              <w:jc w:val="center"/>
              <w:spacing w:after="0" w:line="241" w:lineRule="exact"/>
              <w:rPr>
                <w:sz w:val="20"/>
                <w:szCs w:val="20"/>
                <w:color w:val="auto"/>
              </w:rPr>
            </w:pPr>
            <w:r>
              <w:rPr>
                <w:rFonts w:ascii="Arial" w:cs="Arial" w:eastAsia="Arial" w:hAnsi="Arial"/>
                <w:sz w:val="27"/>
                <w:szCs w:val="27"/>
                <w:color w:val="852166"/>
                <w:w w:val="97"/>
              </w:rPr>
              <w:t>●</w:t>
            </w:r>
          </w:p>
        </w:tc>
        <w:tc>
          <w:tcPr>
            <w:tcW w:w="520" w:type="dxa"/>
            <w:vAlign w:val="bottom"/>
            <w:tcBorders>
              <w:right w:val="single" w:sz="8" w:color="852166"/>
            </w:tcBorders>
          </w:tcPr>
          <w:p>
            <w:pPr>
              <w:spacing w:after="0"/>
              <w:rPr>
                <w:sz w:val="20"/>
                <w:szCs w:val="20"/>
                <w:color w:val="auto"/>
              </w:rPr>
            </w:pPr>
          </w:p>
        </w:tc>
        <w:tc>
          <w:tcPr>
            <w:tcW w:w="0" w:type="dxa"/>
            <w:vAlign w:val="bottom"/>
          </w:tcPr>
          <w:p>
            <w:pPr>
              <w:spacing w:after="0"/>
              <w:rPr>
                <w:sz w:val="1"/>
                <w:szCs w:val="1"/>
                <w:color w:val="auto"/>
              </w:rPr>
            </w:pPr>
          </w:p>
        </w:tc>
      </w:tr>
      <w:tr>
        <w:trPr>
          <w:trHeight w:val="7"/>
        </w:trPr>
        <w:tc>
          <w:tcPr>
            <w:tcW w:w="4200" w:type="dxa"/>
            <w:vAlign w:val="bottom"/>
          </w:tcPr>
          <w:p>
            <w:pPr>
              <w:ind w:left="740"/>
              <w:spacing w:after="0" w:line="7" w:lineRule="exact"/>
              <w:rPr>
                <w:sz w:val="20"/>
                <w:szCs w:val="20"/>
                <w:color w:val="auto"/>
              </w:rPr>
            </w:pPr>
            <w:r>
              <w:rPr>
                <w:rFonts w:ascii="Arial" w:cs="Arial" w:eastAsia="Arial" w:hAnsi="Arial"/>
                <w:sz w:val="1"/>
                <w:szCs w:val="1"/>
                <w:color w:val="auto"/>
              </w:rPr>
              <w:t>S.A.</w:t>
            </w:r>
          </w:p>
        </w:tc>
        <w:tc>
          <w:tcPr>
            <w:tcW w:w="46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Borders>
              <w:right w:val="single" w:sz="8" w:color="852166"/>
            </w:tcBorders>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520" w:type="dxa"/>
            <w:vAlign w:val="bottom"/>
            <w:tcBorders>
              <w:right w:val="single" w:sz="8" w:color="85216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00" w:type="dxa"/>
            <w:vAlign w:val="bottom"/>
          </w:tcPr>
          <w:p>
            <w:pPr>
              <w:ind w:left="740"/>
              <w:spacing w:after="0"/>
              <w:rPr>
                <w:sz w:val="20"/>
                <w:szCs w:val="20"/>
                <w:color w:val="auto"/>
              </w:rPr>
            </w:pPr>
            <w:r>
              <w:rPr>
                <w:rFonts w:ascii="Arial" w:cs="Arial" w:eastAsia="Arial" w:hAnsi="Arial"/>
                <w:sz w:val="14"/>
                <w:szCs w:val="14"/>
                <w:color w:val="auto"/>
              </w:rPr>
              <w:t>Director, International Consolidated Airlines Group,</w:t>
            </w:r>
          </w:p>
        </w:tc>
        <w:tc>
          <w:tcPr>
            <w:tcW w:w="4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Borders>
              <w:right w:val="single" w:sz="8" w:color="852166"/>
            </w:tcBorders>
            <w:vMerge w:val="continue"/>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Borders>
              <w:right w:val="single" w:sz="8" w:color="852166"/>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00" w:type="dxa"/>
            <w:vAlign w:val="bottom"/>
            <w:tcBorders>
              <w:bottom w:val="single" w:sz="8" w:color="5673B8"/>
            </w:tcBorders>
          </w:tcPr>
          <w:p>
            <w:pPr>
              <w:spacing w:after="0"/>
              <w:rPr>
                <w:sz w:val="17"/>
                <w:szCs w:val="17"/>
                <w:color w:val="auto"/>
              </w:rPr>
            </w:pPr>
          </w:p>
        </w:tc>
        <w:tc>
          <w:tcPr>
            <w:tcW w:w="460" w:type="dxa"/>
            <w:vAlign w:val="bottom"/>
            <w:tcBorders>
              <w:bottom w:val="single" w:sz="8" w:color="5673B8"/>
            </w:tcBorders>
          </w:tcPr>
          <w:p>
            <w:pPr>
              <w:spacing w:after="0"/>
              <w:rPr>
                <w:sz w:val="17"/>
                <w:szCs w:val="17"/>
                <w:color w:val="auto"/>
              </w:rPr>
            </w:pPr>
          </w:p>
        </w:tc>
        <w:tc>
          <w:tcPr>
            <w:tcW w:w="760" w:type="dxa"/>
            <w:vAlign w:val="bottom"/>
            <w:tcBorders>
              <w:bottom w:val="single" w:sz="8" w:color="5673B8"/>
            </w:tcBorders>
          </w:tcPr>
          <w:p>
            <w:pPr>
              <w:spacing w:after="0"/>
              <w:rPr>
                <w:sz w:val="17"/>
                <w:szCs w:val="17"/>
                <w:color w:val="auto"/>
              </w:rPr>
            </w:pPr>
          </w:p>
        </w:tc>
        <w:tc>
          <w:tcPr>
            <w:tcW w:w="1040" w:type="dxa"/>
            <w:vAlign w:val="bottom"/>
            <w:tcBorders>
              <w:bottom w:val="single" w:sz="8" w:color="5673B8"/>
            </w:tcBorders>
          </w:tcPr>
          <w:p>
            <w:pPr>
              <w:spacing w:after="0"/>
              <w:rPr>
                <w:sz w:val="17"/>
                <w:szCs w:val="17"/>
                <w:color w:val="auto"/>
              </w:rPr>
            </w:pPr>
          </w:p>
        </w:tc>
        <w:tc>
          <w:tcPr>
            <w:tcW w:w="1200" w:type="dxa"/>
            <w:vAlign w:val="bottom"/>
            <w:tcBorders>
              <w:bottom w:val="single" w:sz="8" w:color="5673B8"/>
              <w:right w:val="single" w:sz="8" w:color="852166"/>
            </w:tcBorders>
          </w:tcPr>
          <w:p>
            <w:pPr>
              <w:spacing w:after="0"/>
              <w:rPr>
                <w:sz w:val="17"/>
                <w:szCs w:val="17"/>
                <w:color w:val="auto"/>
              </w:rPr>
            </w:pPr>
          </w:p>
        </w:tc>
        <w:tc>
          <w:tcPr>
            <w:tcW w:w="920" w:type="dxa"/>
            <w:vAlign w:val="bottom"/>
            <w:tcBorders>
              <w:bottom w:val="single" w:sz="8" w:color="5673B8"/>
            </w:tcBorders>
          </w:tcPr>
          <w:p>
            <w:pPr>
              <w:spacing w:after="0"/>
              <w:rPr>
                <w:sz w:val="17"/>
                <w:szCs w:val="17"/>
                <w:color w:val="auto"/>
              </w:rPr>
            </w:pPr>
          </w:p>
        </w:tc>
        <w:tc>
          <w:tcPr>
            <w:tcW w:w="1200" w:type="dxa"/>
            <w:vAlign w:val="bottom"/>
            <w:tcBorders>
              <w:bottom w:val="single" w:sz="8" w:color="5673B8"/>
            </w:tcBorders>
          </w:tcPr>
          <w:p>
            <w:pPr>
              <w:spacing w:after="0"/>
              <w:rPr>
                <w:sz w:val="17"/>
                <w:szCs w:val="17"/>
                <w:color w:val="auto"/>
              </w:rPr>
            </w:pPr>
          </w:p>
        </w:tc>
        <w:tc>
          <w:tcPr>
            <w:tcW w:w="960" w:type="dxa"/>
            <w:vAlign w:val="bottom"/>
            <w:tcBorders>
              <w:bottom w:val="single" w:sz="8" w:color="5673B8"/>
            </w:tcBorders>
          </w:tcPr>
          <w:p>
            <w:pPr>
              <w:spacing w:after="0"/>
              <w:rPr>
                <w:sz w:val="17"/>
                <w:szCs w:val="17"/>
                <w:color w:val="auto"/>
              </w:rPr>
            </w:pPr>
          </w:p>
        </w:tc>
        <w:tc>
          <w:tcPr>
            <w:tcW w:w="520" w:type="dxa"/>
            <w:vAlign w:val="bottom"/>
            <w:tcBorders>
              <w:bottom w:val="single" w:sz="8" w:color="5673B8"/>
              <w:right w:val="single" w:sz="8" w:color="852166"/>
            </w:tcBorders>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Rick E Winningham</w:t>
            </w:r>
          </w:p>
        </w:tc>
        <w:tc>
          <w:tcPr>
            <w:tcW w:w="460" w:type="dxa"/>
            <w:vAlign w:val="bottom"/>
          </w:tcPr>
          <w:p>
            <w:pPr>
              <w:ind w:left="120"/>
              <w:spacing w:after="0"/>
              <w:rPr>
                <w:sz w:val="20"/>
                <w:szCs w:val="20"/>
                <w:color w:val="auto"/>
              </w:rPr>
            </w:pPr>
            <w:r>
              <w:rPr>
                <w:rFonts w:ascii="Arial" w:cs="Arial" w:eastAsia="Arial" w:hAnsi="Arial"/>
                <w:sz w:val="14"/>
                <w:szCs w:val="14"/>
                <w:color w:val="auto"/>
              </w:rPr>
              <w:t>66</w:t>
            </w: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2010</w:t>
            </w:r>
            <w:r>
              <w:rPr>
                <w:rFonts w:ascii="Arial" w:cs="Arial" w:eastAsia="Arial" w:hAnsi="Arial"/>
                <w:sz w:val="18"/>
                <w:szCs w:val="18"/>
                <w:color w:val="auto"/>
                <w:w w:val="95"/>
                <w:vertAlign w:val="superscript"/>
              </w:rPr>
              <w:t>(1)</w:t>
            </w:r>
          </w:p>
        </w:tc>
        <w:tc>
          <w:tcPr>
            <w:tcW w:w="1040" w:type="dxa"/>
            <w:vAlign w:val="bottom"/>
          </w:tcPr>
          <w:p>
            <w:pPr>
              <w:spacing w:after="0"/>
              <w:rPr>
                <w:sz w:val="24"/>
                <w:szCs w:val="24"/>
                <w:color w:val="auto"/>
              </w:rPr>
            </w:pPr>
          </w:p>
        </w:tc>
        <w:tc>
          <w:tcPr>
            <w:tcW w:w="1200" w:type="dxa"/>
            <w:vAlign w:val="bottom"/>
            <w:tcBorders>
              <w:right w:val="single" w:sz="8" w:color="852166"/>
            </w:tcBorders>
          </w:tcPr>
          <w:p>
            <w:pPr>
              <w:jc w:val="center"/>
              <w:spacing w:after="0"/>
              <w:rPr>
                <w:sz w:val="20"/>
                <w:szCs w:val="20"/>
                <w:color w:val="auto"/>
              </w:rPr>
            </w:pPr>
            <w:r>
              <w:rPr>
                <w:rFonts w:ascii="Arial" w:cs="Arial" w:eastAsia="Arial" w:hAnsi="Arial"/>
                <w:sz w:val="14"/>
                <w:szCs w:val="14"/>
                <w:color w:val="auto"/>
              </w:rPr>
              <w:t>1</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vMerge w:val="restart"/>
          </w:tcPr>
          <w:p>
            <w:pPr>
              <w:spacing w:after="0"/>
              <w:rPr>
                <w:sz w:val="24"/>
                <w:szCs w:val="24"/>
                <w:color w:val="auto"/>
              </w:rPr>
            </w:pPr>
          </w:p>
        </w:tc>
        <w:tc>
          <w:tcPr>
            <w:tcW w:w="520" w:type="dxa"/>
            <w:vAlign w:val="bottom"/>
            <w:tcBorders>
              <w:right w:val="single" w:sz="8" w:color="852166"/>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200" w:type="dxa"/>
            <w:vAlign w:val="bottom"/>
          </w:tcPr>
          <w:p>
            <w:pPr>
              <w:ind w:left="740"/>
              <w:spacing w:after="0"/>
              <w:rPr>
                <w:sz w:val="20"/>
                <w:szCs w:val="20"/>
                <w:color w:val="auto"/>
              </w:rPr>
            </w:pPr>
            <w:r>
              <w:rPr>
                <w:rFonts w:ascii="Arial" w:cs="Arial" w:eastAsia="Arial" w:hAnsi="Arial"/>
                <w:sz w:val="14"/>
                <w:szCs w:val="14"/>
                <w:color w:val="auto"/>
              </w:rPr>
              <w:t>Chief Executive Officer, Theravance Biopharma, Inc.</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Borders>
              <w:right w:val="single" w:sz="8" w:color="852166"/>
            </w:tcBorders>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520" w:type="dxa"/>
            <w:vAlign w:val="bottom"/>
            <w:tcBorders>
              <w:right w:val="single" w:sz="8" w:color="852166"/>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Borders>
              <w:right w:val="single" w:sz="8" w:color="852166"/>
            </w:tcBorders>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Borders>
              <w:right w:val="single" w:sz="8" w:color="85216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00" w:type="dxa"/>
            <w:vAlign w:val="bottom"/>
            <w:shd w:val="clear" w:color="auto" w:fill="F0F0F0"/>
          </w:tcPr>
          <w:p>
            <w:pPr>
              <w:ind w:left="80"/>
              <w:spacing w:after="0"/>
              <w:rPr>
                <w:sz w:val="20"/>
                <w:szCs w:val="20"/>
                <w:color w:val="auto"/>
              </w:rPr>
            </w:pPr>
            <w:r>
              <w:rPr>
                <w:rFonts w:ascii="Arial" w:cs="Arial" w:eastAsia="Arial" w:hAnsi="Arial"/>
                <w:sz w:val="14"/>
                <w:szCs w:val="14"/>
                <w:b w:val="1"/>
                <w:bCs w:val="1"/>
                <w:color w:val="5673B8"/>
              </w:rPr>
              <w:t>CONTINUING DIRECTORS</w:t>
            </w:r>
            <w:r>
              <w:rPr>
                <w:rFonts w:ascii="Arial" w:cs="Arial" w:eastAsia="Arial" w:hAnsi="Arial"/>
                <w:sz w:val="18"/>
                <w:szCs w:val="18"/>
                <w:b w:val="1"/>
                <w:bCs w:val="1"/>
                <w:color w:val="5673B8"/>
                <w:vertAlign w:val="superscript"/>
              </w:rPr>
              <w:t>(2)</w:t>
            </w:r>
          </w:p>
        </w:tc>
        <w:tc>
          <w:tcPr>
            <w:tcW w:w="460" w:type="dxa"/>
            <w:vAlign w:val="bottom"/>
            <w:shd w:val="clear" w:color="auto" w:fill="F0F0F0"/>
          </w:tcPr>
          <w:p>
            <w:pPr>
              <w:spacing w:after="0"/>
              <w:rPr>
                <w:sz w:val="19"/>
                <w:szCs w:val="19"/>
                <w:color w:val="auto"/>
              </w:rPr>
            </w:pPr>
          </w:p>
        </w:tc>
        <w:tc>
          <w:tcPr>
            <w:tcW w:w="760" w:type="dxa"/>
            <w:vAlign w:val="bottom"/>
            <w:shd w:val="clear" w:color="auto" w:fill="F0F0F0"/>
          </w:tcPr>
          <w:p>
            <w:pPr>
              <w:spacing w:after="0"/>
              <w:rPr>
                <w:sz w:val="19"/>
                <w:szCs w:val="19"/>
                <w:color w:val="auto"/>
              </w:rPr>
            </w:pPr>
          </w:p>
        </w:tc>
        <w:tc>
          <w:tcPr>
            <w:tcW w:w="1040" w:type="dxa"/>
            <w:vAlign w:val="bottom"/>
            <w:shd w:val="clear" w:color="auto" w:fill="F0F0F0"/>
          </w:tcPr>
          <w:p>
            <w:pPr>
              <w:spacing w:after="0"/>
              <w:rPr>
                <w:sz w:val="19"/>
                <w:szCs w:val="19"/>
                <w:color w:val="auto"/>
              </w:rPr>
            </w:pPr>
          </w:p>
        </w:tc>
        <w:tc>
          <w:tcPr>
            <w:tcW w:w="1200" w:type="dxa"/>
            <w:vAlign w:val="bottom"/>
            <w:tcBorders>
              <w:right w:val="single" w:sz="8" w:color="852166"/>
            </w:tcBorders>
            <w:shd w:val="clear" w:color="auto" w:fill="F0F0F0"/>
          </w:tcPr>
          <w:p>
            <w:pPr>
              <w:spacing w:after="0"/>
              <w:rPr>
                <w:sz w:val="19"/>
                <w:szCs w:val="19"/>
                <w:color w:val="auto"/>
              </w:rPr>
            </w:pPr>
          </w:p>
        </w:tc>
        <w:tc>
          <w:tcPr>
            <w:tcW w:w="920" w:type="dxa"/>
            <w:vAlign w:val="bottom"/>
            <w:shd w:val="clear" w:color="auto" w:fill="F0F0F0"/>
          </w:tcPr>
          <w:p>
            <w:pPr>
              <w:spacing w:after="0"/>
              <w:rPr>
                <w:sz w:val="19"/>
                <w:szCs w:val="19"/>
                <w:color w:val="auto"/>
              </w:rPr>
            </w:pPr>
          </w:p>
        </w:tc>
        <w:tc>
          <w:tcPr>
            <w:tcW w:w="1200" w:type="dxa"/>
            <w:vAlign w:val="bottom"/>
            <w:shd w:val="clear" w:color="auto" w:fill="F0F0F0"/>
          </w:tcPr>
          <w:p>
            <w:pPr>
              <w:spacing w:after="0"/>
              <w:rPr>
                <w:sz w:val="19"/>
                <w:szCs w:val="19"/>
                <w:color w:val="auto"/>
              </w:rPr>
            </w:pPr>
          </w:p>
        </w:tc>
        <w:tc>
          <w:tcPr>
            <w:tcW w:w="960" w:type="dxa"/>
            <w:vAlign w:val="bottom"/>
            <w:shd w:val="clear" w:color="auto" w:fill="F0F0F0"/>
          </w:tcPr>
          <w:p>
            <w:pPr>
              <w:spacing w:after="0"/>
              <w:rPr>
                <w:sz w:val="19"/>
                <w:szCs w:val="19"/>
                <w:color w:val="auto"/>
              </w:rPr>
            </w:pPr>
          </w:p>
        </w:tc>
        <w:tc>
          <w:tcPr>
            <w:tcW w:w="520" w:type="dxa"/>
            <w:vAlign w:val="bottom"/>
            <w:tcBorders>
              <w:right w:val="single" w:sz="8" w:color="852166"/>
            </w:tcBorders>
            <w:shd w:val="clear" w:color="auto" w:fill="F0F0F0"/>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Jennifer E. Cook</w:t>
            </w:r>
          </w:p>
        </w:tc>
        <w:tc>
          <w:tcPr>
            <w:tcW w:w="460" w:type="dxa"/>
            <w:vAlign w:val="bottom"/>
            <w:vMerge w:val="restart"/>
          </w:tcPr>
          <w:p>
            <w:pPr>
              <w:ind w:left="120"/>
              <w:spacing w:after="0"/>
              <w:rPr>
                <w:sz w:val="20"/>
                <w:szCs w:val="20"/>
                <w:color w:val="auto"/>
              </w:rPr>
            </w:pPr>
            <w:r>
              <w:rPr>
                <w:rFonts w:ascii="Arial" w:cs="Arial" w:eastAsia="Arial" w:hAnsi="Arial"/>
                <w:sz w:val="14"/>
                <w:szCs w:val="14"/>
                <w:color w:val="auto"/>
              </w:rPr>
              <w:t>60</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1040" w:type="dxa"/>
            <w:vAlign w:val="bottom"/>
          </w:tcPr>
          <w:p>
            <w:pPr>
              <w:spacing w:after="0"/>
              <w:rPr>
                <w:sz w:val="20"/>
                <w:szCs w:val="20"/>
                <w:color w:val="auto"/>
              </w:rPr>
            </w:pPr>
          </w:p>
        </w:tc>
        <w:tc>
          <w:tcPr>
            <w:tcW w:w="120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14"/>
                <w:szCs w:val="14"/>
                <w:color w:val="auto"/>
              </w:rPr>
              <w:t>2</w:t>
            </w:r>
          </w:p>
        </w:tc>
        <w:tc>
          <w:tcPr>
            <w:tcW w:w="920" w:type="dxa"/>
            <w:vAlign w:val="bottom"/>
          </w:tcPr>
          <w:p>
            <w:pPr>
              <w:spacing w:after="0"/>
              <w:rPr>
                <w:sz w:val="20"/>
                <w:szCs w:val="20"/>
                <w:color w:val="auto"/>
              </w:rPr>
            </w:pPr>
          </w:p>
        </w:tc>
        <w:tc>
          <w:tcPr>
            <w:tcW w:w="1200" w:type="dxa"/>
            <w:vAlign w:val="bottom"/>
            <w:vMerge w:val="restart"/>
          </w:tcPr>
          <w:p>
            <w:pPr>
              <w:jc w:val="center"/>
              <w:spacing w:after="0"/>
              <w:rPr>
                <w:sz w:val="20"/>
                <w:szCs w:val="20"/>
                <w:color w:val="auto"/>
              </w:rPr>
            </w:pPr>
            <w:r>
              <w:rPr>
                <w:rFonts w:ascii="Arial" w:cs="Arial" w:eastAsia="Arial" w:hAnsi="Arial"/>
                <w:sz w:val="27"/>
                <w:szCs w:val="27"/>
                <w:color w:val="852166"/>
                <w:w w:val="97"/>
              </w:rPr>
              <w:t>●</w:t>
            </w:r>
          </w:p>
        </w:tc>
        <w:tc>
          <w:tcPr>
            <w:tcW w:w="960" w:type="dxa"/>
            <w:vAlign w:val="bottom"/>
          </w:tcPr>
          <w:p>
            <w:pPr>
              <w:spacing w:after="0"/>
              <w:rPr>
                <w:sz w:val="20"/>
                <w:szCs w:val="20"/>
                <w:color w:val="auto"/>
              </w:rPr>
            </w:pPr>
          </w:p>
        </w:tc>
        <w:tc>
          <w:tcPr>
            <w:tcW w:w="520" w:type="dxa"/>
            <w:vAlign w:val="bottom"/>
            <w:tcBorders>
              <w:right w:val="single" w:sz="8" w:color="852166"/>
            </w:tcBorders>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200" w:type="dxa"/>
            <w:vAlign w:val="bottom"/>
          </w:tcPr>
          <w:p>
            <w:pPr>
              <w:ind w:left="740"/>
              <w:spacing w:after="0"/>
              <w:rPr>
                <w:sz w:val="20"/>
                <w:szCs w:val="20"/>
                <w:color w:val="auto"/>
              </w:rPr>
            </w:pPr>
            <w:r>
              <w:rPr>
                <w:rFonts w:ascii="Arial" w:cs="Arial" w:eastAsia="Arial" w:hAnsi="Arial"/>
                <w:sz w:val="14"/>
                <w:szCs w:val="14"/>
                <w:color w:val="auto"/>
              </w:rPr>
              <w:t>Director, BridgeBio Pharma, Inc. and Denali</w:t>
            </w:r>
          </w:p>
        </w:tc>
        <w:tc>
          <w:tcPr>
            <w:tcW w:w="4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Borders>
              <w:right w:val="single" w:sz="8" w:color="852166"/>
            </w:tcBorders>
            <w:vMerge w:val="continue"/>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Borders>
              <w:right w:val="single" w:sz="8" w:color="852166"/>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00" w:type="dxa"/>
            <w:vAlign w:val="bottom"/>
          </w:tcPr>
          <w:p>
            <w:pPr>
              <w:ind w:left="740"/>
              <w:spacing w:after="0"/>
              <w:rPr>
                <w:sz w:val="20"/>
                <w:szCs w:val="20"/>
                <w:color w:val="auto"/>
              </w:rPr>
            </w:pPr>
            <w:r>
              <w:rPr>
                <w:rFonts w:ascii="Arial" w:cs="Arial" w:eastAsia="Arial" w:hAnsi="Arial"/>
                <w:sz w:val="14"/>
                <w:szCs w:val="14"/>
                <w:color w:val="auto"/>
              </w:rPr>
              <w:t>Therapeutics Inc.</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Borders>
              <w:right w:val="single" w:sz="8" w:color="852166"/>
            </w:tcBorders>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Borders>
              <w:right w:val="single" w:sz="8" w:color="852166"/>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4200" w:type="dxa"/>
            <w:vAlign w:val="bottom"/>
            <w:tcBorders>
              <w:bottom w:val="single" w:sz="8" w:color="5673B8"/>
            </w:tcBorders>
          </w:tcPr>
          <w:p>
            <w:pPr>
              <w:spacing w:after="0"/>
              <w:rPr>
                <w:sz w:val="3"/>
                <w:szCs w:val="3"/>
                <w:color w:val="auto"/>
              </w:rPr>
            </w:pPr>
          </w:p>
        </w:tc>
        <w:tc>
          <w:tcPr>
            <w:tcW w:w="460" w:type="dxa"/>
            <w:vAlign w:val="bottom"/>
            <w:tcBorders>
              <w:bottom w:val="single" w:sz="8" w:color="5673B8"/>
            </w:tcBorders>
          </w:tcPr>
          <w:p>
            <w:pPr>
              <w:spacing w:after="0"/>
              <w:rPr>
                <w:sz w:val="3"/>
                <w:szCs w:val="3"/>
                <w:color w:val="auto"/>
              </w:rPr>
            </w:pPr>
          </w:p>
        </w:tc>
        <w:tc>
          <w:tcPr>
            <w:tcW w:w="760" w:type="dxa"/>
            <w:vAlign w:val="bottom"/>
            <w:tcBorders>
              <w:bottom w:val="single" w:sz="8" w:color="5673B8"/>
            </w:tcBorders>
          </w:tcPr>
          <w:p>
            <w:pPr>
              <w:spacing w:after="0"/>
              <w:rPr>
                <w:sz w:val="3"/>
                <w:szCs w:val="3"/>
                <w:color w:val="auto"/>
              </w:rPr>
            </w:pPr>
          </w:p>
        </w:tc>
        <w:tc>
          <w:tcPr>
            <w:tcW w:w="1040" w:type="dxa"/>
            <w:vAlign w:val="bottom"/>
            <w:tcBorders>
              <w:bottom w:val="single" w:sz="8" w:color="5673B8"/>
            </w:tcBorders>
          </w:tcPr>
          <w:p>
            <w:pPr>
              <w:spacing w:after="0"/>
              <w:rPr>
                <w:sz w:val="3"/>
                <w:szCs w:val="3"/>
                <w:color w:val="auto"/>
              </w:rPr>
            </w:pPr>
          </w:p>
        </w:tc>
        <w:tc>
          <w:tcPr>
            <w:tcW w:w="1200" w:type="dxa"/>
            <w:vAlign w:val="bottom"/>
            <w:tcBorders>
              <w:bottom w:val="single" w:sz="8" w:color="5673B8"/>
              <w:right w:val="single" w:sz="8" w:color="852166"/>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200" w:type="dxa"/>
            <w:vAlign w:val="bottom"/>
            <w:tcBorders>
              <w:bottom w:val="single" w:sz="8" w:color="5673B8"/>
            </w:tcBorders>
          </w:tcPr>
          <w:p>
            <w:pPr>
              <w:spacing w:after="0"/>
              <w:rPr>
                <w:sz w:val="3"/>
                <w:szCs w:val="3"/>
                <w:color w:val="auto"/>
              </w:rPr>
            </w:pPr>
          </w:p>
        </w:tc>
        <w:tc>
          <w:tcPr>
            <w:tcW w:w="960" w:type="dxa"/>
            <w:vAlign w:val="bottom"/>
            <w:tcBorders>
              <w:bottom w:val="single" w:sz="8" w:color="5673B8"/>
            </w:tcBorders>
          </w:tcPr>
          <w:p>
            <w:pPr>
              <w:spacing w:after="0"/>
              <w:rPr>
                <w:sz w:val="3"/>
                <w:szCs w:val="3"/>
                <w:color w:val="auto"/>
              </w:rPr>
            </w:pPr>
          </w:p>
        </w:tc>
        <w:tc>
          <w:tcPr>
            <w:tcW w:w="520" w:type="dxa"/>
            <w:vAlign w:val="bottom"/>
            <w:tcBorders>
              <w:bottom w:val="single" w:sz="8" w:color="5673B8"/>
              <w:right w:val="single" w:sz="8" w:color="852166"/>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Patrick G. Enright</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Borders>
              <w:right w:val="single" w:sz="8" w:color="852166"/>
            </w:tcBorders>
          </w:tcPr>
          <w:p>
            <w:pPr>
              <w:spacing w:after="0"/>
              <w:rPr>
                <w:sz w:val="18"/>
                <w:szCs w:val="18"/>
                <w:color w:val="auto"/>
              </w:rPr>
            </w:pPr>
          </w:p>
        </w:tc>
        <w:tc>
          <w:tcPr>
            <w:tcW w:w="920" w:type="dxa"/>
            <w:vAlign w:val="bottom"/>
            <w:vMerge w:val="restart"/>
          </w:tcPr>
          <w:p>
            <w:pPr>
              <w:spacing w:after="0"/>
              <w:rPr>
                <w:sz w:val="18"/>
                <w:szCs w:val="18"/>
                <w:color w:val="auto"/>
              </w:rPr>
            </w:pPr>
          </w:p>
        </w:tc>
        <w:tc>
          <w:tcPr>
            <w:tcW w:w="120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Borders>
              <w:right w:val="single" w:sz="8" w:color="852166"/>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740"/>
              <w:spacing w:after="0"/>
              <w:rPr>
                <w:sz w:val="20"/>
                <w:szCs w:val="20"/>
                <w:color w:val="auto"/>
              </w:rPr>
            </w:pPr>
            <w:r>
              <w:rPr>
                <w:rFonts w:ascii="Arial" w:cs="Arial" w:eastAsia="Arial" w:hAnsi="Arial"/>
                <w:sz w:val="14"/>
                <w:szCs w:val="14"/>
                <w:color w:val="auto"/>
              </w:rPr>
              <w:t>Managing Director, Longitude Capital and Director,</w:t>
            </w:r>
          </w:p>
        </w:tc>
        <w:tc>
          <w:tcPr>
            <w:tcW w:w="460" w:type="dxa"/>
            <w:vAlign w:val="bottom"/>
            <w:vMerge w:val="restart"/>
          </w:tcPr>
          <w:p>
            <w:pPr>
              <w:ind w:left="120"/>
              <w:spacing w:after="0"/>
              <w:rPr>
                <w:sz w:val="20"/>
                <w:szCs w:val="20"/>
                <w:color w:val="auto"/>
              </w:rPr>
            </w:pPr>
            <w:r>
              <w:rPr>
                <w:rFonts w:ascii="Arial" w:cs="Arial" w:eastAsia="Arial" w:hAnsi="Arial"/>
                <w:sz w:val="14"/>
                <w:szCs w:val="14"/>
                <w:color w:val="auto"/>
              </w:rPr>
              <w:t>64</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5"/>
              </w:rPr>
              <w:t>2009</w:t>
            </w:r>
            <w:r>
              <w:rPr>
                <w:rFonts w:ascii="Arial" w:cs="Arial" w:eastAsia="Arial" w:hAnsi="Arial"/>
                <w:sz w:val="18"/>
                <w:szCs w:val="18"/>
                <w:color w:val="auto"/>
                <w:w w:val="95"/>
                <w:vertAlign w:val="superscript"/>
              </w:rPr>
              <w:t>(1)</w:t>
            </w:r>
          </w:p>
        </w:tc>
        <w:tc>
          <w:tcPr>
            <w:tcW w:w="1040" w:type="dxa"/>
            <w:vAlign w:val="bottom"/>
          </w:tcPr>
          <w:p>
            <w:pPr>
              <w:spacing w:after="0"/>
              <w:rPr>
                <w:sz w:val="15"/>
                <w:szCs w:val="15"/>
                <w:color w:val="auto"/>
              </w:rPr>
            </w:pPr>
          </w:p>
        </w:tc>
        <w:tc>
          <w:tcPr>
            <w:tcW w:w="120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14"/>
                <w:szCs w:val="14"/>
                <w:color w:val="auto"/>
              </w:rPr>
              <w:t>4</w:t>
            </w:r>
          </w:p>
        </w:tc>
        <w:tc>
          <w:tcPr>
            <w:tcW w:w="9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Borders>
              <w:right w:val="single" w:sz="8" w:color="852166"/>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0" w:type="dxa"/>
            <w:vAlign w:val="bottom"/>
          </w:tcPr>
          <w:p>
            <w:pPr>
              <w:ind w:left="740"/>
              <w:spacing w:after="0"/>
              <w:rPr>
                <w:sz w:val="20"/>
                <w:szCs w:val="20"/>
                <w:color w:val="auto"/>
              </w:rPr>
            </w:pPr>
            <w:r>
              <w:rPr>
                <w:rFonts w:ascii="Arial" w:cs="Arial" w:eastAsia="Arial" w:hAnsi="Arial"/>
                <w:sz w:val="14"/>
                <w:szCs w:val="14"/>
                <w:color w:val="auto"/>
              </w:rPr>
              <w:t>BioAge Labs, Inc.,</w:t>
            </w:r>
          </w:p>
        </w:tc>
        <w:tc>
          <w:tcPr>
            <w:tcW w:w="4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Borders>
              <w:right w:val="single" w:sz="8" w:color="852166"/>
            </w:tcBorders>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Borders>
              <w:right w:val="single" w:sz="8" w:color="852166"/>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740"/>
              <w:spacing w:after="0"/>
              <w:rPr>
                <w:sz w:val="20"/>
                <w:szCs w:val="20"/>
                <w:color w:val="auto"/>
              </w:rPr>
            </w:pPr>
            <w:r>
              <w:rPr>
                <w:rFonts w:ascii="Arial" w:cs="Arial" w:eastAsia="Arial" w:hAnsi="Arial"/>
                <w:sz w:val="14"/>
                <w:szCs w:val="14"/>
                <w:color w:val="auto"/>
              </w:rPr>
              <w:t>Vera Therapeutics, Inc., Veradermics, Inc. and Zenas</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Borders>
              <w:right w:val="single" w:sz="8" w:color="852166"/>
            </w:tcBorders>
          </w:tcPr>
          <w:p>
            <w:pPr>
              <w:spacing w:after="0"/>
              <w:rPr>
                <w:sz w:val="15"/>
                <w:szCs w:val="15"/>
                <w:color w:val="auto"/>
              </w:rPr>
            </w:pPr>
          </w:p>
        </w:tc>
        <w:tc>
          <w:tcPr>
            <w:tcW w:w="9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Borders>
              <w:right w:val="single" w:sz="8" w:color="852166"/>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0" w:type="dxa"/>
            <w:vAlign w:val="bottom"/>
          </w:tcPr>
          <w:p>
            <w:pPr>
              <w:ind w:left="740"/>
              <w:spacing w:after="0"/>
              <w:rPr>
                <w:sz w:val="20"/>
                <w:szCs w:val="20"/>
                <w:color w:val="auto"/>
              </w:rPr>
            </w:pPr>
            <w:r>
              <w:rPr>
                <w:rFonts w:ascii="Arial" w:cs="Arial" w:eastAsia="Arial" w:hAnsi="Arial"/>
                <w:sz w:val="14"/>
                <w:szCs w:val="14"/>
                <w:color w:val="auto"/>
              </w:rPr>
              <w:t>BioPharma, Inc.</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Borders>
              <w:right w:val="single" w:sz="8" w:color="852166"/>
            </w:tcBorders>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Borders>
              <w:right w:val="single" w:sz="8" w:color="852166"/>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200" w:type="dxa"/>
            <w:vAlign w:val="bottom"/>
            <w:tcBorders>
              <w:bottom w:val="single" w:sz="8" w:color="5673B8"/>
            </w:tcBorders>
          </w:tcPr>
          <w:p>
            <w:pPr>
              <w:spacing w:after="0" w:line="20" w:lineRule="exact"/>
              <w:rPr>
                <w:sz w:val="1"/>
                <w:szCs w:val="1"/>
                <w:color w:val="auto"/>
              </w:rPr>
            </w:pPr>
          </w:p>
        </w:tc>
        <w:tc>
          <w:tcPr>
            <w:tcW w:w="460" w:type="dxa"/>
            <w:vAlign w:val="bottom"/>
            <w:tcBorders>
              <w:bottom w:val="single" w:sz="8" w:color="5673B8"/>
            </w:tcBorders>
          </w:tcPr>
          <w:p>
            <w:pPr>
              <w:spacing w:after="0" w:line="20" w:lineRule="exact"/>
              <w:rPr>
                <w:sz w:val="1"/>
                <w:szCs w:val="1"/>
                <w:color w:val="auto"/>
              </w:rPr>
            </w:pPr>
          </w:p>
        </w:tc>
        <w:tc>
          <w:tcPr>
            <w:tcW w:w="760" w:type="dxa"/>
            <w:vAlign w:val="bottom"/>
            <w:tcBorders>
              <w:bottom w:val="single" w:sz="8" w:color="5673B8"/>
            </w:tcBorders>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1200" w:type="dxa"/>
            <w:vAlign w:val="bottom"/>
            <w:tcBorders>
              <w:bottom w:val="single" w:sz="8" w:color="5673B8"/>
              <w:right w:val="single" w:sz="8" w:color="852166"/>
            </w:tcBorders>
          </w:tcPr>
          <w:p>
            <w:pPr>
              <w:spacing w:after="0" w:line="20" w:lineRule="exact"/>
              <w:rPr>
                <w:sz w:val="1"/>
                <w:szCs w:val="1"/>
                <w:color w:val="auto"/>
              </w:rPr>
            </w:pPr>
          </w:p>
        </w:tc>
        <w:tc>
          <w:tcPr>
            <w:tcW w:w="920" w:type="dxa"/>
            <w:vAlign w:val="bottom"/>
            <w:tcBorders>
              <w:bottom w:val="single" w:sz="8" w:color="5673B8"/>
            </w:tcBorders>
          </w:tcPr>
          <w:p>
            <w:pPr>
              <w:spacing w:after="0" w:line="20" w:lineRule="exact"/>
              <w:rPr>
                <w:sz w:val="1"/>
                <w:szCs w:val="1"/>
                <w:color w:val="auto"/>
              </w:rPr>
            </w:pPr>
          </w:p>
        </w:tc>
        <w:tc>
          <w:tcPr>
            <w:tcW w:w="1200" w:type="dxa"/>
            <w:vAlign w:val="bottom"/>
            <w:tcBorders>
              <w:bottom w:val="single" w:sz="8" w:color="5673B8"/>
            </w:tcBorders>
          </w:tcPr>
          <w:p>
            <w:pPr>
              <w:spacing w:after="0" w:line="20" w:lineRule="exact"/>
              <w:rPr>
                <w:sz w:val="1"/>
                <w:szCs w:val="1"/>
                <w:color w:val="auto"/>
              </w:rPr>
            </w:pPr>
          </w:p>
        </w:tc>
        <w:tc>
          <w:tcPr>
            <w:tcW w:w="960" w:type="dxa"/>
            <w:vAlign w:val="bottom"/>
            <w:tcBorders>
              <w:bottom w:val="single" w:sz="8" w:color="5673B8"/>
            </w:tcBorders>
          </w:tcPr>
          <w:p>
            <w:pPr>
              <w:spacing w:after="0" w:line="20" w:lineRule="exact"/>
              <w:rPr>
                <w:sz w:val="1"/>
                <w:szCs w:val="1"/>
                <w:color w:val="auto"/>
              </w:rPr>
            </w:pPr>
          </w:p>
        </w:tc>
        <w:tc>
          <w:tcPr>
            <w:tcW w:w="520" w:type="dxa"/>
            <w:vAlign w:val="bottom"/>
            <w:tcBorders>
              <w:bottom w:val="single" w:sz="8" w:color="5673B8"/>
              <w:right w:val="single" w:sz="8" w:color="85216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Renee D. Gala</w:t>
            </w:r>
          </w:p>
        </w:tc>
        <w:tc>
          <w:tcPr>
            <w:tcW w:w="460" w:type="dxa"/>
            <w:vAlign w:val="bottom"/>
            <w:vMerge w:val="restart"/>
          </w:tcPr>
          <w:p>
            <w:pPr>
              <w:ind w:left="120"/>
              <w:spacing w:after="0"/>
              <w:rPr>
                <w:sz w:val="20"/>
                <w:szCs w:val="20"/>
                <w:color w:val="auto"/>
              </w:rPr>
            </w:pPr>
            <w:r>
              <w:rPr>
                <w:rFonts w:ascii="Arial" w:cs="Arial" w:eastAsia="Arial" w:hAnsi="Arial"/>
                <w:sz w:val="14"/>
                <w:szCs w:val="14"/>
                <w:color w:val="auto"/>
              </w:rPr>
              <w:t>54</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2025</w:t>
            </w:r>
          </w:p>
        </w:tc>
        <w:tc>
          <w:tcPr>
            <w:tcW w:w="1040" w:type="dxa"/>
            <w:vAlign w:val="bottom"/>
          </w:tcPr>
          <w:p>
            <w:pPr>
              <w:spacing w:after="0"/>
              <w:rPr>
                <w:sz w:val="19"/>
                <w:szCs w:val="19"/>
                <w:color w:val="auto"/>
              </w:rPr>
            </w:pPr>
          </w:p>
        </w:tc>
        <w:tc>
          <w:tcPr>
            <w:tcW w:w="120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14"/>
                <w:szCs w:val="14"/>
                <w:color w:val="auto"/>
              </w:rPr>
              <w:t>1</w:t>
            </w: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Borders>
              <w:right w:val="single" w:sz="8" w:color="852166"/>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740"/>
              <w:spacing w:after="0"/>
              <w:rPr>
                <w:sz w:val="20"/>
                <w:szCs w:val="20"/>
                <w:color w:val="auto"/>
              </w:rPr>
            </w:pPr>
            <w:r>
              <w:rPr>
                <w:rFonts w:ascii="Arial" w:cs="Arial" w:eastAsia="Arial" w:hAnsi="Arial"/>
                <w:sz w:val="14"/>
                <w:szCs w:val="14"/>
                <w:color w:val="auto"/>
              </w:rPr>
              <w:t>President and CEO, Jazz Pharmaceuticals plc and</w:t>
            </w:r>
          </w:p>
        </w:tc>
        <w:tc>
          <w:tcPr>
            <w:tcW w:w="4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Borders>
              <w:right w:val="single" w:sz="8" w:color="852166"/>
            </w:tcBorders>
            <w:vMerge w:val="continue"/>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Borders>
              <w:right w:val="single" w:sz="8" w:color="852166"/>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0" w:type="dxa"/>
            <w:vAlign w:val="bottom"/>
          </w:tcPr>
          <w:p>
            <w:pPr>
              <w:ind w:left="740"/>
              <w:spacing w:after="0"/>
              <w:rPr>
                <w:sz w:val="20"/>
                <w:szCs w:val="20"/>
                <w:color w:val="auto"/>
              </w:rPr>
            </w:pPr>
            <w:r>
              <w:rPr>
                <w:rFonts w:ascii="Arial" w:cs="Arial" w:eastAsia="Arial" w:hAnsi="Arial"/>
                <w:sz w:val="14"/>
                <w:szCs w:val="14"/>
                <w:color w:val="auto"/>
              </w:rPr>
              <w:t>Director, Dexcom, Inc.</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Borders>
              <w:right w:val="single" w:sz="8" w:color="852166"/>
            </w:tcBorders>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Borders>
              <w:right w:val="single" w:sz="8" w:color="852166"/>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0" w:type="dxa"/>
            <w:vAlign w:val="bottom"/>
            <w:tcBorders>
              <w:bottom w:val="single" w:sz="8" w:color="5673B8"/>
            </w:tcBorders>
          </w:tcPr>
          <w:p>
            <w:pPr>
              <w:spacing w:after="0"/>
              <w:rPr>
                <w:sz w:val="3"/>
                <w:szCs w:val="3"/>
                <w:color w:val="auto"/>
              </w:rPr>
            </w:pPr>
          </w:p>
        </w:tc>
        <w:tc>
          <w:tcPr>
            <w:tcW w:w="460" w:type="dxa"/>
            <w:vAlign w:val="bottom"/>
            <w:tcBorders>
              <w:bottom w:val="single" w:sz="8" w:color="5673B8"/>
            </w:tcBorders>
          </w:tcPr>
          <w:p>
            <w:pPr>
              <w:spacing w:after="0"/>
              <w:rPr>
                <w:sz w:val="3"/>
                <w:szCs w:val="3"/>
                <w:color w:val="auto"/>
              </w:rPr>
            </w:pPr>
          </w:p>
        </w:tc>
        <w:tc>
          <w:tcPr>
            <w:tcW w:w="760" w:type="dxa"/>
            <w:vAlign w:val="bottom"/>
            <w:tcBorders>
              <w:bottom w:val="single" w:sz="8" w:color="5673B8"/>
            </w:tcBorders>
          </w:tcPr>
          <w:p>
            <w:pPr>
              <w:spacing w:after="0"/>
              <w:rPr>
                <w:sz w:val="3"/>
                <w:szCs w:val="3"/>
                <w:color w:val="auto"/>
              </w:rPr>
            </w:pPr>
          </w:p>
        </w:tc>
        <w:tc>
          <w:tcPr>
            <w:tcW w:w="1040" w:type="dxa"/>
            <w:vAlign w:val="bottom"/>
            <w:tcBorders>
              <w:bottom w:val="single" w:sz="8" w:color="5673B8"/>
            </w:tcBorders>
          </w:tcPr>
          <w:p>
            <w:pPr>
              <w:spacing w:after="0"/>
              <w:rPr>
                <w:sz w:val="3"/>
                <w:szCs w:val="3"/>
                <w:color w:val="auto"/>
              </w:rPr>
            </w:pPr>
          </w:p>
        </w:tc>
        <w:tc>
          <w:tcPr>
            <w:tcW w:w="1200" w:type="dxa"/>
            <w:vAlign w:val="bottom"/>
            <w:tcBorders>
              <w:bottom w:val="single" w:sz="8" w:color="5673B8"/>
              <w:right w:val="single" w:sz="8" w:color="852166"/>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200" w:type="dxa"/>
            <w:vAlign w:val="bottom"/>
            <w:tcBorders>
              <w:bottom w:val="single" w:sz="8" w:color="5673B8"/>
            </w:tcBorders>
          </w:tcPr>
          <w:p>
            <w:pPr>
              <w:spacing w:after="0"/>
              <w:rPr>
                <w:sz w:val="3"/>
                <w:szCs w:val="3"/>
                <w:color w:val="auto"/>
              </w:rPr>
            </w:pPr>
          </w:p>
        </w:tc>
        <w:tc>
          <w:tcPr>
            <w:tcW w:w="960" w:type="dxa"/>
            <w:vAlign w:val="bottom"/>
            <w:tcBorders>
              <w:bottom w:val="single" w:sz="8" w:color="5673B8"/>
            </w:tcBorders>
          </w:tcPr>
          <w:p>
            <w:pPr>
              <w:spacing w:after="0"/>
              <w:rPr>
                <w:sz w:val="3"/>
                <w:szCs w:val="3"/>
                <w:color w:val="auto"/>
              </w:rPr>
            </w:pPr>
          </w:p>
        </w:tc>
        <w:tc>
          <w:tcPr>
            <w:tcW w:w="520" w:type="dxa"/>
            <w:vAlign w:val="bottom"/>
            <w:tcBorders>
              <w:bottom w:val="single" w:sz="8" w:color="5673B8"/>
              <w:right w:val="single" w:sz="8" w:color="852166"/>
            </w:tcBorders>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Laura J. Hamill</w:t>
            </w:r>
          </w:p>
        </w:tc>
        <w:tc>
          <w:tcPr>
            <w:tcW w:w="460" w:type="dxa"/>
            <w:vAlign w:val="bottom"/>
            <w:vMerge w:val="restart"/>
          </w:tcPr>
          <w:p>
            <w:pPr>
              <w:ind w:left="120"/>
              <w:spacing w:after="0"/>
              <w:rPr>
                <w:sz w:val="20"/>
                <w:szCs w:val="20"/>
                <w:color w:val="auto"/>
              </w:rPr>
            </w:pPr>
            <w:r>
              <w:rPr>
                <w:rFonts w:ascii="Arial" w:cs="Arial" w:eastAsia="Arial" w:hAnsi="Arial"/>
                <w:sz w:val="14"/>
                <w:szCs w:val="14"/>
                <w:color w:val="auto"/>
              </w:rPr>
              <w:t>61</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2024</w:t>
            </w:r>
          </w:p>
        </w:tc>
        <w:tc>
          <w:tcPr>
            <w:tcW w:w="1040" w:type="dxa"/>
            <w:vAlign w:val="bottom"/>
          </w:tcPr>
          <w:p>
            <w:pPr>
              <w:spacing w:after="0"/>
              <w:rPr>
                <w:sz w:val="24"/>
                <w:szCs w:val="24"/>
                <w:color w:val="auto"/>
              </w:rPr>
            </w:pPr>
          </w:p>
        </w:tc>
        <w:tc>
          <w:tcPr>
            <w:tcW w:w="120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14"/>
                <w:szCs w:val="14"/>
                <w:color w:val="auto"/>
              </w:rPr>
              <w:t>1</w:t>
            </w:r>
          </w:p>
        </w:tc>
        <w:tc>
          <w:tcPr>
            <w:tcW w:w="920" w:type="dxa"/>
            <w:vAlign w:val="bottom"/>
          </w:tcPr>
          <w:p>
            <w:pPr>
              <w:spacing w:after="0"/>
              <w:rPr>
                <w:sz w:val="24"/>
                <w:szCs w:val="24"/>
                <w:color w:val="auto"/>
              </w:rPr>
            </w:pPr>
          </w:p>
        </w:tc>
        <w:tc>
          <w:tcPr>
            <w:tcW w:w="1200" w:type="dxa"/>
            <w:vAlign w:val="bottom"/>
            <w:vMerge w:val="restart"/>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Borders>
              <w:right w:val="single" w:sz="8" w:color="852166"/>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200" w:type="dxa"/>
            <w:vAlign w:val="bottom"/>
            <w:vMerge w:val="restart"/>
          </w:tcPr>
          <w:p>
            <w:pPr>
              <w:ind w:left="740"/>
              <w:spacing w:after="0"/>
              <w:rPr>
                <w:sz w:val="20"/>
                <w:szCs w:val="20"/>
                <w:color w:val="auto"/>
              </w:rPr>
            </w:pPr>
            <w:r>
              <w:rPr>
                <w:rFonts w:ascii="Arial" w:cs="Arial" w:eastAsia="Arial" w:hAnsi="Arial"/>
                <w:sz w:val="14"/>
                <w:szCs w:val="14"/>
                <w:color w:val="auto"/>
              </w:rPr>
              <w:t>Director, BB Biotech AG</w:t>
            </w:r>
          </w:p>
        </w:tc>
        <w:tc>
          <w:tcPr>
            <w:tcW w:w="4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Borders>
              <w:right w:val="single" w:sz="8" w:color="852166"/>
            </w:tcBorders>
            <w:vMerge w:val="continue"/>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Borders>
              <w:right w:val="single" w:sz="8" w:color="852166"/>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42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Borders>
              <w:right w:val="single" w:sz="8" w:color="852166"/>
            </w:tcBorders>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Borders>
              <w:right w:val="single" w:sz="8" w:color="852166"/>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5673B8"/>
            </w:tcBorders>
          </w:tcPr>
          <w:p>
            <w:pPr>
              <w:spacing w:after="0"/>
              <w:rPr>
                <w:sz w:val="2"/>
                <w:szCs w:val="2"/>
                <w:color w:val="auto"/>
              </w:rPr>
            </w:pPr>
          </w:p>
        </w:tc>
        <w:tc>
          <w:tcPr>
            <w:tcW w:w="460" w:type="dxa"/>
            <w:vAlign w:val="bottom"/>
            <w:tcBorders>
              <w:bottom w:val="single" w:sz="8" w:color="5673B8"/>
            </w:tcBorders>
          </w:tcPr>
          <w:p>
            <w:pPr>
              <w:spacing w:after="0"/>
              <w:rPr>
                <w:sz w:val="2"/>
                <w:szCs w:val="2"/>
                <w:color w:val="auto"/>
              </w:rPr>
            </w:pPr>
          </w:p>
        </w:tc>
        <w:tc>
          <w:tcPr>
            <w:tcW w:w="760" w:type="dxa"/>
            <w:vAlign w:val="bottom"/>
            <w:tcBorders>
              <w:bottom w:val="single" w:sz="8" w:color="5673B8"/>
            </w:tcBorders>
          </w:tcPr>
          <w:p>
            <w:pPr>
              <w:spacing w:after="0"/>
              <w:rPr>
                <w:sz w:val="2"/>
                <w:szCs w:val="2"/>
                <w:color w:val="auto"/>
              </w:rPr>
            </w:pPr>
          </w:p>
        </w:tc>
        <w:tc>
          <w:tcPr>
            <w:tcW w:w="1040" w:type="dxa"/>
            <w:vAlign w:val="bottom"/>
            <w:tcBorders>
              <w:bottom w:val="single" w:sz="8" w:color="5673B8"/>
            </w:tcBorders>
          </w:tcPr>
          <w:p>
            <w:pPr>
              <w:spacing w:after="0"/>
              <w:rPr>
                <w:sz w:val="2"/>
                <w:szCs w:val="2"/>
                <w:color w:val="auto"/>
              </w:rPr>
            </w:pPr>
          </w:p>
        </w:tc>
        <w:tc>
          <w:tcPr>
            <w:tcW w:w="1200" w:type="dxa"/>
            <w:vAlign w:val="bottom"/>
            <w:tcBorders>
              <w:bottom w:val="single" w:sz="8" w:color="5673B8"/>
              <w:right w:val="single" w:sz="8" w:color="852166"/>
            </w:tcBorders>
          </w:tcPr>
          <w:p>
            <w:pPr>
              <w:spacing w:after="0"/>
              <w:rPr>
                <w:sz w:val="2"/>
                <w:szCs w:val="2"/>
                <w:color w:val="auto"/>
              </w:rPr>
            </w:pPr>
          </w:p>
        </w:tc>
        <w:tc>
          <w:tcPr>
            <w:tcW w:w="92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960" w:type="dxa"/>
            <w:vAlign w:val="bottom"/>
            <w:tcBorders>
              <w:bottom w:val="single" w:sz="8" w:color="5673B8"/>
            </w:tcBorders>
          </w:tcPr>
          <w:p>
            <w:pPr>
              <w:spacing w:after="0"/>
              <w:rPr>
                <w:sz w:val="2"/>
                <w:szCs w:val="2"/>
                <w:color w:val="auto"/>
              </w:rPr>
            </w:pPr>
          </w:p>
        </w:tc>
        <w:tc>
          <w:tcPr>
            <w:tcW w:w="520" w:type="dxa"/>
            <w:vAlign w:val="bottom"/>
            <w:tcBorders>
              <w:bottom w:val="single" w:sz="8" w:color="5673B8"/>
              <w:right w:val="single" w:sz="8" w:color="852166"/>
            </w:tcBorders>
          </w:tcPr>
          <w:p>
            <w:pPr>
              <w:spacing w:after="0"/>
              <w:rPr>
                <w:sz w:val="2"/>
                <w:szCs w:val="2"/>
                <w:color w:val="auto"/>
              </w:rPr>
            </w:pPr>
          </w:p>
        </w:tc>
        <w:tc>
          <w:tcPr>
            <w:tcW w:w="0" w:type="dxa"/>
            <w:vAlign w:val="bottom"/>
          </w:tcPr>
          <w:p>
            <w:pPr>
              <w:spacing w:after="0"/>
              <w:rPr>
                <w:sz w:val="1"/>
                <w:szCs w:val="1"/>
                <w:color w:val="auto"/>
              </w:rPr>
            </w:pPr>
          </w:p>
        </w:tc>
      </w:tr>
      <w:tr>
        <w:trPr>
          <w:trHeight w:val="308"/>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Patrick Kennedy</w:t>
            </w:r>
          </w:p>
        </w:tc>
        <w:tc>
          <w:tcPr>
            <w:tcW w:w="460" w:type="dxa"/>
            <w:vAlign w:val="bottom"/>
            <w:vMerge w:val="restart"/>
          </w:tcPr>
          <w:p>
            <w:pPr>
              <w:ind w:left="120"/>
              <w:spacing w:after="0"/>
              <w:rPr>
                <w:sz w:val="20"/>
                <w:szCs w:val="20"/>
                <w:color w:val="auto"/>
              </w:rPr>
            </w:pPr>
            <w:r>
              <w:rPr>
                <w:rFonts w:ascii="Arial" w:cs="Arial" w:eastAsia="Arial" w:hAnsi="Arial"/>
                <w:sz w:val="14"/>
                <w:szCs w:val="14"/>
                <w:color w:val="auto"/>
              </w:rPr>
              <w:t>57</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2024</w:t>
            </w:r>
          </w:p>
        </w:tc>
        <w:tc>
          <w:tcPr>
            <w:tcW w:w="1040" w:type="dxa"/>
            <w:vAlign w:val="bottom"/>
          </w:tcPr>
          <w:p>
            <w:pPr>
              <w:spacing w:after="0"/>
              <w:rPr>
                <w:sz w:val="24"/>
                <w:szCs w:val="24"/>
                <w:color w:val="auto"/>
              </w:rPr>
            </w:pPr>
          </w:p>
        </w:tc>
        <w:tc>
          <w:tcPr>
            <w:tcW w:w="120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14"/>
                <w:szCs w:val="14"/>
                <w:color w:val="auto"/>
              </w:rPr>
              <w:t>0</w:t>
            </w:r>
          </w:p>
        </w:tc>
        <w:tc>
          <w:tcPr>
            <w:tcW w:w="920" w:type="dxa"/>
            <w:vAlign w:val="bottom"/>
            <w:vMerge w:val="restart"/>
          </w:tcPr>
          <w:p>
            <w:pPr>
              <w:jc w:val="center"/>
              <w:spacing w:after="0"/>
              <w:rPr>
                <w:sz w:val="20"/>
                <w:szCs w:val="20"/>
                <w:color w:val="auto"/>
              </w:rPr>
            </w:pPr>
            <w:r>
              <w:rPr>
                <w:rFonts w:ascii="Arial" w:cs="Arial" w:eastAsia="Arial" w:hAnsi="Arial"/>
                <w:sz w:val="27"/>
                <w:szCs w:val="27"/>
                <w:color w:val="852166"/>
                <w:w w:val="97"/>
              </w:rPr>
              <w:t>●</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Borders>
              <w:right w:val="single" w:sz="8" w:color="852166"/>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200" w:type="dxa"/>
            <w:vAlign w:val="bottom"/>
          </w:tcPr>
          <w:p>
            <w:pPr>
              <w:ind w:left="740"/>
              <w:spacing w:after="0"/>
              <w:rPr>
                <w:sz w:val="20"/>
                <w:szCs w:val="20"/>
                <w:color w:val="auto"/>
              </w:rPr>
            </w:pPr>
            <w:r>
              <w:rPr>
                <w:rFonts w:ascii="Arial" w:cs="Arial" w:eastAsia="Arial" w:hAnsi="Arial"/>
                <w:sz w:val="14"/>
                <w:szCs w:val="14"/>
                <w:color w:val="auto"/>
              </w:rPr>
              <w:t>Director, Jazz Pharmaceuticals plc</w:t>
            </w:r>
          </w:p>
        </w:tc>
        <w:tc>
          <w:tcPr>
            <w:tcW w:w="4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Borders>
              <w:right w:val="single" w:sz="8" w:color="852166"/>
            </w:tcBorders>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Borders>
              <w:right w:val="single" w:sz="8" w:color="852166"/>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200" w:type="dxa"/>
            <w:vAlign w:val="bottom"/>
            <w:tcBorders>
              <w:bottom w:val="single" w:sz="8" w:color="5673B8"/>
            </w:tcBorders>
          </w:tcPr>
          <w:p>
            <w:pPr>
              <w:spacing w:after="0"/>
              <w:rPr>
                <w:sz w:val="11"/>
                <w:szCs w:val="11"/>
                <w:color w:val="auto"/>
              </w:rPr>
            </w:pPr>
          </w:p>
        </w:tc>
        <w:tc>
          <w:tcPr>
            <w:tcW w:w="460" w:type="dxa"/>
            <w:vAlign w:val="bottom"/>
            <w:tcBorders>
              <w:bottom w:val="single" w:sz="8" w:color="5673B8"/>
            </w:tcBorders>
          </w:tcPr>
          <w:p>
            <w:pPr>
              <w:spacing w:after="0"/>
              <w:rPr>
                <w:sz w:val="11"/>
                <w:szCs w:val="11"/>
                <w:color w:val="auto"/>
              </w:rPr>
            </w:pPr>
          </w:p>
        </w:tc>
        <w:tc>
          <w:tcPr>
            <w:tcW w:w="760" w:type="dxa"/>
            <w:vAlign w:val="bottom"/>
            <w:tcBorders>
              <w:bottom w:val="single" w:sz="8" w:color="5673B8"/>
            </w:tcBorders>
          </w:tcPr>
          <w:p>
            <w:pPr>
              <w:spacing w:after="0"/>
              <w:rPr>
                <w:sz w:val="11"/>
                <w:szCs w:val="11"/>
                <w:color w:val="auto"/>
              </w:rPr>
            </w:pPr>
          </w:p>
        </w:tc>
        <w:tc>
          <w:tcPr>
            <w:tcW w:w="1040" w:type="dxa"/>
            <w:vAlign w:val="bottom"/>
            <w:tcBorders>
              <w:bottom w:val="single" w:sz="8" w:color="5673B8"/>
            </w:tcBorders>
          </w:tcPr>
          <w:p>
            <w:pPr>
              <w:spacing w:after="0"/>
              <w:rPr>
                <w:sz w:val="11"/>
                <w:szCs w:val="11"/>
                <w:color w:val="auto"/>
              </w:rPr>
            </w:pPr>
          </w:p>
        </w:tc>
        <w:tc>
          <w:tcPr>
            <w:tcW w:w="1200" w:type="dxa"/>
            <w:vAlign w:val="bottom"/>
            <w:tcBorders>
              <w:bottom w:val="single" w:sz="8" w:color="5673B8"/>
              <w:right w:val="single" w:sz="8" w:color="852166"/>
            </w:tcBorders>
          </w:tcPr>
          <w:p>
            <w:pPr>
              <w:spacing w:after="0"/>
              <w:rPr>
                <w:sz w:val="11"/>
                <w:szCs w:val="11"/>
                <w:color w:val="auto"/>
              </w:rPr>
            </w:pPr>
          </w:p>
        </w:tc>
        <w:tc>
          <w:tcPr>
            <w:tcW w:w="920" w:type="dxa"/>
            <w:vAlign w:val="bottom"/>
            <w:tcBorders>
              <w:bottom w:val="single" w:sz="8" w:color="5673B8"/>
            </w:tcBorders>
          </w:tcPr>
          <w:p>
            <w:pPr>
              <w:spacing w:after="0"/>
              <w:rPr>
                <w:sz w:val="11"/>
                <w:szCs w:val="11"/>
                <w:color w:val="auto"/>
              </w:rPr>
            </w:pPr>
          </w:p>
        </w:tc>
        <w:tc>
          <w:tcPr>
            <w:tcW w:w="1200" w:type="dxa"/>
            <w:vAlign w:val="bottom"/>
            <w:tcBorders>
              <w:bottom w:val="single" w:sz="8" w:color="5673B8"/>
            </w:tcBorders>
          </w:tcPr>
          <w:p>
            <w:pPr>
              <w:spacing w:after="0"/>
              <w:rPr>
                <w:sz w:val="11"/>
                <w:szCs w:val="11"/>
                <w:color w:val="auto"/>
              </w:rPr>
            </w:pPr>
          </w:p>
        </w:tc>
        <w:tc>
          <w:tcPr>
            <w:tcW w:w="960" w:type="dxa"/>
            <w:vAlign w:val="bottom"/>
            <w:tcBorders>
              <w:bottom w:val="single" w:sz="8" w:color="5673B8"/>
            </w:tcBorders>
          </w:tcPr>
          <w:p>
            <w:pPr>
              <w:spacing w:after="0"/>
              <w:rPr>
                <w:sz w:val="11"/>
                <w:szCs w:val="11"/>
                <w:color w:val="auto"/>
              </w:rPr>
            </w:pPr>
          </w:p>
        </w:tc>
        <w:tc>
          <w:tcPr>
            <w:tcW w:w="520" w:type="dxa"/>
            <w:vAlign w:val="bottom"/>
            <w:tcBorders>
              <w:bottom w:val="single" w:sz="8" w:color="5673B8"/>
              <w:right w:val="single" w:sz="8" w:color="852166"/>
            </w:tcBorders>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Ted W. Love, M.D.</w:t>
            </w:r>
          </w:p>
        </w:tc>
        <w:tc>
          <w:tcPr>
            <w:tcW w:w="460" w:type="dxa"/>
            <w:vAlign w:val="bottom"/>
            <w:vMerge w:val="restart"/>
          </w:tcPr>
          <w:p>
            <w:pPr>
              <w:ind w:left="120"/>
              <w:spacing w:after="0"/>
              <w:rPr>
                <w:sz w:val="20"/>
                <w:szCs w:val="20"/>
                <w:color w:val="auto"/>
              </w:rPr>
            </w:pPr>
            <w:r>
              <w:rPr>
                <w:rFonts w:ascii="Arial" w:cs="Arial" w:eastAsia="Arial" w:hAnsi="Arial"/>
                <w:sz w:val="14"/>
                <w:szCs w:val="14"/>
                <w:color w:val="auto"/>
              </w:rPr>
              <w:t>67</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2025</w:t>
            </w:r>
          </w:p>
        </w:tc>
        <w:tc>
          <w:tcPr>
            <w:tcW w:w="1040" w:type="dxa"/>
            <w:vAlign w:val="bottom"/>
          </w:tcPr>
          <w:p>
            <w:pPr>
              <w:spacing w:after="0"/>
              <w:rPr>
                <w:sz w:val="19"/>
                <w:szCs w:val="19"/>
                <w:color w:val="auto"/>
              </w:rPr>
            </w:pPr>
          </w:p>
        </w:tc>
        <w:tc>
          <w:tcPr>
            <w:tcW w:w="120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14"/>
                <w:szCs w:val="14"/>
                <w:color w:val="auto"/>
              </w:rPr>
              <w:t>3</w:t>
            </w:r>
          </w:p>
        </w:tc>
        <w:tc>
          <w:tcPr>
            <w:tcW w:w="920" w:type="dxa"/>
            <w:vAlign w:val="bottom"/>
            <w:vMerge w:val="restart"/>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Borders>
              <w:right w:val="single" w:sz="8" w:color="852166"/>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00" w:type="dxa"/>
            <w:vAlign w:val="bottom"/>
          </w:tcPr>
          <w:p>
            <w:pPr>
              <w:ind w:left="740"/>
              <w:spacing w:after="0"/>
              <w:rPr>
                <w:sz w:val="20"/>
                <w:szCs w:val="20"/>
                <w:color w:val="auto"/>
              </w:rPr>
            </w:pPr>
            <w:r>
              <w:rPr>
                <w:rFonts w:ascii="Arial" w:cs="Arial" w:eastAsia="Arial" w:hAnsi="Arial"/>
                <w:sz w:val="14"/>
                <w:szCs w:val="14"/>
                <w:color w:val="auto"/>
              </w:rPr>
              <w:t>Director, Gilead Sciences, Inc., Royalty Pharma plc,</w:t>
            </w:r>
          </w:p>
        </w:tc>
        <w:tc>
          <w:tcPr>
            <w:tcW w:w="4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Borders>
              <w:right w:val="single" w:sz="8" w:color="852166"/>
            </w:tcBorders>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Borders>
              <w:right w:val="single" w:sz="8" w:color="852166"/>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200" w:type="dxa"/>
            <w:vAlign w:val="bottom"/>
          </w:tcPr>
          <w:p>
            <w:pPr>
              <w:ind w:left="740"/>
              <w:spacing w:after="0"/>
              <w:rPr>
                <w:sz w:val="20"/>
                <w:szCs w:val="20"/>
                <w:color w:val="auto"/>
              </w:rPr>
            </w:pPr>
            <w:r>
              <w:rPr>
                <w:rFonts w:ascii="Arial" w:cs="Arial" w:eastAsia="Arial" w:hAnsi="Arial"/>
                <w:sz w:val="14"/>
                <w:szCs w:val="14"/>
                <w:color w:val="auto"/>
              </w:rPr>
              <w:t>and Structure Therapeutics Inc.</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Borders>
              <w:right w:val="single" w:sz="8" w:color="852166"/>
            </w:tcBorders>
          </w:tcPr>
          <w:p>
            <w:pPr>
              <w:spacing w:after="0"/>
              <w:rPr>
                <w:sz w:val="17"/>
                <w:szCs w:val="17"/>
                <w:color w:val="auto"/>
              </w:rPr>
            </w:pPr>
          </w:p>
        </w:tc>
        <w:tc>
          <w:tcPr>
            <w:tcW w:w="92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Borders>
              <w:right w:val="single" w:sz="8" w:color="852166"/>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5673B8"/>
            </w:tcBorders>
          </w:tcPr>
          <w:p>
            <w:pPr>
              <w:spacing w:after="0"/>
              <w:rPr>
                <w:sz w:val="2"/>
                <w:szCs w:val="2"/>
                <w:color w:val="auto"/>
              </w:rPr>
            </w:pPr>
          </w:p>
        </w:tc>
        <w:tc>
          <w:tcPr>
            <w:tcW w:w="460" w:type="dxa"/>
            <w:vAlign w:val="bottom"/>
            <w:tcBorders>
              <w:bottom w:val="single" w:sz="8" w:color="5673B8"/>
            </w:tcBorders>
          </w:tcPr>
          <w:p>
            <w:pPr>
              <w:spacing w:after="0"/>
              <w:rPr>
                <w:sz w:val="2"/>
                <w:szCs w:val="2"/>
                <w:color w:val="auto"/>
              </w:rPr>
            </w:pPr>
          </w:p>
        </w:tc>
        <w:tc>
          <w:tcPr>
            <w:tcW w:w="760" w:type="dxa"/>
            <w:vAlign w:val="bottom"/>
            <w:tcBorders>
              <w:bottom w:val="single" w:sz="8" w:color="5673B8"/>
            </w:tcBorders>
          </w:tcPr>
          <w:p>
            <w:pPr>
              <w:spacing w:after="0"/>
              <w:rPr>
                <w:sz w:val="2"/>
                <w:szCs w:val="2"/>
                <w:color w:val="auto"/>
              </w:rPr>
            </w:pPr>
          </w:p>
        </w:tc>
        <w:tc>
          <w:tcPr>
            <w:tcW w:w="1040" w:type="dxa"/>
            <w:vAlign w:val="bottom"/>
            <w:tcBorders>
              <w:bottom w:val="single" w:sz="8" w:color="5673B8"/>
            </w:tcBorders>
          </w:tcPr>
          <w:p>
            <w:pPr>
              <w:spacing w:after="0"/>
              <w:rPr>
                <w:sz w:val="2"/>
                <w:szCs w:val="2"/>
                <w:color w:val="auto"/>
              </w:rPr>
            </w:pPr>
          </w:p>
        </w:tc>
        <w:tc>
          <w:tcPr>
            <w:tcW w:w="1200" w:type="dxa"/>
            <w:vAlign w:val="bottom"/>
            <w:tcBorders>
              <w:bottom w:val="single" w:sz="8" w:color="5673B8"/>
              <w:right w:val="single" w:sz="8" w:color="852166"/>
            </w:tcBorders>
          </w:tcPr>
          <w:p>
            <w:pPr>
              <w:spacing w:after="0"/>
              <w:rPr>
                <w:sz w:val="2"/>
                <w:szCs w:val="2"/>
                <w:color w:val="auto"/>
              </w:rPr>
            </w:pPr>
          </w:p>
        </w:tc>
        <w:tc>
          <w:tcPr>
            <w:tcW w:w="92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960" w:type="dxa"/>
            <w:vAlign w:val="bottom"/>
            <w:tcBorders>
              <w:bottom w:val="single" w:sz="8" w:color="5673B8"/>
            </w:tcBorders>
          </w:tcPr>
          <w:p>
            <w:pPr>
              <w:spacing w:after="0"/>
              <w:rPr>
                <w:sz w:val="2"/>
                <w:szCs w:val="2"/>
                <w:color w:val="auto"/>
              </w:rPr>
            </w:pPr>
          </w:p>
        </w:tc>
        <w:tc>
          <w:tcPr>
            <w:tcW w:w="520" w:type="dxa"/>
            <w:vAlign w:val="bottom"/>
            <w:tcBorders>
              <w:bottom w:val="single" w:sz="8" w:color="5673B8"/>
              <w:right w:val="single" w:sz="8" w:color="852166"/>
            </w:tcBorders>
          </w:tcPr>
          <w:p>
            <w:pPr>
              <w:spacing w:after="0"/>
              <w:rPr>
                <w:sz w:val="2"/>
                <w:szCs w:val="2"/>
                <w:color w:val="auto"/>
              </w:rPr>
            </w:pPr>
          </w:p>
        </w:tc>
        <w:tc>
          <w:tcPr>
            <w:tcW w:w="0" w:type="dxa"/>
            <w:vAlign w:val="bottom"/>
          </w:tcPr>
          <w:p>
            <w:pPr>
              <w:spacing w:after="0"/>
              <w:rPr>
                <w:sz w:val="1"/>
                <w:szCs w:val="1"/>
                <w:color w:val="auto"/>
              </w:rPr>
            </w:pPr>
          </w:p>
        </w:tc>
      </w:tr>
      <w:tr>
        <w:trPr>
          <w:trHeight w:val="308"/>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Seamus C. Mulligan</w:t>
            </w:r>
          </w:p>
        </w:tc>
        <w:tc>
          <w:tcPr>
            <w:tcW w:w="460" w:type="dxa"/>
            <w:vAlign w:val="bottom"/>
            <w:vMerge w:val="restart"/>
          </w:tcPr>
          <w:p>
            <w:pPr>
              <w:ind w:left="120"/>
              <w:spacing w:after="0"/>
              <w:rPr>
                <w:sz w:val="20"/>
                <w:szCs w:val="20"/>
                <w:color w:val="auto"/>
              </w:rPr>
            </w:pPr>
            <w:r>
              <w:rPr>
                <w:rFonts w:ascii="Arial" w:cs="Arial" w:eastAsia="Arial" w:hAnsi="Arial"/>
                <w:sz w:val="14"/>
                <w:szCs w:val="14"/>
                <w:color w:val="auto"/>
              </w:rPr>
              <w:t>65</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2012</w:t>
            </w:r>
          </w:p>
        </w:tc>
        <w:tc>
          <w:tcPr>
            <w:tcW w:w="1040" w:type="dxa"/>
            <w:vAlign w:val="bottom"/>
          </w:tcPr>
          <w:p>
            <w:pPr>
              <w:spacing w:after="0"/>
              <w:rPr>
                <w:sz w:val="24"/>
                <w:szCs w:val="24"/>
                <w:color w:val="auto"/>
              </w:rPr>
            </w:pPr>
          </w:p>
        </w:tc>
        <w:tc>
          <w:tcPr>
            <w:tcW w:w="120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14"/>
                <w:szCs w:val="14"/>
                <w:color w:val="auto"/>
              </w:rPr>
              <w:t>0</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Borders>
              <w:right w:val="single" w:sz="8" w:color="852166"/>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200" w:type="dxa"/>
            <w:vAlign w:val="bottom"/>
            <w:vMerge w:val="restart"/>
          </w:tcPr>
          <w:p>
            <w:pPr>
              <w:ind w:left="740"/>
              <w:spacing w:after="0"/>
              <w:rPr>
                <w:sz w:val="20"/>
                <w:szCs w:val="20"/>
                <w:color w:val="auto"/>
              </w:rPr>
            </w:pPr>
            <w:r>
              <w:rPr>
                <w:rFonts w:ascii="Arial" w:cs="Arial" w:eastAsia="Arial" w:hAnsi="Arial"/>
                <w:sz w:val="14"/>
                <w:szCs w:val="14"/>
                <w:color w:val="auto"/>
              </w:rPr>
              <w:t>Director, Jazz Pharmaceuticals plc</w:t>
            </w:r>
          </w:p>
        </w:tc>
        <w:tc>
          <w:tcPr>
            <w:tcW w:w="4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Borders>
              <w:right w:val="single" w:sz="8" w:color="852166"/>
            </w:tcBorders>
            <w:vMerge w:val="continue"/>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Borders>
              <w:right w:val="single" w:sz="8" w:color="852166"/>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42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Borders>
              <w:right w:val="single" w:sz="8" w:color="852166"/>
            </w:tcBorders>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Borders>
              <w:right w:val="single" w:sz="8" w:color="852166"/>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5673B8"/>
            </w:tcBorders>
          </w:tcPr>
          <w:p>
            <w:pPr>
              <w:spacing w:after="0"/>
              <w:rPr>
                <w:sz w:val="2"/>
                <w:szCs w:val="2"/>
                <w:color w:val="auto"/>
              </w:rPr>
            </w:pPr>
          </w:p>
        </w:tc>
        <w:tc>
          <w:tcPr>
            <w:tcW w:w="460" w:type="dxa"/>
            <w:vAlign w:val="bottom"/>
            <w:tcBorders>
              <w:bottom w:val="single" w:sz="8" w:color="5673B8"/>
            </w:tcBorders>
          </w:tcPr>
          <w:p>
            <w:pPr>
              <w:spacing w:after="0"/>
              <w:rPr>
                <w:sz w:val="2"/>
                <w:szCs w:val="2"/>
                <w:color w:val="auto"/>
              </w:rPr>
            </w:pPr>
          </w:p>
        </w:tc>
        <w:tc>
          <w:tcPr>
            <w:tcW w:w="760" w:type="dxa"/>
            <w:vAlign w:val="bottom"/>
            <w:tcBorders>
              <w:bottom w:val="single" w:sz="8" w:color="5673B8"/>
            </w:tcBorders>
          </w:tcPr>
          <w:p>
            <w:pPr>
              <w:spacing w:after="0"/>
              <w:rPr>
                <w:sz w:val="2"/>
                <w:szCs w:val="2"/>
                <w:color w:val="auto"/>
              </w:rPr>
            </w:pPr>
          </w:p>
        </w:tc>
        <w:tc>
          <w:tcPr>
            <w:tcW w:w="1040" w:type="dxa"/>
            <w:vAlign w:val="bottom"/>
            <w:tcBorders>
              <w:bottom w:val="single" w:sz="8" w:color="5673B8"/>
            </w:tcBorders>
          </w:tcPr>
          <w:p>
            <w:pPr>
              <w:spacing w:after="0"/>
              <w:rPr>
                <w:sz w:val="2"/>
                <w:szCs w:val="2"/>
                <w:color w:val="auto"/>
              </w:rPr>
            </w:pPr>
          </w:p>
        </w:tc>
        <w:tc>
          <w:tcPr>
            <w:tcW w:w="1200" w:type="dxa"/>
            <w:vAlign w:val="bottom"/>
            <w:tcBorders>
              <w:bottom w:val="single" w:sz="8" w:color="5673B8"/>
              <w:right w:val="single" w:sz="8" w:color="852166"/>
            </w:tcBorders>
          </w:tcPr>
          <w:p>
            <w:pPr>
              <w:spacing w:after="0"/>
              <w:rPr>
                <w:sz w:val="2"/>
                <w:szCs w:val="2"/>
                <w:color w:val="auto"/>
              </w:rPr>
            </w:pPr>
          </w:p>
        </w:tc>
        <w:tc>
          <w:tcPr>
            <w:tcW w:w="92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960" w:type="dxa"/>
            <w:vAlign w:val="bottom"/>
            <w:tcBorders>
              <w:bottom w:val="single" w:sz="8" w:color="5673B8"/>
            </w:tcBorders>
          </w:tcPr>
          <w:p>
            <w:pPr>
              <w:spacing w:after="0"/>
              <w:rPr>
                <w:sz w:val="2"/>
                <w:szCs w:val="2"/>
                <w:color w:val="auto"/>
              </w:rPr>
            </w:pPr>
          </w:p>
        </w:tc>
        <w:tc>
          <w:tcPr>
            <w:tcW w:w="520" w:type="dxa"/>
            <w:vAlign w:val="bottom"/>
            <w:tcBorders>
              <w:bottom w:val="single" w:sz="8" w:color="5673B8"/>
              <w:right w:val="single" w:sz="8" w:color="852166"/>
            </w:tcBorders>
          </w:tcPr>
          <w:p>
            <w:pPr>
              <w:spacing w:after="0"/>
              <w:rPr>
                <w:sz w:val="2"/>
                <w:szCs w:val="2"/>
                <w:color w:val="auto"/>
              </w:rPr>
            </w:pPr>
          </w:p>
        </w:tc>
        <w:tc>
          <w:tcPr>
            <w:tcW w:w="0" w:type="dxa"/>
            <w:vAlign w:val="bottom"/>
          </w:tcPr>
          <w:p>
            <w:pPr>
              <w:spacing w:after="0"/>
              <w:rPr>
                <w:sz w:val="1"/>
                <w:szCs w:val="1"/>
                <w:color w:val="auto"/>
              </w:rPr>
            </w:pPr>
          </w:p>
        </w:tc>
      </w:tr>
      <w:tr>
        <w:trPr>
          <w:trHeight w:val="308"/>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Norbert G. Riedel, Ph.D.</w:t>
            </w:r>
          </w:p>
        </w:tc>
        <w:tc>
          <w:tcPr>
            <w:tcW w:w="460" w:type="dxa"/>
            <w:vAlign w:val="bottom"/>
            <w:vMerge w:val="restart"/>
          </w:tcPr>
          <w:p>
            <w:pPr>
              <w:ind w:left="120"/>
              <w:spacing w:after="0"/>
              <w:rPr>
                <w:sz w:val="20"/>
                <w:szCs w:val="20"/>
                <w:color w:val="auto"/>
              </w:rPr>
            </w:pPr>
            <w:r>
              <w:rPr>
                <w:rFonts w:ascii="Arial" w:cs="Arial" w:eastAsia="Arial" w:hAnsi="Arial"/>
                <w:sz w:val="14"/>
                <w:szCs w:val="14"/>
                <w:color w:val="auto"/>
              </w:rPr>
              <w:t>68</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2013</w:t>
            </w:r>
          </w:p>
        </w:tc>
        <w:tc>
          <w:tcPr>
            <w:tcW w:w="1040" w:type="dxa"/>
            <w:vAlign w:val="bottom"/>
          </w:tcPr>
          <w:p>
            <w:pPr>
              <w:spacing w:after="0"/>
              <w:rPr>
                <w:sz w:val="24"/>
                <w:szCs w:val="24"/>
                <w:color w:val="auto"/>
              </w:rPr>
            </w:pPr>
          </w:p>
        </w:tc>
        <w:tc>
          <w:tcPr>
            <w:tcW w:w="120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14"/>
                <w:szCs w:val="14"/>
                <w:color w:val="auto"/>
              </w:rPr>
              <w:t>1</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vMerge w:val="restart"/>
          </w:tcPr>
          <w:p>
            <w:pPr>
              <w:spacing w:after="0"/>
              <w:rPr>
                <w:sz w:val="24"/>
                <w:szCs w:val="24"/>
                <w:color w:val="auto"/>
              </w:rPr>
            </w:pPr>
          </w:p>
        </w:tc>
        <w:tc>
          <w:tcPr>
            <w:tcW w:w="52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27"/>
                <w:szCs w:val="27"/>
                <w:color w:val="852166"/>
                <w:w w:val="97"/>
              </w:rPr>
              <w:t>●</w:t>
            </w:r>
          </w:p>
        </w:tc>
        <w:tc>
          <w:tcPr>
            <w:tcW w:w="0" w:type="dxa"/>
            <w:vAlign w:val="bottom"/>
          </w:tcPr>
          <w:p>
            <w:pPr>
              <w:spacing w:after="0"/>
              <w:rPr>
                <w:sz w:val="1"/>
                <w:szCs w:val="1"/>
                <w:color w:val="auto"/>
              </w:rPr>
            </w:pPr>
          </w:p>
        </w:tc>
      </w:tr>
      <w:tr>
        <w:trPr>
          <w:trHeight w:val="96"/>
        </w:trPr>
        <w:tc>
          <w:tcPr>
            <w:tcW w:w="4200" w:type="dxa"/>
            <w:vAlign w:val="bottom"/>
            <w:vMerge w:val="restart"/>
          </w:tcPr>
          <w:p>
            <w:pPr>
              <w:ind w:left="740"/>
              <w:spacing w:after="0"/>
              <w:rPr>
                <w:sz w:val="20"/>
                <w:szCs w:val="20"/>
                <w:color w:val="auto"/>
              </w:rPr>
            </w:pPr>
            <w:r>
              <w:rPr>
                <w:rFonts w:ascii="Arial" w:cs="Arial" w:eastAsia="Arial" w:hAnsi="Arial"/>
                <w:sz w:val="14"/>
                <w:szCs w:val="14"/>
                <w:color w:val="auto"/>
              </w:rPr>
              <w:t>Chairperson, Eton Pharmaceuticals, Inc.</w:t>
            </w:r>
          </w:p>
        </w:tc>
        <w:tc>
          <w:tcPr>
            <w:tcW w:w="4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Borders>
              <w:right w:val="single" w:sz="8" w:color="852166"/>
            </w:tcBorders>
            <w:vMerge w:val="continue"/>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520" w:type="dxa"/>
            <w:vAlign w:val="bottom"/>
            <w:tcBorders>
              <w:right w:val="single" w:sz="8" w:color="852166"/>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42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Borders>
              <w:right w:val="single" w:sz="8" w:color="852166"/>
            </w:tcBorders>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520" w:type="dxa"/>
            <w:vAlign w:val="bottom"/>
            <w:tcBorders>
              <w:right w:val="single" w:sz="8" w:color="852166"/>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5673B8"/>
            </w:tcBorders>
          </w:tcPr>
          <w:p>
            <w:pPr>
              <w:spacing w:after="0"/>
              <w:rPr>
                <w:sz w:val="2"/>
                <w:szCs w:val="2"/>
                <w:color w:val="auto"/>
              </w:rPr>
            </w:pPr>
          </w:p>
        </w:tc>
        <w:tc>
          <w:tcPr>
            <w:tcW w:w="460" w:type="dxa"/>
            <w:vAlign w:val="bottom"/>
            <w:tcBorders>
              <w:bottom w:val="single" w:sz="8" w:color="5673B8"/>
            </w:tcBorders>
          </w:tcPr>
          <w:p>
            <w:pPr>
              <w:spacing w:after="0"/>
              <w:rPr>
                <w:sz w:val="2"/>
                <w:szCs w:val="2"/>
                <w:color w:val="auto"/>
              </w:rPr>
            </w:pPr>
          </w:p>
        </w:tc>
        <w:tc>
          <w:tcPr>
            <w:tcW w:w="760" w:type="dxa"/>
            <w:vAlign w:val="bottom"/>
            <w:tcBorders>
              <w:bottom w:val="single" w:sz="8" w:color="5673B8"/>
            </w:tcBorders>
          </w:tcPr>
          <w:p>
            <w:pPr>
              <w:spacing w:after="0"/>
              <w:rPr>
                <w:sz w:val="2"/>
                <w:szCs w:val="2"/>
                <w:color w:val="auto"/>
              </w:rPr>
            </w:pPr>
          </w:p>
        </w:tc>
        <w:tc>
          <w:tcPr>
            <w:tcW w:w="1040" w:type="dxa"/>
            <w:vAlign w:val="bottom"/>
            <w:tcBorders>
              <w:bottom w:val="single" w:sz="8" w:color="5673B8"/>
            </w:tcBorders>
          </w:tcPr>
          <w:p>
            <w:pPr>
              <w:spacing w:after="0"/>
              <w:rPr>
                <w:sz w:val="2"/>
                <w:szCs w:val="2"/>
                <w:color w:val="auto"/>
              </w:rPr>
            </w:pPr>
          </w:p>
        </w:tc>
        <w:tc>
          <w:tcPr>
            <w:tcW w:w="1200" w:type="dxa"/>
            <w:vAlign w:val="bottom"/>
            <w:tcBorders>
              <w:bottom w:val="single" w:sz="8" w:color="5673B8"/>
              <w:right w:val="single" w:sz="8" w:color="852166"/>
            </w:tcBorders>
          </w:tcPr>
          <w:p>
            <w:pPr>
              <w:spacing w:after="0"/>
              <w:rPr>
                <w:sz w:val="2"/>
                <w:szCs w:val="2"/>
                <w:color w:val="auto"/>
              </w:rPr>
            </w:pPr>
          </w:p>
        </w:tc>
        <w:tc>
          <w:tcPr>
            <w:tcW w:w="92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960" w:type="dxa"/>
            <w:vAlign w:val="bottom"/>
            <w:tcBorders>
              <w:bottom w:val="single" w:sz="8" w:color="5673B8"/>
            </w:tcBorders>
          </w:tcPr>
          <w:p>
            <w:pPr>
              <w:spacing w:after="0"/>
              <w:rPr>
                <w:sz w:val="2"/>
                <w:szCs w:val="2"/>
                <w:color w:val="auto"/>
              </w:rPr>
            </w:pPr>
          </w:p>
        </w:tc>
        <w:tc>
          <w:tcPr>
            <w:tcW w:w="520" w:type="dxa"/>
            <w:vAlign w:val="bottom"/>
            <w:tcBorders>
              <w:bottom w:val="single" w:sz="8" w:color="5673B8"/>
              <w:right w:val="single" w:sz="8" w:color="852166"/>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200" w:type="dxa"/>
            <w:vAlign w:val="bottom"/>
          </w:tcPr>
          <w:p>
            <w:pPr>
              <w:ind w:left="740"/>
              <w:spacing w:after="0"/>
              <w:rPr>
                <w:sz w:val="20"/>
                <w:szCs w:val="20"/>
                <w:color w:val="auto"/>
              </w:rPr>
            </w:pPr>
            <w:r>
              <w:rPr>
                <w:rFonts w:ascii="Arial" w:cs="Arial" w:eastAsia="Arial" w:hAnsi="Arial"/>
                <w:sz w:val="14"/>
                <w:szCs w:val="14"/>
                <w:b w:val="1"/>
                <w:bCs w:val="1"/>
                <w:color w:val="852166"/>
              </w:rPr>
              <w:t>Mark D. Smith, M.D</w:t>
            </w:r>
            <w:r>
              <w:rPr>
                <w:rFonts w:ascii="Arial" w:cs="Arial" w:eastAsia="Arial" w:hAnsi="Arial"/>
                <w:sz w:val="14"/>
                <w:szCs w:val="14"/>
                <w:color w:val="000000"/>
              </w:rPr>
              <w:t>.</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Borders>
              <w:right w:val="single" w:sz="8" w:color="852166"/>
            </w:tcBorders>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vMerge w:val="restart"/>
          </w:tcPr>
          <w:p>
            <w:pPr>
              <w:spacing w:after="0"/>
              <w:rPr>
                <w:sz w:val="18"/>
                <w:szCs w:val="18"/>
                <w:color w:val="auto"/>
              </w:rPr>
            </w:pPr>
          </w:p>
        </w:tc>
        <w:tc>
          <w:tcPr>
            <w:tcW w:w="520" w:type="dxa"/>
            <w:vAlign w:val="bottom"/>
            <w:tcBorders>
              <w:right w:val="single" w:sz="8" w:color="852166"/>
            </w:tcBorders>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740"/>
              <w:spacing w:after="0"/>
              <w:rPr>
                <w:sz w:val="20"/>
                <w:szCs w:val="20"/>
                <w:color w:val="auto"/>
              </w:rPr>
            </w:pPr>
            <w:r>
              <w:rPr>
                <w:rFonts w:ascii="Arial" w:cs="Arial" w:eastAsia="Arial" w:hAnsi="Arial"/>
                <w:sz w:val="14"/>
                <w:szCs w:val="14"/>
                <w:color w:val="auto"/>
              </w:rPr>
              <w:t>Professor, University of California, San Francisco and</w:t>
            </w:r>
          </w:p>
        </w:tc>
        <w:tc>
          <w:tcPr>
            <w:tcW w:w="460" w:type="dxa"/>
            <w:vAlign w:val="bottom"/>
            <w:vMerge w:val="restart"/>
          </w:tcPr>
          <w:p>
            <w:pPr>
              <w:ind w:left="120"/>
              <w:spacing w:after="0"/>
              <w:rPr>
                <w:sz w:val="20"/>
                <w:szCs w:val="20"/>
                <w:color w:val="auto"/>
              </w:rPr>
            </w:pPr>
            <w:r>
              <w:rPr>
                <w:rFonts w:ascii="Arial" w:cs="Arial" w:eastAsia="Arial" w:hAnsi="Arial"/>
                <w:sz w:val="14"/>
                <w:szCs w:val="14"/>
                <w:color w:val="auto"/>
              </w:rPr>
              <w:t>74</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1040" w:type="dxa"/>
            <w:vAlign w:val="bottom"/>
          </w:tcPr>
          <w:p>
            <w:pPr>
              <w:spacing w:after="0"/>
              <w:rPr>
                <w:sz w:val="15"/>
                <w:szCs w:val="15"/>
                <w:color w:val="auto"/>
              </w:rPr>
            </w:pPr>
          </w:p>
        </w:tc>
        <w:tc>
          <w:tcPr>
            <w:tcW w:w="1200" w:type="dxa"/>
            <w:vAlign w:val="bottom"/>
            <w:tcBorders>
              <w:right w:val="single" w:sz="8" w:color="852166"/>
            </w:tcBorders>
            <w:vMerge w:val="restart"/>
          </w:tcPr>
          <w:p>
            <w:pPr>
              <w:jc w:val="center"/>
              <w:spacing w:after="0"/>
              <w:rPr>
                <w:sz w:val="20"/>
                <w:szCs w:val="20"/>
                <w:color w:val="auto"/>
              </w:rPr>
            </w:pPr>
            <w:r>
              <w:rPr>
                <w:rFonts w:ascii="Arial" w:cs="Arial" w:eastAsia="Arial" w:hAnsi="Arial"/>
                <w:sz w:val="14"/>
                <w:szCs w:val="14"/>
                <w:color w:val="auto"/>
              </w:rPr>
              <w:t>2</w:t>
            </w: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20" w:type="dxa"/>
            <w:vAlign w:val="bottom"/>
            <w:tcBorders>
              <w:right w:val="single" w:sz="8" w:color="852166"/>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4200" w:type="dxa"/>
            <w:vAlign w:val="bottom"/>
            <w:vMerge w:val="restart"/>
          </w:tcPr>
          <w:p>
            <w:pPr>
              <w:ind w:left="740"/>
              <w:spacing w:after="0"/>
              <w:rPr>
                <w:sz w:val="20"/>
                <w:szCs w:val="20"/>
                <w:color w:val="auto"/>
              </w:rPr>
            </w:pPr>
            <w:r>
              <w:rPr>
                <w:rFonts w:ascii="Arial" w:cs="Arial" w:eastAsia="Arial" w:hAnsi="Arial"/>
                <w:sz w:val="14"/>
                <w:szCs w:val="14"/>
                <w:color w:val="auto"/>
              </w:rPr>
              <w:t>Director, Phreesia, Inc.</w:t>
            </w:r>
          </w:p>
        </w:tc>
        <w:tc>
          <w:tcPr>
            <w:tcW w:w="4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Borders>
              <w:right w:val="single" w:sz="8" w:color="852166"/>
            </w:tcBorders>
            <w:vMerge w:val="continue"/>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520" w:type="dxa"/>
            <w:vAlign w:val="bottom"/>
            <w:tcBorders>
              <w:right w:val="single" w:sz="8" w:color="852166"/>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42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Borders>
              <w:right w:val="single" w:sz="8" w:color="852166"/>
            </w:tcBorders>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520" w:type="dxa"/>
            <w:vAlign w:val="bottom"/>
            <w:tcBorders>
              <w:right w:val="single" w:sz="8" w:color="852166"/>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200" w:type="dxa"/>
            <w:vAlign w:val="bottom"/>
          </w:tcPr>
          <w:p>
            <w:pPr>
              <w:ind w:left="740"/>
              <w:spacing w:after="0"/>
              <w:rPr>
                <w:sz w:val="20"/>
                <w:szCs w:val="20"/>
                <w:color w:val="auto"/>
              </w:rPr>
            </w:pPr>
            <w:r>
              <w:rPr>
                <w:rFonts w:ascii="Arial" w:cs="Arial" w:eastAsia="Arial" w:hAnsi="Arial"/>
                <w:sz w:val="14"/>
                <w:szCs w:val="14"/>
                <w:color w:val="auto"/>
              </w:rPr>
              <w:t>and Teladoc Health, Inc.</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Borders>
              <w:right w:val="single" w:sz="8" w:color="852166"/>
            </w:tcBorders>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Borders>
              <w:right w:val="single" w:sz="8" w:color="852166"/>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0" w:type="dxa"/>
            <w:vAlign w:val="bottom"/>
            <w:tcBorders>
              <w:bottom w:val="single" w:sz="8" w:color="852166"/>
            </w:tcBorders>
          </w:tcPr>
          <w:p>
            <w:pPr>
              <w:spacing w:after="0"/>
              <w:rPr>
                <w:sz w:val="3"/>
                <w:szCs w:val="3"/>
                <w:color w:val="auto"/>
              </w:rPr>
            </w:pPr>
          </w:p>
        </w:tc>
        <w:tc>
          <w:tcPr>
            <w:tcW w:w="460" w:type="dxa"/>
            <w:vAlign w:val="bottom"/>
            <w:tcBorders>
              <w:bottom w:val="single" w:sz="8" w:color="852166"/>
            </w:tcBorders>
          </w:tcPr>
          <w:p>
            <w:pPr>
              <w:spacing w:after="0"/>
              <w:rPr>
                <w:sz w:val="3"/>
                <w:szCs w:val="3"/>
                <w:color w:val="auto"/>
              </w:rPr>
            </w:pPr>
          </w:p>
        </w:tc>
        <w:tc>
          <w:tcPr>
            <w:tcW w:w="760" w:type="dxa"/>
            <w:vAlign w:val="bottom"/>
            <w:tcBorders>
              <w:bottom w:val="single" w:sz="8" w:color="852166"/>
            </w:tcBorders>
          </w:tcPr>
          <w:p>
            <w:pPr>
              <w:spacing w:after="0"/>
              <w:rPr>
                <w:sz w:val="3"/>
                <w:szCs w:val="3"/>
                <w:color w:val="auto"/>
              </w:rPr>
            </w:pPr>
          </w:p>
        </w:tc>
        <w:tc>
          <w:tcPr>
            <w:tcW w:w="1040" w:type="dxa"/>
            <w:vAlign w:val="bottom"/>
            <w:tcBorders>
              <w:bottom w:val="single" w:sz="8" w:color="852166"/>
            </w:tcBorders>
          </w:tcPr>
          <w:p>
            <w:pPr>
              <w:spacing w:after="0"/>
              <w:rPr>
                <w:sz w:val="3"/>
                <w:szCs w:val="3"/>
                <w:color w:val="auto"/>
              </w:rPr>
            </w:pPr>
          </w:p>
        </w:tc>
        <w:tc>
          <w:tcPr>
            <w:tcW w:w="1200" w:type="dxa"/>
            <w:vAlign w:val="bottom"/>
            <w:tcBorders>
              <w:bottom w:val="single" w:sz="8" w:color="852166"/>
              <w:right w:val="single" w:sz="8" w:color="852166"/>
            </w:tcBorders>
          </w:tcPr>
          <w:p>
            <w:pPr>
              <w:spacing w:after="0"/>
              <w:rPr>
                <w:sz w:val="3"/>
                <w:szCs w:val="3"/>
                <w:color w:val="auto"/>
              </w:rPr>
            </w:pPr>
          </w:p>
        </w:tc>
        <w:tc>
          <w:tcPr>
            <w:tcW w:w="920" w:type="dxa"/>
            <w:vAlign w:val="bottom"/>
            <w:tcBorders>
              <w:bottom w:val="single" w:sz="8" w:color="852166"/>
            </w:tcBorders>
          </w:tcPr>
          <w:p>
            <w:pPr>
              <w:spacing w:after="0"/>
              <w:rPr>
                <w:sz w:val="3"/>
                <w:szCs w:val="3"/>
                <w:color w:val="auto"/>
              </w:rPr>
            </w:pPr>
          </w:p>
        </w:tc>
        <w:tc>
          <w:tcPr>
            <w:tcW w:w="1200" w:type="dxa"/>
            <w:vAlign w:val="bottom"/>
            <w:tcBorders>
              <w:bottom w:val="single" w:sz="8" w:color="852166"/>
            </w:tcBorders>
          </w:tcPr>
          <w:p>
            <w:pPr>
              <w:spacing w:after="0"/>
              <w:rPr>
                <w:sz w:val="3"/>
                <w:szCs w:val="3"/>
                <w:color w:val="auto"/>
              </w:rPr>
            </w:pPr>
          </w:p>
        </w:tc>
        <w:tc>
          <w:tcPr>
            <w:tcW w:w="960" w:type="dxa"/>
            <w:vAlign w:val="bottom"/>
            <w:tcBorders>
              <w:bottom w:val="single" w:sz="8" w:color="852166"/>
            </w:tcBorders>
          </w:tcPr>
          <w:p>
            <w:pPr>
              <w:spacing w:after="0"/>
              <w:rPr>
                <w:sz w:val="3"/>
                <w:szCs w:val="3"/>
                <w:color w:val="auto"/>
              </w:rPr>
            </w:pPr>
          </w:p>
        </w:tc>
        <w:tc>
          <w:tcPr>
            <w:tcW w:w="520" w:type="dxa"/>
            <w:vAlign w:val="bottom"/>
            <w:tcBorders>
              <w:bottom w:val="single" w:sz="8" w:color="852166"/>
              <w:right w:val="single" w:sz="8" w:color="852166"/>
            </w:tcBorders>
          </w:tcPr>
          <w:p>
            <w:pPr>
              <w:spacing w:after="0"/>
              <w:rPr>
                <w:sz w:val="3"/>
                <w:szCs w:val="3"/>
                <w:color w:val="auto"/>
              </w:rPr>
            </w:pPr>
          </w:p>
        </w:tc>
        <w:tc>
          <w:tcPr>
            <w:tcW w:w="0" w:type="dxa"/>
            <w:vAlign w:val="bottom"/>
          </w:tcPr>
          <w:p>
            <w:pPr>
              <w:spacing w:after="0"/>
              <w:rPr>
                <w:sz w:val="1"/>
                <w:szCs w:val="1"/>
                <w:color w:val="auto"/>
              </w:rPr>
            </w:pPr>
          </w:p>
        </w:tc>
      </w:tr>
      <w:tr>
        <w:trPr>
          <w:trHeight w:val="367"/>
        </w:trPr>
        <w:tc>
          <w:tcPr>
            <w:tcW w:w="4200" w:type="dxa"/>
            <w:vAlign w:val="bottom"/>
          </w:tcPr>
          <w:p>
            <w:pPr>
              <w:spacing w:after="0"/>
              <w:rPr>
                <w:sz w:val="20"/>
                <w:szCs w:val="20"/>
                <w:color w:val="auto"/>
              </w:rPr>
            </w:pPr>
            <w:r>
              <w:rPr>
                <w:rFonts w:ascii="Arial" w:cs="Arial" w:eastAsia="Arial" w:hAnsi="Arial"/>
                <w:sz w:val="14"/>
                <w:szCs w:val="14"/>
                <w:color w:val="auto"/>
              </w:rPr>
              <w:t>= Committee Member= Committee Chair</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-5594350</wp:posOffset>
            </wp:positionV>
            <wp:extent cx="30861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-5097145</wp:posOffset>
            </wp:positionV>
            <wp:extent cx="111125"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94615"/>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-5087620</wp:posOffset>
            </wp:positionV>
            <wp:extent cx="113665" cy="113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-5191760</wp:posOffset>
            </wp:positionV>
            <wp:extent cx="308610"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-4685665</wp:posOffset>
            </wp:positionV>
            <wp:extent cx="111125" cy="939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-4676140</wp:posOffset>
            </wp:positionV>
            <wp:extent cx="113665" cy="113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-4676140</wp:posOffset>
            </wp:positionV>
            <wp:extent cx="113665" cy="113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-4780280</wp:posOffset>
            </wp:positionV>
            <wp:extent cx="308610" cy="308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-4128770</wp:posOffset>
            </wp:positionV>
            <wp:extent cx="111125" cy="939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-4119245</wp:posOffset>
            </wp:positionV>
            <wp:extent cx="113665" cy="1130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-4222750</wp:posOffset>
            </wp:positionV>
            <wp:extent cx="308610" cy="308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-3614420</wp:posOffset>
            </wp:positionV>
            <wp:extent cx="111125" cy="939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-3604895</wp:posOffset>
            </wp:positionV>
            <wp:extent cx="113665" cy="113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5775325</wp:posOffset>
            </wp:positionH>
            <wp:positionV relativeFrom="paragraph">
              <wp:posOffset>-3604895</wp:posOffset>
            </wp:positionV>
            <wp:extent cx="113665" cy="113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-3811270</wp:posOffset>
            </wp:positionV>
            <wp:extent cx="308610" cy="3086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-3194050</wp:posOffset>
            </wp:positionV>
            <wp:extent cx="308610" cy="3086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-2774315</wp:posOffset>
            </wp:positionV>
            <wp:extent cx="308610" cy="308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-2688590</wp:posOffset>
            </wp:positionV>
            <wp:extent cx="111125" cy="94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125" cy="94615"/>
                    </a:xfrm>
                    <a:prstGeom prst="rect">
                      <a:avLst/>
                    </a:prstGeom>
                    <a:noFill/>
                  </pic:spPr>
                </pic:pic>
              </a:graphicData>
            </a:graphic>
          </wp:anchor>
        </w:drawing>
        <w:drawing>
          <wp:anchor simplePos="0" relativeHeight="251657728" behindDoc="1" locked="0" layoutInCell="0" allowOverlap="1">
            <wp:simplePos x="0" y="0"/>
            <wp:positionH relativeFrom="column">
              <wp:posOffset>5775325</wp:posOffset>
            </wp:positionH>
            <wp:positionV relativeFrom="paragraph">
              <wp:posOffset>-2679065</wp:posOffset>
            </wp:positionV>
            <wp:extent cx="113665" cy="113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-2362835</wp:posOffset>
            </wp:positionV>
            <wp:extent cx="308610" cy="308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-2277110</wp:posOffset>
            </wp:positionV>
            <wp:extent cx="111125" cy="94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9461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-1865630</wp:posOffset>
            </wp:positionV>
            <wp:extent cx="111125" cy="93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-1856105</wp:posOffset>
            </wp:positionV>
            <wp:extent cx="113665" cy="1130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-1856105</wp:posOffset>
            </wp:positionV>
            <wp:extent cx="113665" cy="1130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-1959610</wp:posOffset>
            </wp:positionV>
            <wp:extent cx="308610" cy="308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-1539875</wp:posOffset>
            </wp:positionV>
            <wp:extent cx="308610" cy="308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-1454150</wp:posOffset>
            </wp:positionV>
            <wp:extent cx="111125" cy="939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-1444625</wp:posOffset>
            </wp:positionV>
            <wp:extent cx="113665" cy="113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-1128395</wp:posOffset>
            </wp:positionV>
            <wp:extent cx="308610" cy="308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-1042670</wp:posOffset>
            </wp:positionV>
            <wp:extent cx="111125" cy="939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-1033145</wp:posOffset>
            </wp:positionV>
            <wp:extent cx="113665" cy="1130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-579755</wp:posOffset>
            </wp:positionV>
            <wp:extent cx="111125"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9461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-570230</wp:posOffset>
            </wp:positionV>
            <wp:extent cx="113665" cy="1130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-570230</wp:posOffset>
            </wp:positionV>
            <wp:extent cx="113665" cy="1130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3665" cy="11303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-725170</wp:posOffset>
            </wp:positionV>
            <wp:extent cx="308610" cy="308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service on the board of directors of Jazz Pharmaceuticals, Inc., our predecessor.</w:t>
      </w:r>
    </w:p>
    <w:p>
      <w:pPr>
        <w:spacing w:after="0" w:line="95" w:lineRule="exact"/>
        <w:rPr>
          <w:rFonts w:ascii="Arial" w:cs="Arial" w:eastAsia="Arial" w:hAnsi="Arial"/>
          <w:sz w:val="14"/>
          <w:szCs w:val="14"/>
          <w:color w:val="auto"/>
        </w:rPr>
      </w:pPr>
    </w:p>
    <w:p>
      <w:pPr>
        <w:ind w:left="340" w:right="220" w:hanging="332"/>
        <w:spacing w:after="0" w:line="305"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Continuing directors do not include Anne O’Riordan, who notified us that she is not standing for re-election at the 2026 AGM. Her term of office as a director will expire at the 2026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106045</wp:posOffset>
            </wp:positionV>
            <wp:extent cx="1242695" cy="205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17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4</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2" w:name="page13"/>
    <w:bookmarkEnd w:id="12"/>
    <w:p>
      <w:pPr>
        <w:ind w:left="102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6483350</wp:posOffset>
            </wp:positionH>
            <wp:positionV relativeFrom="page">
              <wp:posOffset>208915</wp:posOffset>
            </wp:positionV>
            <wp:extent cx="857250" cy="3003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0" cy="300355"/>
                    </a:xfrm>
                    <a:prstGeom prst="rect">
                      <a:avLst/>
                    </a:prstGeom>
                    <a:noFill/>
                  </pic:spPr>
                </pic:pic>
              </a:graphicData>
            </a:graphic>
          </wp:anchor>
        </w:drawing>
        <w:t>OUR BOARD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Director Skills, Experience and Background</w:t>
      </w:r>
    </w:p>
    <w:p>
      <w:pPr>
        <w:spacing w:after="0" w:line="19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Our Board is composed of individuals with a variety of qualifications, skills, experience, backgrounds and other factors which, when taken together, provide our Board with a rich mix of perspectives to guide and oversee our evolving strategy and the long-term interests of shareholders. In addition, we believe that it is important for our Board to be comprised of individuals with varied tenures to provide for both fresh perspectives and deep experience and knowledge of our Company.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vMerge w:val="restart"/>
            <w:shd w:val="clear" w:color="auto" w:fill="001C71"/>
          </w:tcPr>
          <w:p>
            <w:pPr>
              <w:ind w:left="60"/>
              <w:spacing w:after="0"/>
              <w:rPr>
                <w:sz w:val="20"/>
                <w:szCs w:val="20"/>
                <w:color w:val="auto"/>
              </w:rPr>
            </w:pPr>
            <w:r>
              <w:rPr>
                <w:rFonts w:ascii="Arial" w:cs="Arial" w:eastAsia="Arial" w:hAnsi="Arial"/>
                <w:sz w:val="14"/>
                <w:szCs w:val="14"/>
                <w:b w:val="1"/>
                <w:bCs w:val="1"/>
                <w:color w:val="FFFFFF"/>
              </w:rPr>
              <w:t>Skills and Experiences</w:t>
            </w:r>
          </w:p>
        </w:tc>
        <w:tc>
          <w:tcPr>
            <w:tcW w:w="180" w:type="dxa"/>
            <w:vAlign w:val="bottom"/>
            <w:tcBorders>
              <w:right w:val="single" w:sz="8" w:color="001C71"/>
            </w:tcBorders>
            <w:shd w:val="clear" w:color="auto" w:fill="001C71"/>
          </w:tcPr>
          <w:p>
            <w:pPr>
              <w:spacing w:after="0"/>
              <w:rPr>
                <w:sz w:val="18"/>
                <w:szCs w:val="18"/>
                <w:color w:val="auto"/>
              </w:rPr>
            </w:pPr>
          </w:p>
        </w:tc>
        <w:tc>
          <w:tcPr>
            <w:tcW w:w="4660" w:type="dxa"/>
            <w:vAlign w:val="bottom"/>
            <w:tcBorders>
              <w:right w:val="single" w:sz="8" w:color="001C71"/>
            </w:tcBorders>
            <w:gridSpan w:val="9"/>
            <w:vMerge w:val="restart"/>
            <w:shd w:val="clear" w:color="auto" w:fill="001C71"/>
          </w:tcPr>
          <w:p>
            <w:pPr>
              <w:spacing w:after="0"/>
              <w:rPr>
                <w:sz w:val="20"/>
                <w:szCs w:val="20"/>
                <w:color w:val="auto"/>
              </w:rPr>
            </w:pPr>
            <w:r>
              <w:rPr>
                <w:rFonts w:ascii="Arial" w:cs="Arial" w:eastAsia="Arial" w:hAnsi="Arial"/>
                <w:sz w:val="14"/>
                <w:szCs w:val="14"/>
                <w:b w:val="1"/>
                <w:bCs w:val="1"/>
                <w:color w:val="FFFFFF"/>
              </w:rPr>
              <w:t>Cook Cozadd Enright Gala Hamill Kennedy Love McSharry Mulligan</w:t>
            </w:r>
          </w:p>
        </w:tc>
        <w:tc>
          <w:tcPr>
            <w:tcW w:w="740" w:type="dxa"/>
            <w:vAlign w:val="bottom"/>
            <w:tcBorders>
              <w:right w:val="single" w:sz="8" w:color="001C71"/>
            </w:tcBorders>
            <w:shd w:val="clear" w:color="auto" w:fill="001C71"/>
          </w:tcPr>
          <w:p>
            <w:pPr>
              <w:jc w:val="center"/>
              <w:spacing w:after="0"/>
              <w:rPr>
                <w:sz w:val="20"/>
                <w:szCs w:val="20"/>
                <w:color w:val="auto"/>
              </w:rPr>
            </w:pPr>
            <w:r>
              <w:rPr>
                <w:rFonts w:ascii="Arial" w:cs="Arial" w:eastAsia="Arial" w:hAnsi="Arial"/>
                <w:sz w:val="14"/>
                <w:szCs w:val="14"/>
                <w:b w:val="1"/>
                <w:bCs w:val="1"/>
                <w:color w:val="FFFFFF"/>
              </w:rPr>
              <w:t>O’Riordan</w:t>
            </w:r>
          </w:p>
        </w:tc>
        <w:tc>
          <w:tcPr>
            <w:tcW w:w="1800" w:type="dxa"/>
            <w:vAlign w:val="bottom"/>
            <w:tcBorders>
              <w:right w:val="single" w:sz="8" w:color="001C71"/>
            </w:tcBorders>
            <w:gridSpan w:val="3"/>
            <w:vMerge w:val="restart"/>
            <w:shd w:val="clear" w:color="auto" w:fill="001C71"/>
          </w:tcPr>
          <w:p>
            <w:pPr>
              <w:spacing w:after="0"/>
              <w:rPr>
                <w:sz w:val="20"/>
                <w:szCs w:val="20"/>
                <w:color w:val="auto"/>
              </w:rPr>
            </w:pPr>
            <w:r>
              <w:rPr>
                <w:rFonts w:ascii="Arial" w:cs="Arial" w:eastAsia="Arial" w:hAnsi="Arial"/>
                <w:sz w:val="14"/>
                <w:szCs w:val="14"/>
                <w:b w:val="1"/>
                <w:bCs w:val="1"/>
                <w:color w:val="FFFFFF"/>
              </w:rPr>
              <w:t>Riedel Smith Winningham</w:t>
            </w:r>
          </w:p>
        </w:tc>
        <w:tc>
          <w:tcPr>
            <w:tcW w:w="0" w:type="dxa"/>
            <w:vAlign w:val="bottom"/>
          </w:tcPr>
          <w:p>
            <w:pPr>
              <w:spacing w:after="0"/>
              <w:rPr>
                <w:sz w:val="1"/>
                <w:szCs w:val="1"/>
                <w:color w:val="auto"/>
              </w:rPr>
            </w:pPr>
          </w:p>
        </w:tc>
      </w:tr>
      <w:tr>
        <w:trPr>
          <w:trHeight w:val="160"/>
        </w:trPr>
        <w:tc>
          <w:tcPr>
            <w:tcW w:w="3880" w:type="dxa"/>
            <w:vAlign w:val="bottom"/>
            <w:vMerge w:val="continue"/>
            <w:shd w:val="clear" w:color="auto" w:fill="001C71"/>
          </w:tcPr>
          <w:p>
            <w:pPr>
              <w:spacing w:after="0"/>
              <w:rPr>
                <w:sz w:val="13"/>
                <w:szCs w:val="13"/>
                <w:color w:val="auto"/>
              </w:rPr>
            </w:pPr>
          </w:p>
        </w:tc>
        <w:tc>
          <w:tcPr>
            <w:tcW w:w="180" w:type="dxa"/>
            <w:vAlign w:val="bottom"/>
            <w:tcBorders>
              <w:right w:val="single" w:sz="8" w:color="001C71"/>
            </w:tcBorders>
            <w:shd w:val="clear" w:color="auto" w:fill="001C71"/>
          </w:tcPr>
          <w:p>
            <w:pPr>
              <w:spacing w:after="0"/>
              <w:rPr>
                <w:sz w:val="13"/>
                <w:szCs w:val="13"/>
                <w:color w:val="auto"/>
              </w:rPr>
            </w:pPr>
          </w:p>
        </w:tc>
        <w:tc>
          <w:tcPr>
            <w:tcW w:w="4660" w:type="dxa"/>
            <w:vAlign w:val="bottom"/>
            <w:tcBorders>
              <w:right w:val="single" w:sz="8" w:color="001C71"/>
            </w:tcBorders>
            <w:gridSpan w:val="9"/>
            <w:vMerge w:val="continue"/>
            <w:shd w:val="clear" w:color="auto" w:fill="001C71"/>
          </w:tcPr>
          <w:p>
            <w:pPr>
              <w:spacing w:after="0"/>
              <w:rPr>
                <w:sz w:val="13"/>
                <w:szCs w:val="13"/>
                <w:color w:val="auto"/>
              </w:rPr>
            </w:pPr>
          </w:p>
        </w:tc>
        <w:tc>
          <w:tcPr>
            <w:tcW w:w="740" w:type="dxa"/>
            <w:vAlign w:val="bottom"/>
            <w:tcBorders>
              <w:right w:val="single" w:sz="8" w:color="001C71"/>
            </w:tcBorders>
            <w:shd w:val="clear" w:color="auto" w:fill="001C71"/>
          </w:tcPr>
          <w:p>
            <w:pPr>
              <w:jc w:val="center"/>
              <w:spacing w:after="0"/>
              <w:rPr>
                <w:sz w:val="20"/>
                <w:szCs w:val="20"/>
                <w:color w:val="auto"/>
              </w:rPr>
            </w:pPr>
            <w:r>
              <w:rPr>
                <w:rFonts w:ascii="Arial" w:cs="Arial" w:eastAsia="Arial" w:hAnsi="Arial"/>
                <w:sz w:val="9"/>
                <w:szCs w:val="9"/>
                <w:b w:val="1"/>
                <w:bCs w:val="1"/>
                <w:color w:val="FFFFFF"/>
              </w:rPr>
              <w:t>(1)</w:t>
            </w:r>
          </w:p>
        </w:tc>
        <w:tc>
          <w:tcPr>
            <w:tcW w:w="1800" w:type="dxa"/>
            <w:vAlign w:val="bottom"/>
            <w:tcBorders>
              <w:right w:val="single" w:sz="8" w:color="001C71"/>
            </w:tcBorders>
            <w:gridSpan w:val="3"/>
            <w:vMerge w:val="continue"/>
            <w:shd w:val="clear" w:color="auto" w:fill="001C71"/>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3880" w:type="dxa"/>
            <w:vAlign w:val="bottom"/>
            <w:shd w:val="clear" w:color="auto" w:fill="001C71"/>
          </w:tcPr>
          <w:p>
            <w:pPr>
              <w:spacing w:after="0"/>
              <w:rPr>
                <w:sz w:val="6"/>
                <w:szCs w:val="6"/>
                <w:color w:val="auto"/>
              </w:rPr>
            </w:pPr>
          </w:p>
        </w:tc>
        <w:tc>
          <w:tcPr>
            <w:tcW w:w="180" w:type="dxa"/>
            <w:vAlign w:val="bottom"/>
            <w:tcBorders>
              <w:right w:val="single" w:sz="8" w:color="001C71"/>
            </w:tcBorders>
            <w:shd w:val="clear" w:color="auto" w:fill="001C71"/>
          </w:tcPr>
          <w:p>
            <w:pPr>
              <w:spacing w:after="0"/>
              <w:rPr>
                <w:sz w:val="6"/>
                <w:szCs w:val="6"/>
                <w:color w:val="auto"/>
              </w:rPr>
            </w:pPr>
          </w:p>
        </w:tc>
        <w:tc>
          <w:tcPr>
            <w:tcW w:w="400" w:type="dxa"/>
            <w:vAlign w:val="bottom"/>
            <w:tcBorders>
              <w:right w:val="single" w:sz="8" w:color="001C71"/>
            </w:tcBorders>
            <w:shd w:val="clear" w:color="auto" w:fill="001C71"/>
          </w:tcPr>
          <w:p>
            <w:pPr>
              <w:spacing w:after="0"/>
              <w:rPr>
                <w:sz w:val="6"/>
                <w:szCs w:val="6"/>
                <w:color w:val="auto"/>
              </w:rPr>
            </w:pPr>
          </w:p>
        </w:tc>
        <w:tc>
          <w:tcPr>
            <w:tcW w:w="540" w:type="dxa"/>
            <w:vAlign w:val="bottom"/>
            <w:tcBorders>
              <w:right w:val="single" w:sz="8" w:color="001C71"/>
            </w:tcBorders>
            <w:shd w:val="clear" w:color="auto" w:fill="001C71"/>
          </w:tcPr>
          <w:p>
            <w:pPr>
              <w:spacing w:after="0"/>
              <w:rPr>
                <w:sz w:val="6"/>
                <w:szCs w:val="6"/>
                <w:color w:val="auto"/>
              </w:rPr>
            </w:pPr>
          </w:p>
        </w:tc>
        <w:tc>
          <w:tcPr>
            <w:tcW w:w="540" w:type="dxa"/>
            <w:vAlign w:val="bottom"/>
            <w:tcBorders>
              <w:right w:val="single" w:sz="8" w:color="001C71"/>
            </w:tcBorders>
            <w:shd w:val="clear" w:color="auto" w:fill="001C71"/>
          </w:tcPr>
          <w:p>
            <w:pPr>
              <w:spacing w:after="0"/>
              <w:rPr>
                <w:sz w:val="6"/>
                <w:szCs w:val="6"/>
                <w:color w:val="auto"/>
              </w:rPr>
            </w:pPr>
          </w:p>
        </w:tc>
        <w:tc>
          <w:tcPr>
            <w:tcW w:w="380" w:type="dxa"/>
            <w:vAlign w:val="bottom"/>
            <w:tcBorders>
              <w:right w:val="single" w:sz="8" w:color="001C71"/>
            </w:tcBorders>
            <w:shd w:val="clear" w:color="auto" w:fill="001C71"/>
          </w:tcPr>
          <w:p>
            <w:pPr>
              <w:spacing w:after="0"/>
              <w:rPr>
                <w:sz w:val="6"/>
                <w:szCs w:val="6"/>
                <w:color w:val="auto"/>
              </w:rPr>
            </w:pPr>
          </w:p>
        </w:tc>
        <w:tc>
          <w:tcPr>
            <w:tcW w:w="480" w:type="dxa"/>
            <w:vAlign w:val="bottom"/>
            <w:tcBorders>
              <w:right w:val="single" w:sz="8" w:color="001C71"/>
            </w:tcBorders>
            <w:shd w:val="clear" w:color="auto" w:fill="001C71"/>
          </w:tcPr>
          <w:p>
            <w:pPr>
              <w:spacing w:after="0"/>
              <w:rPr>
                <w:sz w:val="6"/>
                <w:szCs w:val="6"/>
                <w:color w:val="auto"/>
              </w:rPr>
            </w:pPr>
          </w:p>
        </w:tc>
        <w:tc>
          <w:tcPr>
            <w:tcW w:w="640" w:type="dxa"/>
            <w:vAlign w:val="bottom"/>
            <w:tcBorders>
              <w:right w:val="single" w:sz="8" w:color="001C71"/>
            </w:tcBorders>
            <w:shd w:val="clear" w:color="auto" w:fill="001C71"/>
          </w:tcPr>
          <w:p>
            <w:pPr>
              <w:spacing w:after="0"/>
              <w:rPr>
                <w:sz w:val="6"/>
                <w:szCs w:val="6"/>
                <w:color w:val="auto"/>
              </w:rPr>
            </w:pPr>
          </w:p>
        </w:tc>
        <w:tc>
          <w:tcPr>
            <w:tcW w:w="380" w:type="dxa"/>
            <w:vAlign w:val="bottom"/>
            <w:tcBorders>
              <w:right w:val="single" w:sz="8" w:color="001C71"/>
            </w:tcBorders>
            <w:shd w:val="clear" w:color="auto" w:fill="001C71"/>
          </w:tcPr>
          <w:p>
            <w:pPr>
              <w:spacing w:after="0"/>
              <w:rPr>
                <w:sz w:val="6"/>
                <w:szCs w:val="6"/>
                <w:color w:val="auto"/>
              </w:rPr>
            </w:pPr>
          </w:p>
        </w:tc>
        <w:tc>
          <w:tcPr>
            <w:tcW w:w="680" w:type="dxa"/>
            <w:vAlign w:val="bottom"/>
            <w:tcBorders>
              <w:right w:val="single" w:sz="8" w:color="001C71"/>
            </w:tcBorders>
            <w:shd w:val="clear" w:color="auto" w:fill="001C71"/>
          </w:tcPr>
          <w:p>
            <w:pPr>
              <w:spacing w:after="0"/>
              <w:rPr>
                <w:sz w:val="6"/>
                <w:szCs w:val="6"/>
                <w:color w:val="auto"/>
              </w:rPr>
            </w:pPr>
          </w:p>
        </w:tc>
        <w:tc>
          <w:tcPr>
            <w:tcW w:w="620" w:type="dxa"/>
            <w:vAlign w:val="bottom"/>
            <w:tcBorders>
              <w:right w:val="single" w:sz="8" w:color="001C71"/>
            </w:tcBorders>
            <w:shd w:val="clear" w:color="auto" w:fill="001C71"/>
          </w:tcPr>
          <w:p>
            <w:pPr>
              <w:spacing w:after="0"/>
              <w:rPr>
                <w:sz w:val="6"/>
                <w:szCs w:val="6"/>
                <w:color w:val="auto"/>
              </w:rPr>
            </w:pPr>
          </w:p>
        </w:tc>
        <w:tc>
          <w:tcPr>
            <w:tcW w:w="740" w:type="dxa"/>
            <w:vAlign w:val="bottom"/>
            <w:tcBorders>
              <w:right w:val="single" w:sz="8" w:color="001C71"/>
            </w:tcBorders>
            <w:shd w:val="clear" w:color="auto" w:fill="001C71"/>
          </w:tcPr>
          <w:p>
            <w:pPr>
              <w:spacing w:after="0"/>
              <w:rPr>
                <w:sz w:val="6"/>
                <w:szCs w:val="6"/>
                <w:color w:val="auto"/>
              </w:rPr>
            </w:pPr>
          </w:p>
        </w:tc>
        <w:tc>
          <w:tcPr>
            <w:tcW w:w="460" w:type="dxa"/>
            <w:vAlign w:val="bottom"/>
            <w:tcBorders>
              <w:right w:val="single" w:sz="8" w:color="001C71"/>
            </w:tcBorders>
            <w:shd w:val="clear" w:color="auto" w:fill="001C71"/>
          </w:tcPr>
          <w:p>
            <w:pPr>
              <w:spacing w:after="0"/>
              <w:rPr>
                <w:sz w:val="6"/>
                <w:szCs w:val="6"/>
                <w:color w:val="auto"/>
              </w:rPr>
            </w:pPr>
          </w:p>
        </w:tc>
        <w:tc>
          <w:tcPr>
            <w:tcW w:w="440" w:type="dxa"/>
            <w:vAlign w:val="bottom"/>
            <w:tcBorders>
              <w:right w:val="single" w:sz="8" w:color="001C71"/>
            </w:tcBorders>
            <w:shd w:val="clear" w:color="auto" w:fill="001C71"/>
          </w:tcPr>
          <w:p>
            <w:pPr>
              <w:spacing w:after="0"/>
              <w:rPr>
                <w:sz w:val="6"/>
                <w:szCs w:val="6"/>
                <w:color w:val="auto"/>
              </w:rPr>
            </w:pPr>
          </w:p>
        </w:tc>
        <w:tc>
          <w:tcPr>
            <w:tcW w:w="900" w:type="dxa"/>
            <w:vAlign w:val="bottom"/>
            <w:tcBorders>
              <w:right w:val="single" w:sz="8" w:color="001C71"/>
            </w:tcBorders>
            <w:shd w:val="clear" w:color="auto" w:fill="001C71"/>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Public Company Board Experience</w:t>
            </w:r>
          </w:p>
        </w:tc>
        <w:tc>
          <w:tcPr>
            <w:tcW w:w="180" w:type="dxa"/>
            <w:vAlign w:val="bottom"/>
            <w:tcBorders>
              <w:right w:val="single" w:sz="8" w:color="5673B8"/>
            </w:tcBorders>
          </w:tcPr>
          <w:p>
            <w:pPr>
              <w:spacing w:after="0"/>
              <w:rPr>
                <w:sz w:val="24"/>
                <w:szCs w:val="24"/>
                <w:color w:val="auto"/>
              </w:rPr>
            </w:pPr>
          </w:p>
        </w:tc>
        <w:tc>
          <w:tcPr>
            <w:tcW w:w="40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48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64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80"/>
              <w:spacing w:after="0"/>
              <w:rPr>
                <w:sz w:val="20"/>
                <w:szCs w:val="20"/>
                <w:color w:val="auto"/>
              </w:rPr>
            </w:pPr>
            <w:r>
              <w:rPr>
                <w:rFonts w:ascii="Arial" w:cs="Arial" w:eastAsia="Arial" w:hAnsi="Arial"/>
                <w:sz w:val="27"/>
                <w:szCs w:val="27"/>
                <w:color w:val="5673B8"/>
              </w:rPr>
              <w:t>●</w:t>
            </w:r>
          </w:p>
        </w:tc>
        <w:tc>
          <w:tcPr>
            <w:tcW w:w="680" w:type="dxa"/>
            <w:vAlign w:val="bottom"/>
            <w:tcBorders>
              <w:right w:val="single" w:sz="8" w:color="5673B8"/>
            </w:tcBorders>
            <w:vMerge w:val="restart"/>
          </w:tcPr>
          <w:p>
            <w:pPr>
              <w:ind w:left="240"/>
              <w:spacing w:after="0"/>
              <w:rPr>
                <w:sz w:val="20"/>
                <w:szCs w:val="20"/>
                <w:color w:val="auto"/>
              </w:rPr>
            </w:pPr>
            <w:r>
              <w:rPr>
                <w:rFonts w:ascii="Arial" w:cs="Arial" w:eastAsia="Arial" w:hAnsi="Arial"/>
                <w:sz w:val="27"/>
                <w:szCs w:val="27"/>
                <w:color w:val="5673B8"/>
              </w:rPr>
              <w:t>●</w:t>
            </w:r>
          </w:p>
        </w:tc>
        <w:tc>
          <w:tcPr>
            <w:tcW w:w="62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740" w:type="dxa"/>
            <w:vAlign w:val="bottom"/>
            <w:tcBorders>
              <w:right w:val="single" w:sz="8" w:color="5673B8"/>
            </w:tcBorders>
            <w:vMerge w:val="restart"/>
          </w:tcPr>
          <w:p>
            <w:pPr>
              <w:jc w:val="center"/>
              <w:spacing w:after="0"/>
              <w:rPr>
                <w:sz w:val="20"/>
                <w:szCs w:val="20"/>
                <w:color w:val="auto"/>
              </w:rPr>
            </w:pPr>
            <w:r>
              <w:rPr>
                <w:rFonts w:ascii="Arial" w:cs="Arial" w:eastAsia="Arial" w:hAnsi="Arial"/>
                <w:sz w:val="27"/>
                <w:szCs w:val="27"/>
                <w:color w:val="5673B8"/>
                <w:w w:val="97"/>
              </w:rPr>
              <w:t>●</w:t>
            </w:r>
          </w:p>
        </w:tc>
        <w:tc>
          <w:tcPr>
            <w:tcW w:w="46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44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900" w:type="dxa"/>
            <w:vAlign w:val="bottom"/>
            <w:tcBorders>
              <w:right w:val="single" w:sz="8" w:color="5673B8"/>
            </w:tcBorders>
            <w:vMerge w:val="restart"/>
          </w:tcPr>
          <w:p>
            <w:pPr>
              <w:ind w:left="360"/>
              <w:spacing w:after="0"/>
              <w:rPr>
                <w:sz w:val="20"/>
                <w:szCs w:val="20"/>
                <w:color w:val="auto"/>
              </w:rPr>
            </w:pPr>
            <w:r>
              <w:rPr>
                <w:rFonts w:ascii="Arial" w:cs="Arial" w:eastAsia="Arial" w:hAnsi="Arial"/>
                <w:sz w:val="27"/>
                <w:szCs w:val="27"/>
                <w:color w:val="5673B8"/>
              </w:rPr>
              <w:t>●</w:t>
            </w:r>
          </w:p>
        </w:tc>
        <w:tc>
          <w:tcPr>
            <w:tcW w:w="0" w:type="dxa"/>
            <w:vAlign w:val="bottom"/>
          </w:tcPr>
          <w:p>
            <w:pPr>
              <w:spacing w:after="0"/>
              <w:rPr>
                <w:sz w:val="1"/>
                <w:szCs w:val="1"/>
                <w:color w:val="auto"/>
              </w:rPr>
            </w:pPr>
          </w:p>
        </w:tc>
      </w:tr>
      <w:tr>
        <w:trPr>
          <w:trHeight w:val="182"/>
        </w:trPr>
        <w:tc>
          <w:tcPr>
            <w:tcW w:w="3880" w:type="dxa"/>
            <w:vAlign w:val="bottom"/>
          </w:tcPr>
          <w:p>
            <w:pPr>
              <w:ind w:left="460"/>
              <w:spacing w:after="0"/>
              <w:rPr>
                <w:sz w:val="20"/>
                <w:szCs w:val="20"/>
                <w:color w:val="auto"/>
              </w:rPr>
            </w:pPr>
            <w:r>
              <w:rPr>
                <w:rFonts w:ascii="Arial" w:cs="Arial" w:eastAsia="Arial" w:hAnsi="Arial"/>
                <w:sz w:val="14"/>
                <w:szCs w:val="14"/>
                <w:color w:val="auto"/>
              </w:rPr>
              <w:t>Experience as a board member of a publicly-traded</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480" w:type="dxa"/>
            <w:vAlign w:val="bottom"/>
            <w:tcBorders>
              <w:right w:val="single" w:sz="8" w:color="5673B8"/>
            </w:tcBorders>
            <w:vMerge w:val="continue"/>
          </w:tcPr>
          <w:p>
            <w:pPr>
              <w:spacing w:after="0"/>
              <w:rPr>
                <w:sz w:val="15"/>
                <w:szCs w:val="15"/>
                <w:color w:val="auto"/>
              </w:rPr>
            </w:pPr>
          </w:p>
        </w:tc>
        <w:tc>
          <w:tcPr>
            <w:tcW w:w="6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680" w:type="dxa"/>
            <w:vAlign w:val="bottom"/>
            <w:tcBorders>
              <w:right w:val="single" w:sz="8" w:color="5673B8"/>
            </w:tcBorders>
            <w:vMerge w:val="continue"/>
          </w:tcPr>
          <w:p>
            <w:pPr>
              <w:spacing w:after="0"/>
              <w:rPr>
                <w:sz w:val="15"/>
                <w:szCs w:val="15"/>
                <w:color w:val="auto"/>
              </w:rPr>
            </w:pPr>
          </w:p>
        </w:tc>
        <w:tc>
          <w:tcPr>
            <w:tcW w:w="620" w:type="dxa"/>
            <w:vAlign w:val="bottom"/>
            <w:tcBorders>
              <w:right w:val="single" w:sz="8" w:color="5673B8"/>
            </w:tcBorders>
            <w:vMerge w:val="continue"/>
          </w:tcPr>
          <w:p>
            <w:pPr>
              <w:spacing w:after="0"/>
              <w:rPr>
                <w:sz w:val="15"/>
                <w:szCs w:val="15"/>
                <w:color w:val="auto"/>
              </w:rPr>
            </w:pPr>
          </w:p>
        </w:tc>
        <w:tc>
          <w:tcPr>
            <w:tcW w:w="740" w:type="dxa"/>
            <w:vAlign w:val="bottom"/>
            <w:tcBorders>
              <w:right w:val="single" w:sz="8" w:color="5673B8"/>
            </w:tcBorders>
            <w:vMerge w:val="continue"/>
          </w:tcPr>
          <w:p>
            <w:pPr>
              <w:spacing w:after="0"/>
              <w:rPr>
                <w:sz w:val="15"/>
                <w:szCs w:val="15"/>
                <w:color w:val="auto"/>
              </w:rPr>
            </w:pPr>
          </w:p>
        </w:tc>
        <w:tc>
          <w:tcPr>
            <w:tcW w:w="460" w:type="dxa"/>
            <w:vAlign w:val="bottom"/>
            <w:tcBorders>
              <w:right w:val="single" w:sz="8" w:color="5673B8"/>
            </w:tcBorders>
            <w:vMerge w:val="continue"/>
          </w:tcPr>
          <w:p>
            <w:pPr>
              <w:spacing w:after="0"/>
              <w:rPr>
                <w:sz w:val="15"/>
                <w:szCs w:val="15"/>
                <w:color w:val="auto"/>
              </w:rPr>
            </w:pPr>
          </w:p>
        </w:tc>
        <w:tc>
          <w:tcPr>
            <w:tcW w:w="440" w:type="dxa"/>
            <w:vAlign w:val="bottom"/>
            <w:tcBorders>
              <w:right w:val="single" w:sz="8" w:color="5673B8"/>
            </w:tcBorders>
            <w:vMerge w:val="continue"/>
          </w:tcPr>
          <w:p>
            <w:pPr>
              <w:spacing w:after="0"/>
              <w:rPr>
                <w:sz w:val="15"/>
                <w:szCs w:val="15"/>
                <w:color w:val="auto"/>
              </w:rPr>
            </w:pPr>
          </w:p>
        </w:tc>
        <w:tc>
          <w:tcPr>
            <w:tcW w:w="900" w:type="dxa"/>
            <w:vAlign w:val="bottom"/>
            <w:tcBorders>
              <w:right w:val="single" w:sz="8" w:color="5673B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460"/>
              <w:spacing w:after="0"/>
              <w:rPr>
                <w:sz w:val="20"/>
                <w:szCs w:val="20"/>
                <w:color w:val="auto"/>
              </w:rPr>
            </w:pPr>
            <w:r>
              <w:rPr>
                <w:rFonts w:ascii="Arial" w:cs="Arial" w:eastAsia="Arial" w:hAnsi="Arial"/>
                <w:sz w:val="14"/>
                <w:szCs w:val="14"/>
                <w:color w:val="auto"/>
              </w:rPr>
              <w:t>company</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tcPr>
          <w:p>
            <w:pPr>
              <w:spacing w:after="0"/>
              <w:rPr>
                <w:sz w:val="16"/>
                <w:szCs w:val="16"/>
                <w:color w:val="auto"/>
              </w:rPr>
            </w:pPr>
          </w:p>
        </w:tc>
        <w:tc>
          <w:tcPr>
            <w:tcW w:w="440" w:type="dxa"/>
            <w:vAlign w:val="bottom"/>
            <w:tcBorders>
              <w:right w:val="single" w:sz="8" w:color="5673B8"/>
            </w:tcBorders>
          </w:tcPr>
          <w:p>
            <w:pPr>
              <w:spacing w:after="0"/>
              <w:rPr>
                <w:sz w:val="16"/>
                <w:szCs w:val="16"/>
                <w:color w:val="auto"/>
              </w:rPr>
            </w:pPr>
          </w:p>
        </w:tc>
        <w:tc>
          <w:tcPr>
            <w:tcW w:w="900" w:type="dxa"/>
            <w:vAlign w:val="bottom"/>
            <w:tcBorders>
              <w:right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880" w:type="dxa"/>
            <w:vAlign w:val="bottom"/>
            <w:tcBorders>
              <w:bottom w:val="single" w:sz="8" w:color="5673B8"/>
            </w:tcBorders>
          </w:tcPr>
          <w:p>
            <w:pPr>
              <w:spacing w:after="0"/>
              <w:rPr>
                <w:sz w:val="5"/>
                <w:szCs w:val="5"/>
                <w:color w:val="auto"/>
              </w:rPr>
            </w:pPr>
          </w:p>
        </w:tc>
        <w:tc>
          <w:tcPr>
            <w:tcW w:w="180" w:type="dxa"/>
            <w:vAlign w:val="bottom"/>
            <w:tcBorders>
              <w:bottom w:val="single" w:sz="8" w:color="5673B8"/>
              <w:right w:val="single" w:sz="8" w:color="5673B8"/>
            </w:tcBorders>
          </w:tcPr>
          <w:p>
            <w:pPr>
              <w:spacing w:after="0"/>
              <w:rPr>
                <w:sz w:val="5"/>
                <w:szCs w:val="5"/>
                <w:color w:val="auto"/>
              </w:rPr>
            </w:pPr>
          </w:p>
        </w:tc>
        <w:tc>
          <w:tcPr>
            <w:tcW w:w="40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480" w:type="dxa"/>
            <w:vAlign w:val="bottom"/>
            <w:tcBorders>
              <w:bottom w:val="single" w:sz="8" w:color="5673B8"/>
              <w:right w:val="single" w:sz="8" w:color="5673B8"/>
            </w:tcBorders>
          </w:tcPr>
          <w:p>
            <w:pPr>
              <w:spacing w:after="0"/>
              <w:rPr>
                <w:sz w:val="5"/>
                <w:szCs w:val="5"/>
                <w:color w:val="auto"/>
              </w:rPr>
            </w:pPr>
          </w:p>
        </w:tc>
        <w:tc>
          <w:tcPr>
            <w:tcW w:w="6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680" w:type="dxa"/>
            <w:vAlign w:val="bottom"/>
            <w:tcBorders>
              <w:bottom w:val="single" w:sz="8" w:color="5673B8"/>
              <w:right w:val="single" w:sz="8" w:color="5673B8"/>
            </w:tcBorders>
          </w:tcPr>
          <w:p>
            <w:pPr>
              <w:spacing w:after="0"/>
              <w:rPr>
                <w:sz w:val="5"/>
                <w:szCs w:val="5"/>
                <w:color w:val="auto"/>
              </w:rPr>
            </w:pPr>
          </w:p>
        </w:tc>
        <w:tc>
          <w:tcPr>
            <w:tcW w:w="620" w:type="dxa"/>
            <w:vAlign w:val="bottom"/>
            <w:tcBorders>
              <w:bottom w:val="single" w:sz="8" w:color="5673B8"/>
              <w:right w:val="single" w:sz="8" w:color="5673B8"/>
            </w:tcBorders>
          </w:tcPr>
          <w:p>
            <w:pPr>
              <w:spacing w:after="0"/>
              <w:rPr>
                <w:sz w:val="5"/>
                <w:szCs w:val="5"/>
                <w:color w:val="auto"/>
              </w:rPr>
            </w:pPr>
          </w:p>
        </w:tc>
        <w:tc>
          <w:tcPr>
            <w:tcW w:w="740" w:type="dxa"/>
            <w:vAlign w:val="bottom"/>
            <w:tcBorders>
              <w:bottom w:val="single" w:sz="8" w:color="5673B8"/>
              <w:right w:val="single" w:sz="8" w:color="5673B8"/>
            </w:tcBorders>
          </w:tcPr>
          <w:p>
            <w:pPr>
              <w:spacing w:after="0"/>
              <w:rPr>
                <w:sz w:val="5"/>
                <w:szCs w:val="5"/>
                <w:color w:val="auto"/>
              </w:rPr>
            </w:pPr>
          </w:p>
        </w:tc>
        <w:tc>
          <w:tcPr>
            <w:tcW w:w="460" w:type="dxa"/>
            <w:vAlign w:val="bottom"/>
            <w:tcBorders>
              <w:bottom w:val="single" w:sz="8" w:color="5673B8"/>
              <w:right w:val="single" w:sz="8" w:color="5673B8"/>
            </w:tcBorders>
          </w:tcPr>
          <w:p>
            <w:pPr>
              <w:spacing w:after="0"/>
              <w:rPr>
                <w:sz w:val="5"/>
                <w:szCs w:val="5"/>
                <w:color w:val="auto"/>
              </w:rPr>
            </w:pPr>
          </w:p>
        </w:tc>
        <w:tc>
          <w:tcPr>
            <w:tcW w:w="440" w:type="dxa"/>
            <w:vAlign w:val="bottom"/>
            <w:tcBorders>
              <w:bottom w:val="single" w:sz="8" w:color="5673B8"/>
              <w:right w:val="single" w:sz="8" w:color="5673B8"/>
            </w:tcBorders>
          </w:tcPr>
          <w:p>
            <w:pPr>
              <w:spacing w:after="0"/>
              <w:rPr>
                <w:sz w:val="5"/>
                <w:szCs w:val="5"/>
                <w:color w:val="auto"/>
              </w:rPr>
            </w:pPr>
          </w:p>
        </w:tc>
        <w:tc>
          <w:tcPr>
            <w:tcW w:w="900" w:type="dxa"/>
            <w:vAlign w:val="bottom"/>
            <w:tcBorders>
              <w:bottom w:val="single" w:sz="8" w:color="5673B8"/>
              <w:right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C-Suite/Management Experience</w:t>
            </w:r>
          </w:p>
        </w:tc>
        <w:tc>
          <w:tcPr>
            <w:tcW w:w="180" w:type="dxa"/>
            <w:vAlign w:val="bottom"/>
            <w:tcBorders>
              <w:right w:val="single" w:sz="8" w:color="5673B8"/>
            </w:tcBorders>
          </w:tcPr>
          <w:p>
            <w:pPr>
              <w:spacing w:after="0"/>
              <w:rPr>
                <w:sz w:val="22"/>
                <w:szCs w:val="22"/>
                <w:color w:val="auto"/>
              </w:rPr>
            </w:pPr>
          </w:p>
        </w:tc>
        <w:tc>
          <w:tcPr>
            <w:tcW w:w="40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48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64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80"/>
              <w:spacing w:after="0"/>
              <w:rPr>
                <w:sz w:val="20"/>
                <w:szCs w:val="20"/>
                <w:color w:val="auto"/>
              </w:rPr>
            </w:pPr>
            <w:r>
              <w:rPr>
                <w:rFonts w:ascii="Arial" w:cs="Arial" w:eastAsia="Arial" w:hAnsi="Arial"/>
                <w:sz w:val="27"/>
                <w:szCs w:val="27"/>
                <w:color w:val="5673B8"/>
              </w:rPr>
              <w:t>●</w:t>
            </w:r>
          </w:p>
        </w:tc>
        <w:tc>
          <w:tcPr>
            <w:tcW w:w="680" w:type="dxa"/>
            <w:vAlign w:val="bottom"/>
            <w:tcBorders>
              <w:right w:val="single" w:sz="8" w:color="5673B8"/>
            </w:tcBorders>
            <w:vMerge w:val="restart"/>
          </w:tcPr>
          <w:p>
            <w:pPr>
              <w:ind w:left="240"/>
              <w:spacing w:after="0"/>
              <w:rPr>
                <w:sz w:val="20"/>
                <w:szCs w:val="20"/>
                <w:color w:val="auto"/>
              </w:rPr>
            </w:pPr>
            <w:r>
              <w:rPr>
                <w:rFonts w:ascii="Arial" w:cs="Arial" w:eastAsia="Arial" w:hAnsi="Arial"/>
                <w:sz w:val="27"/>
                <w:szCs w:val="27"/>
                <w:color w:val="5673B8"/>
              </w:rPr>
              <w:t>●</w:t>
            </w:r>
          </w:p>
        </w:tc>
        <w:tc>
          <w:tcPr>
            <w:tcW w:w="62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740" w:type="dxa"/>
            <w:vAlign w:val="bottom"/>
            <w:tcBorders>
              <w:right w:val="single" w:sz="8" w:color="5673B8"/>
            </w:tcBorders>
            <w:vMerge w:val="restart"/>
          </w:tcPr>
          <w:p>
            <w:pPr>
              <w:jc w:val="center"/>
              <w:spacing w:after="0"/>
              <w:rPr>
                <w:sz w:val="20"/>
                <w:szCs w:val="20"/>
                <w:color w:val="auto"/>
              </w:rPr>
            </w:pPr>
            <w:r>
              <w:rPr>
                <w:rFonts w:ascii="Arial" w:cs="Arial" w:eastAsia="Arial" w:hAnsi="Arial"/>
                <w:sz w:val="27"/>
                <w:szCs w:val="27"/>
                <w:color w:val="5673B8"/>
                <w:w w:val="97"/>
              </w:rPr>
              <w:t>●</w:t>
            </w:r>
          </w:p>
        </w:tc>
        <w:tc>
          <w:tcPr>
            <w:tcW w:w="46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44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900" w:type="dxa"/>
            <w:vAlign w:val="bottom"/>
            <w:tcBorders>
              <w:right w:val="single" w:sz="8" w:color="5673B8"/>
            </w:tcBorders>
            <w:vMerge w:val="restart"/>
          </w:tcPr>
          <w:p>
            <w:pPr>
              <w:ind w:left="360"/>
              <w:spacing w:after="0"/>
              <w:rPr>
                <w:sz w:val="20"/>
                <w:szCs w:val="20"/>
                <w:color w:val="auto"/>
              </w:rPr>
            </w:pPr>
            <w:r>
              <w:rPr>
                <w:rFonts w:ascii="Arial" w:cs="Arial" w:eastAsia="Arial" w:hAnsi="Arial"/>
                <w:sz w:val="27"/>
                <w:szCs w:val="27"/>
                <w:color w:val="5673B8"/>
              </w:rPr>
              <w:t>●</w:t>
            </w:r>
          </w:p>
        </w:tc>
        <w:tc>
          <w:tcPr>
            <w:tcW w:w="0" w:type="dxa"/>
            <w:vAlign w:val="bottom"/>
          </w:tcPr>
          <w:p>
            <w:pPr>
              <w:spacing w:after="0"/>
              <w:rPr>
                <w:sz w:val="1"/>
                <w:szCs w:val="1"/>
                <w:color w:val="auto"/>
              </w:rPr>
            </w:pPr>
          </w:p>
        </w:tc>
      </w:tr>
      <w:tr>
        <w:trPr>
          <w:trHeight w:val="182"/>
        </w:trPr>
        <w:tc>
          <w:tcPr>
            <w:tcW w:w="3880" w:type="dxa"/>
            <w:vAlign w:val="bottom"/>
          </w:tcPr>
          <w:p>
            <w:pPr>
              <w:ind w:left="460"/>
              <w:spacing w:after="0"/>
              <w:rPr>
                <w:sz w:val="20"/>
                <w:szCs w:val="20"/>
                <w:color w:val="auto"/>
              </w:rPr>
            </w:pPr>
            <w:r>
              <w:rPr>
                <w:rFonts w:ascii="Arial" w:cs="Arial" w:eastAsia="Arial" w:hAnsi="Arial"/>
                <w:sz w:val="14"/>
                <w:szCs w:val="14"/>
                <w:color w:val="auto"/>
              </w:rPr>
              <w:t>Experience as a C-suite officer or as a member of</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480" w:type="dxa"/>
            <w:vAlign w:val="bottom"/>
            <w:tcBorders>
              <w:right w:val="single" w:sz="8" w:color="5673B8"/>
            </w:tcBorders>
            <w:vMerge w:val="continue"/>
          </w:tcPr>
          <w:p>
            <w:pPr>
              <w:spacing w:after="0"/>
              <w:rPr>
                <w:sz w:val="15"/>
                <w:szCs w:val="15"/>
                <w:color w:val="auto"/>
              </w:rPr>
            </w:pPr>
          </w:p>
        </w:tc>
        <w:tc>
          <w:tcPr>
            <w:tcW w:w="6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680" w:type="dxa"/>
            <w:vAlign w:val="bottom"/>
            <w:tcBorders>
              <w:right w:val="single" w:sz="8" w:color="5673B8"/>
            </w:tcBorders>
            <w:vMerge w:val="continue"/>
          </w:tcPr>
          <w:p>
            <w:pPr>
              <w:spacing w:after="0"/>
              <w:rPr>
                <w:sz w:val="15"/>
                <w:szCs w:val="15"/>
                <w:color w:val="auto"/>
              </w:rPr>
            </w:pPr>
          </w:p>
        </w:tc>
        <w:tc>
          <w:tcPr>
            <w:tcW w:w="620" w:type="dxa"/>
            <w:vAlign w:val="bottom"/>
            <w:tcBorders>
              <w:right w:val="single" w:sz="8" w:color="5673B8"/>
            </w:tcBorders>
            <w:vMerge w:val="continue"/>
          </w:tcPr>
          <w:p>
            <w:pPr>
              <w:spacing w:after="0"/>
              <w:rPr>
                <w:sz w:val="15"/>
                <w:szCs w:val="15"/>
                <w:color w:val="auto"/>
              </w:rPr>
            </w:pPr>
          </w:p>
        </w:tc>
        <w:tc>
          <w:tcPr>
            <w:tcW w:w="740" w:type="dxa"/>
            <w:vAlign w:val="bottom"/>
            <w:tcBorders>
              <w:right w:val="single" w:sz="8" w:color="5673B8"/>
            </w:tcBorders>
            <w:vMerge w:val="continue"/>
          </w:tcPr>
          <w:p>
            <w:pPr>
              <w:spacing w:after="0"/>
              <w:rPr>
                <w:sz w:val="15"/>
                <w:szCs w:val="15"/>
                <w:color w:val="auto"/>
              </w:rPr>
            </w:pPr>
          </w:p>
        </w:tc>
        <w:tc>
          <w:tcPr>
            <w:tcW w:w="460" w:type="dxa"/>
            <w:vAlign w:val="bottom"/>
            <w:tcBorders>
              <w:right w:val="single" w:sz="8" w:color="5673B8"/>
            </w:tcBorders>
            <w:vMerge w:val="continue"/>
          </w:tcPr>
          <w:p>
            <w:pPr>
              <w:spacing w:after="0"/>
              <w:rPr>
                <w:sz w:val="15"/>
                <w:szCs w:val="15"/>
                <w:color w:val="auto"/>
              </w:rPr>
            </w:pPr>
          </w:p>
        </w:tc>
        <w:tc>
          <w:tcPr>
            <w:tcW w:w="440" w:type="dxa"/>
            <w:vAlign w:val="bottom"/>
            <w:tcBorders>
              <w:right w:val="single" w:sz="8" w:color="5673B8"/>
            </w:tcBorders>
            <w:vMerge w:val="continue"/>
          </w:tcPr>
          <w:p>
            <w:pPr>
              <w:spacing w:after="0"/>
              <w:rPr>
                <w:sz w:val="15"/>
                <w:szCs w:val="15"/>
                <w:color w:val="auto"/>
              </w:rPr>
            </w:pPr>
          </w:p>
        </w:tc>
        <w:tc>
          <w:tcPr>
            <w:tcW w:w="900" w:type="dxa"/>
            <w:vAlign w:val="bottom"/>
            <w:tcBorders>
              <w:right w:val="single" w:sz="8" w:color="5673B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460"/>
              <w:spacing w:after="0"/>
              <w:rPr>
                <w:sz w:val="20"/>
                <w:szCs w:val="20"/>
                <w:color w:val="auto"/>
              </w:rPr>
            </w:pPr>
            <w:r>
              <w:rPr>
                <w:rFonts w:ascii="Arial" w:cs="Arial" w:eastAsia="Arial" w:hAnsi="Arial"/>
                <w:sz w:val="14"/>
                <w:szCs w:val="14"/>
                <w:color w:val="auto"/>
              </w:rPr>
              <w:t>senior management of a large or growing business</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tcPr>
          <w:p>
            <w:pPr>
              <w:spacing w:after="0"/>
              <w:rPr>
                <w:sz w:val="16"/>
                <w:szCs w:val="16"/>
                <w:color w:val="auto"/>
              </w:rPr>
            </w:pPr>
          </w:p>
        </w:tc>
        <w:tc>
          <w:tcPr>
            <w:tcW w:w="440" w:type="dxa"/>
            <w:vAlign w:val="bottom"/>
            <w:tcBorders>
              <w:right w:val="single" w:sz="8" w:color="5673B8"/>
            </w:tcBorders>
          </w:tcPr>
          <w:p>
            <w:pPr>
              <w:spacing w:after="0"/>
              <w:rPr>
                <w:sz w:val="16"/>
                <w:szCs w:val="16"/>
                <w:color w:val="auto"/>
              </w:rPr>
            </w:pPr>
          </w:p>
        </w:tc>
        <w:tc>
          <w:tcPr>
            <w:tcW w:w="900" w:type="dxa"/>
            <w:vAlign w:val="bottom"/>
            <w:tcBorders>
              <w:right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880" w:type="dxa"/>
            <w:vAlign w:val="bottom"/>
            <w:tcBorders>
              <w:bottom w:val="single" w:sz="8" w:color="5673B8"/>
            </w:tcBorders>
          </w:tcPr>
          <w:p>
            <w:pPr>
              <w:spacing w:after="0"/>
              <w:rPr>
                <w:sz w:val="5"/>
                <w:szCs w:val="5"/>
                <w:color w:val="auto"/>
              </w:rPr>
            </w:pPr>
          </w:p>
        </w:tc>
        <w:tc>
          <w:tcPr>
            <w:tcW w:w="180" w:type="dxa"/>
            <w:vAlign w:val="bottom"/>
            <w:tcBorders>
              <w:bottom w:val="single" w:sz="8" w:color="5673B8"/>
              <w:right w:val="single" w:sz="8" w:color="5673B8"/>
            </w:tcBorders>
          </w:tcPr>
          <w:p>
            <w:pPr>
              <w:spacing w:after="0"/>
              <w:rPr>
                <w:sz w:val="5"/>
                <w:szCs w:val="5"/>
                <w:color w:val="auto"/>
              </w:rPr>
            </w:pPr>
          </w:p>
        </w:tc>
        <w:tc>
          <w:tcPr>
            <w:tcW w:w="40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480" w:type="dxa"/>
            <w:vAlign w:val="bottom"/>
            <w:tcBorders>
              <w:bottom w:val="single" w:sz="8" w:color="5673B8"/>
              <w:right w:val="single" w:sz="8" w:color="5673B8"/>
            </w:tcBorders>
          </w:tcPr>
          <w:p>
            <w:pPr>
              <w:spacing w:after="0"/>
              <w:rPr>
                <w:sz w:val="5"/>
                <w:szCs w:val="5"/>
                <w:color w:val="auto"/>
              </w:rPr>
            </w:pPr>
          </w:p>
        </w:tc>
        <w:tc>
          <w:tcPr>
            <w:tcW w:w="6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680" w:type="dxa"/>
            <w:vAlign w:val="bottom"/>
            <w:tcBorders>
              <w:bottom w:val="single" w:sz="8" w:color="5673B8"/>
              <w:right w:val="single" w:sz="8" w:color="5673B8"/>
            </w:tcBorders>
          </w:tcPr>
          <w:p>
            <w:pPr>
              <w:spacing w:after="0"/>
              <w:rPr>
                <w:sz w:val="5"/>
                <w:szCs w:val="5"/>
                <w:color w:val="auto"/>
              </w:rPr>
            </w:pPr>
          </w:p>
        </w:tc>
        <w:tc>
          <w:tcPr>
            <w:tcW w:w="620" w:type="dxa"/>
            <w:vAlign w:val="bottom"/>
            <w:tcBorders>
              <w:bottom w:val="single" w:sz="8" w:color="5673B8"/>
              <w:right w:val="single" w:sz="8" w:color="5673B8"/>
            </w:tcBorders>
          </w:tcPr>
          <w:p>
            <w:pPr>
              <w:spacing w:after="0"/>
              <w:rPr>
                <w:sz w:val="5"/>
                <w:szCs w:val="5"/>
                <w:color w:val="auto"/>
              </w:rPr>
            </w:pPr>
          </w:p>
        </w:tc>
        <w:tc>
          <w:tcPr>
            <w:tcW w:w="740" w:type="dxa"/>
            <w:vAlign w:val="bottom"/>
            <w:tcBorders>
              <w:bottom w:val="single" w:sz="8" w:color="5673B8"/>
              <w:right w:val="single" w:sz="8" w:color="5673B8"/>
            </w:tcBorders>
          </w:tcPr>
          <w:p>
            <w:pPr>
              <w:spacing w:after="0"/>
              <w:rPr>
                <w:sz w:val="5"/>
                <w:szCs w:val="5"/>
                <w:color w:val="auto"/>
              </w:rPr>
            </w:pPr>
          </w:p>
        </w:tc>
        <w:tc>
          <w:tcPr>
            <w:tcW w:w="460" w:type="dxa"/>
            <w:vAlign w:val="bottom"/>
            <w:tcBorders>
              <w:bottom w:val="single" w:sz="8" w:color="5673B8"/>
              <w:right w:val="single" w:sz="8" w:color="5673B8"/>
            </w:tcBorders>
          </w:tcPr>
          <w:p>
            <w:pPr>
              <w:spacing w:after="0"/>
              <w:rPr>
                <w:sz w:val="5"/>
                <w:szCs w:val="5"/>
                <w:color w:val="auto"/>
              </w:rPr>
            </w:pPr>
          </w:p>
        </w:tc>
        <w:tc>
          <w:tcPr>
            <w:tcW w:w="440" w:type="dxa"/>
            <w:vAlign w:val="bottom"/>
            <w:tcBorders>
              <w:bottom w:val="single" w:sz="8" w:color="5673B8"/>
              <w:right w:val="single" w:sz="8" w:color="5673B8"/>
            </w:tcBorders>
          </w:tcPr>
          <w:p>
            <w:pPr>
              <w:spacing w:after="0"/>
              <w:rPr>
                <w:sz w:val="5"/>
                <w:szCs w:val="5"/>
                <w:color w:val="auto"/>
              </w:rPr>
            </w:pPr>
          </w:p>
        </w:tc>
        <w:tc>
          <w:tcPr>
            <w:tcW w:w="900" w:type="dxa"/>
            <w:vAlign w:val="bottom"/>
            <w:tcBorders>
              <w:bottom w:val="single" w:sz="8" w:color="5673B8"/>
              <w:right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Industry Expertise</w:t>
            </w:r>
          </w:p>
        </w:tc>
        <w:tc>
          <w:tcPr>
            <w:tcW w:w="180" w:type="dxa"/>
            <w:vAlign w:val="bottom"/>
            <w:tcBorders>
              <w:right w:val="single" w:sz="8" w:color="5673B8"/>
            </w:tcBorders>
          </w:tcPr>
          <w:p>
            <w:pPr>
              <w:spacing w:after="0"/>
              <w:rPr>
                <w:sz w:val="22"/>
                <w:szCs w:val="22"/>
                <w:color w:val="auto"/>
              </w:rPr>
            </w:pPr>
          </w:p>
        </w:tc>
        <w:tc>
          <w:tcPr>
            <w:tcW w:w="400" w:type="dxa"/>
            <w:vAlign w:val="bottom"/>
            <w:tcBorders>
              <w:right w:val="single" w:sz="8" w:color="5673B8"/>
            </w:tcBorders>
          </w:tcPr>
          <w:p>
            <w:pPr>
              <w:spacing w:after="0"/>
              <w:rPr>
                <w:sz w:val="22"/>
                <w:szCs w:val="22"/>
                <w:color w:val="auto"/>
              </w:rPr>
            </w:pPr>
          </w:p>
        </w:tc>
        <w:tc>
          <w:tcPr>
            <w:tcW w:w="540" w:type="dxa"/>
            <w:vAlign w:val="bottom"/>
            <w:tcBorders>
              <w:right w:val="single" w:sz="8" w:color="5673B8"/>
            </w:tcBorders>
          </w:tcPr>
          <w:p>
            <w:pPr>
              <w:spacing w:after="0"/>
              <w:rPr>
                <w:sz w:val="22"/>
                <w:szCs w:val="22"/>
                <w:color w:val="auto"/>
              </w:rPr>
            </w:pPr>
          </w:p>
        </w:tc>
        <w:tc>
          <w:tcPr>
            <w:tcW w:w="540" w:type="dxa"/>
            <w:vAlign w:val="bottom"/>
            <w:tcBorders>
              <w:right w:val="single" w:sz="8" w:color="5673B8"/>
            </w:tcBorders>
          </w:tcPr>
          <w:p>
            <w:pPr>
              <w:spacing w:after="0"/>
              <w:rPr>
                <w:sz w:val="22"/>
                <w:szCs w:val="22"/>
                <w:color w:val="auto"/>
              </w:rPr>
            </w:pPr>
          </w:p>
        </w:tc>
        <w:tc>
          <w:tcPr>
            <w:tcW w:w="380" w:type="dxa"/>
            <w:vAlign w:val="bottom"/>
            <w:tcBorders>
              <w:right w:val="single" w:sz="8" w:color="5673B8"/>
            </w:tcBorders>
          </w:tcPr>
          <w:p>
            <w:pPr>
              <w:spacing w:after="0"/>
              <w:rPr>
                <w:sz w:val="22"/>
                <w:szCs w:val="22"/>
                <w:color w:val="auto"/>
              </w:rPr>
            </w:pPr>
          </w:p>
        </w:tc>
        <w:tc>
          <w:tcPr>
            <w:tcW w:w="480" w:type="dxa"/>
            <w:vAlign w:val="bottom"/>
            <w:tcBorders>
              <w:right w:val="single" w:sz="8" w:color="5673B8"/>
            </w:tcBorders>
          </w:tcPr>
          <w:p>
            <w:pPr>
              <w:spacing w:after="0"/>
              <w:rPr>
                <w:sz w:val="22"/>
                <w:szCs w:val="22"/>
                <w:color w:val="auto"/>
              </w:rPr>
            </w:pPr>
          </w:p>
        </w:tc>
        <w:tc>
          <w:tcPr>
            <w:tcW w:w="640" w:type="dxa"/>
            <w:vAlign w:val="bottom"/>
            <w:tcBorders>
              <w:right w:val="single" w:sz="8" w:color="5673B8"/>
            </w:tcBorders>
          </w:tcPr>
          <w:p>
            <w:pPr>
              <w:spacing w:after="0"/>
              <w:rPr>
                <w:sz w:val="22"/>
                <w:szCs w:val="22"/>
                <w:color w:val="auto"/>
              </w:rPr>
            </w:pPr>
          </w:p>
        </w:tc>
        <w:tc>
          <w:tcPr>
            <w:tcW w:w="380" w:type="dxa"/>
            <w:vAlign w:val="bottom"/>
            <w:tcBorders>
              <w:right w:val="single" w:sz="8" w:color="5673B8"/>
            </w:tcBorders>
          </w:tcPr>
          <w:p>
            <w:pPr>
              <w:spacing w:after="0"/>
              <w:rPr>
                <w:sz w:val="22"/>
                <w:szCs w:val="22"/>
                <w:color w:val="auto"/>
              </w:rPr>
            </w:pPr>
          </w:p>
        </w:tc>
        <w:tc>
          <w:tcPr>
            <w:tcW w:w="680" w:type="dxa"/>
            <w:vAlign w:val="bottom"/>
            <w:tcBorders>
              <w:right w:val="single" w:sz="8" w:color="5673B8"/>
            </w:tcBorders>
          </w:tcPr>
          <w:p>
            <w:pPr>
              <w:spacing w:after="0"/>
              <w:rPr>
                <w:sz w:val="22"/>
                <w:szCs w:val="22"/>
                <w:color w:val="auto"/>
              </w:rPr>
            </w:pPr>
          </w:p>
        </w:tc>
        <w:tc>
          <w:tcPr>
            <w:tcW w:w="620" w:type="dxa"/>
            <w:vAlign w:val="bottom"/>
            <w:tcBorders>
              <w:right w:val="single" w:sz="8" w:color="5673B8"/>
            </w:tcBorders>
          </w:tcPr>
          <w:p>
            <w:pPr>
              <w:spacing w:after="0"/>
              <w:rPr>
                <w:sz w:val="22"/>
                <w:szCs w:val="22"/>
                <w:color w:val="auto"/>
              </w:rPr>
            </w:pPr>
          </w:p>
        </w:tc>
        <w:tc>
          <w:tcPr>
            <w:tcW w:w="740" w:type="dxa"/>
            <w:vAlign w:val="bottom"/>
            <w:tcBorders>
              <w:right w:val="single" w:sz="8" w:color="5673B8"/>
            </w:tcBorders>
          </w:tcPr>
          <w:p>
            <w:pPr>
              <w:spacing w:after="0"/>
              <w:rPr>
                <w:sz w:val="22"/>
                <w:szCs w:val="22"/>
                <w:color w:val="auto"/>
              </w:rPr>
            </w:pPr>
          </w:p>
        </w:tc>
        <w:tc>
          <w:tcPr>
            <w:tcW w:w="460" w:type="dxa"/>
            <w:vAlign w:val="bottom"/>
            <w:tcBorders>
              <w:right w:val="single" w:sz="8" w:color="5673B8"/>
            </w:tcBorders>
          </w:tcPr>
          <w:p>
            <w:pPr>
              <w:spacing w:after="0"/>
              <w:rPr>
                <w:sz w:val="22"/>
                <w:szCs w:val="22"/>
                <w:color w:val="auto"/>
              </w:rPr>
            </w:pPr>
          </w:p>
        </w:tc>
        <w:tc>
          <w:tcPr>
            <w:tcW w:w="440" w:type="dxa"/>
            <w:vAlign w:val="bottom"/>
            <w:tcBorders>
              <w:right w:val="single" w:sz="8" w:color="5673B8"/>
            </w:tcBorders>
          </w:tcPr>
          <w:p>
            <w:pPr>
              <w:spacing w:after="0"/>
              <w:rPr>
                <w:sz w:val="22"/>
                <w:szCs w:val="22"/>
                <w:color w:val="auto"/>
              </w:rPr>
            </w:pPr>
          </w:p>
        </w:tc>
        <w:tc>
          <w:tcPr>
            <w:tcW w:w="900" w:type="dxa"/>
            <w:vAlign w:val="bottom"/>
            <w:tcBorders>
              <w:right w:val="single" w:sz="8" w:color="5673B8"/>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880" w:type="dxa"/>
            <w:vAlign w:val="bottom"/>
          </w:tcPr>
          <w:p>
            <w:pPr>
              <w:ind w:left="460"/>
              <w:spacing w:after="0"/>
              <w:rPr>
                <w:sz w:val="20"/>
                <w:szCs w:val="20"/>
                <w:color w:val="auto"/>
              </w:rPr>
            </w:pPr>
            <w:r>
              <w:rPr>
                <w:rFonts w:ascii="Arial" w:cs="Arial" w:eastAsia="Arial" w:hAnsi="Arial"/>
                <w:sz w:val="14"/>
                <w:szCs w:val="14"/>
                <w:color w:val="auto"/>
              </w:rPr>
              <w:t>Knowledge of the healthcare and biopharmaceutical</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48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64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80"/>
              <w:spacing w:after="0"/>
              <w:rPr>
                <w:sz w:val="20"/>
                <w:szCs w:val="20"/>
                <w:color w:val="auto"/>
              </w:rPr>
            </w:pPr>
            <w:r>
              <w:rPr>
                <w:rFonts w:ascii="Arial" w:cs="Arial" w:eastAsia="Arial" w:hAnsi="Arial"/>
                <w:sz w:val="27"/>
                <w:szCs w:val="27"/>
                <w:color w:val="5673B8"/>
              </w:rPr>
              <w:t>●</w:t>
            </w:r>
          </w:p>
        </w:tc>
        <w:tc>
          <w:tcPr>
            <w:tcW w:w="680" w:type="dxa"/>
            <w:vAlign w:val="bottom"/>
            <w:tcBorders>
              <w:right w:val="single" w:sz="8" w:color="5673B8"/>
            </w:tcBorders>
            <w:vMerge w:val="restart"/>
          </w:tcPr>
          <w:p>
            <w:pPr>
              <w:ind w:left="240"/>
              <w:spacing w:after="0"/>
              <w:rPr>
                <w:sz w:val="20"/>
                <w:szCs w:val="20"/>
                <w:color w:val="auto"/>
              </w:rPr>
            </w:pPr>
            <w:r>
              <w:rPr>
                <w:rFonts w:ascii="Arial" w:cs="Arial" w:eastAsia="Arial" w:hAnsi="Arial"/>
                <w:sz w:val="27"/>
                <w:szCs w:val="27"/>
                <w:color w:val="5673B8"/>
              </w:rPr>
              <w:t>●</w:t>
            </w:r>
          </w:p>
        </w:tc>
        <w:tc>
          <w:tcPr>
            <w:tcW w:w="62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740" w:type="dxa"/>
            <w:vAlign w:val="bottom"/>
            <w:tcBorders>
              <w:right w:val="single" w:sz="8" w:color="5673B8"/>
            </w:tcBorders>
            <w:vMerge w:val="restart"/>
          </w:tcPr>
          <w:p>
            <w:pPr>
              <w:jc w:val="center"/>
              <w:spacing w:after="0"/>
              <w:rPr>
                <w:sz w:val="20"/>
                <w:szCs w:val="20"/>
                <w:color w:val="auto"/>
              </w:rPr>
            </w:pPr>
            <w:r>
              <w:rPr>
                <w:rFonts w:ascii="Arial" w:cs="Arial" w:eastAsia="Arial" w:hAnsi="Arial"/>
                <w:sz w:val="27"/>
                <w:szCs w:val="27"/>
                <w:color w:val="5673B8"/>
                <w:w w:val="97"/>
              </w:rPr>
              <w:t>●</w:t>
            </w:r>
          </w:p>
        </w:tc>
        <w:tc>
          <w:tcPr>
            <w:tcW w:w="46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vMerge w:val="restart"/>
          </w:tcPr>
          <w:p>
            <w:pPr>
              <w:ind w:left="360"/>
              <w:spacing w:after="0"/>
              <w:rPr>
                <w:sz w:val="20"/>
                <w:szCs w:val="20"/>
                <w:color w:val="auto"/>
              </w:rPr>
            </w:pPr>
            <w:r>
              <w:rPr>
                <w:rFonts w:ascii="Arial" w:cs="Arial" w:eastAsia="Arial" w:hAnsi="Arial"/>
                <w:sz w:val="27"/>
                <w:szCs w:val="27"/>
                <w:color w:val="5673B8"/>
              </w:rPr>
              <w:t>●</w:t>
            </w:r>
          </w:p>
        </w:tc>
        <w:tc>
          <w:tcPr>
            <w:tcW w:w="0" w:type="dxa"/>
            <w:vAlign w:val="bottom"/>
          </w:tcPr>
          <w:p>
            <w:pPr>
              <w:spacing w:after="0"/>
              <w:rPr>
                <w:sz w:val="1"/>
                <w:szCs w:val="1"/>
                <w:color w:val="auto"/>
              </w:rPr>
            </w:pPr>
          </w:p>
        </w:tc>
      </w:tr>
      <w:tr>
        <w:trPr>
          <w:trHeight w:val="176"/>
        </w:trPr>
        <w:tc>
          <w:tcPr>
            <w:tcW w:w="3880" w:type="dxa"/>
            <w:vAlign w:val="bottom"/>
          </w:tcPr>
          <w:p>
            <w:pPr>
              <w:ind w:left="460"/>
              <w:spacing w:after="0"/>
              <w:rPr>
                <w:sz w:val="20"/>
                <w:szCs w:val="20"/>
                <w:color w:val="auto"/>
              </w:rPr>
            </w:pPr>
            <w:r>
              <w:rPr>
                <w:rFonts w:ascii="Arial" w:cs="Arial" w:eastAsia="Arial" w:hAnsi="Arial"/>
                <w:sz w:val="14"/>
                <w:szCs w:val="14"/>
                <w:color w:val="auto"/>
              </w:rPr>
              <w:t>industry, including, as applicable, science,</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480" w:type="dxa"/>
            <w:vAlign w:val="bottom"/>
            <w:tcBorders>
              <w:right w:val="single" w:sz="8" w:color="5673B8"/>
            </w:tcBorders>
            <w:vMerge w:val="continue"/>
          </w:tcPr>
          <w:p>
            <w:pPr>
              <w:spacing w:after="0"/>
              <w:rPr>
                <w:sz w:val="15"/>
                <w:szCs w:val="15"/>
                <w:color w:val="auto"/>
              </w:rPr>
            </w:pPr>
          </w:p>
        </w:tc>
        <w:tc>
          <w:tcPr>
            <w:tcW w:w="6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680" w:type="dxa"/>
            <w:vAlign w:val="bottom"/>
            <w:tcBorders>
              <w:right w:val="single" w:sz="8" w:color="5673B8"/>
            </w:tcBorders>
            <w:vMerge w:val="continue"/>
          </w:tcPr>
          <w:p>
            <w:pPr>
              <w:spacing w:after="0"/>
              <w:rPr>
                <w:sz w:val="15"/>
                <w:szCs w:val="15"/>
                <w:color w:val="auto"/>
              </w:rPr>
            </w:pPr>
          </w:p>
        </w:tc>
        <w:tc>
          <w:tcPr>
            <w:tcW w:w="620" w:type="dxa"/>
            <w:vAlign w:val="bottom"/>
            <w:tcBorders>
              <w:right w:val="single" w:sz="8" w:color="5673B8"/>
            </w:tcBorders>
            <w:vMerge w:val="continue"/>
          </w:tcPr>
          <w:p>
            <w:pPr>
              <w:spacing w:after="0"/>
              <w:rPr>
                <w:sz w:val="15"/>
                <w:szCs w:val="15"/>
                <w:color w:val="auto"/>
              </w:rPr>
            </w:pPr>
          </w:p>
        </w:tc>
        <w:tc>
          <w:tcPr>
            <w:tcW w:w="740" w:type="dxa"/>
            <w:vAlign w:val="bottom"/>
            <w:tcBorders>
              <w:right w:val="single" w:sz="8" w:color="5673B8"/>
            </w:tcBorders>
            <w:vMerge w:val="continue"/>
          </w:tcPr>
          <w:p>
            <w:pPr>
              <w:spacing w:after="0"/>
              <w:rPr>
                <w:sz w:val="15"/>
                <w:szCs w:val="15"/>
                <w:color w:val="auto"/>
              </w:rPr>
            </w:pPr>
          </w:p>
        </w:tc>
        <w:tc>
          <w:tcPr>
            <w:tcW w:w="460" w:type="dxa"/>
            <w:vAlign w:val="bottom"/>
            <w:tcBorders>
              <w:right w:val="single" w:sz="8" w:color="5673B8"/>
            </w:tcBorders>
            <w:vMerge w:val="continue"/>
          </w:tcPr>
          <w:p>
            <w:pPr>
              <w:spacing w:after="0"/>
              <w:rPr>
                <w:sz w:val="15"/>
                <w:szCs w:val="15"/>
                <w:color w:val="auto"/>
              </w:rPr>
            </w:pP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460"/>
              <w:spacing w:after="0"/>
              <w:rPr>
                <w:sz w:val="20"/>
                <w:szCs w:val="20"/>
                <w:color w:val="auto"/>
              </w:rPr>
            </w:pPr>
            <w:r>
              <w:rPr>
                <w:rFonts w:ascii="Arial" w:cs="Arial" w:eastAsia="Arial" w:hAnsi="Arial"/>
                <w:sz w:val="14"/>
                <w:szCs w:val="14"/>
                <w:color w:val="auto"/>
              </w:rPr>
              <w:t>manufacturing, regulatory compliance and payer</w:t>
            </w:r>
          </w:p>
        </w:tc>
        <w:tc>
          <w:tcPr>
            <w:tcW w:w="180" w:type="dxa"/>
            <w:vAlign w:val="bottom"/>
            <w:tcBorders>
              <w:right w:val="single" w:sz="8" w:color="5673B8"/>
            </w:tcBorders>
          </w:tcPr>
          <w:p>
            <w:pPr>
              <w:spacing w:after="0"/>
              <w:rPr>
                <w:sz w:val="14"/>
                <w:szCs w:val="14"/>
                <w:color w:val="auto"/>
              </w:rPr>
            </w:pPr>
          </w:p>
        </w:tc>
        <w:tc>
          <w:tcPr>
            <w:tcW w:w="400" w:type="dxa"/>
            <w:vAlign w:val="bottom"/>
            <w:tcBorders>
              <w:right w:val="single" w:sz="8" w:color="5673B8"/>
            </w:tcBorders>
          </w:tcPr>
          <w:p>
            <w:pPr>
              <w:spacing w:after="0"/>
              <w:rPr>
                <w:sz w:val="14"/>
                <w:szCs w:val="14"/>
                <w:color w:val="auto"/>
              </w:rPr>
            </w:pPr>
          </w:p>
        </w:tc>
        <w:tc>
          <w:tcPr>
            <w:tcW w:w="540" w:type="dxa"/>
            <w:vAlign w:val="bottom"/>
            <w:tcBorders>
              <w:right w:val="single" w:sz="8" w:color="5673B8"/>
            </w:tcBorders>
          </w:tcPr>
          <w:p>
            <w:pPr>
              <w:spacing w:after="0"/>
              <w:rPr>
                <w:sz w:val="14"/>
                <w:szCs w:val="14"/>
                <w:color w:val="auto"/>
              </w:rPr>
            </w:pPr>
          </w:p>
        </w:tc>
        <w:tc>
          <w:tcPr>
            <w:tcW w:w="540" w:type="dxa"/>
            <w:vAlign w:val="bottom"/>
            <w:tcBorders>
              <w:right w:val="single" w:sz="8" w:color="5673B8"/>
            </w:tcBorders>
          </w:tcPr>
          <w:p>
            <w:pPr>
              <w:spacing w:after="0"/>
              <w:rPr>
                <w:sz w:val="14"/>
                <w:szCs w:val="14"/>
                <w:color w:val="auto"/>
              </w:rPr>
            </w:pPr>
          </w:p>
        </w:tc>
        <w:tc>
          <w:tcPr>
            <w:tcW w:w="380" w:type="dxa"/>
            <w:vAlign w:val="bottom"/>
            <w:tcBorders>
              <w:right w:val="single" w:sz="8" w:color="5673B8"/>
            </w:tcBorders>
          </w:tcPr>
          <w:p>
            <w:pPr>
              <w:spacing w:after="0"/>
              <w:rPr>
                <w:sz w:val="14"/>
                <w:szCs w:val="14"/>
                <w:color w:val="auto"/>
              </w:rPr>
            </w:pPr>
          </w:p>
        </w:tc>
        <w:tc>
          <w:tcPr>
            <w:tcW w:w="480" w:type="dxa"/>
            <w:vAlign w:val="bottom"/>
            <w:tcBorders>
              <w:right w:val="single" w:sz="8" w:color="5673B8"/>
            </w:tcBorders>
          </w:tcPr>
          <w:p>
            <w:pPr>
              <w:spacing w:after="0"/>
              <w:rPr>
                <w:sz w:val="14"/>
                <w:szCs w:val="14"/>
                <w:color w:val="auto"/>
              </w:rPr>
            </w:pPr>
          </w:p>
        </w:tc>
        <w:tc>
          <w:tcPr>
            <w:tcW w:w="640" w:type="dxa"/>
            <w:vAlign w:val="bottom"/>
            <w:tcBorders>
              <w:right w:val="single" w:sz="8" w:color="5673B8"/>
            </w:tcBorders>
          </w:tcPr>
          <w:p>
            <w:pPr>
              <w:spacing w:after="0"/>
              <w:rPr>
                <w:sz w:val="14"/>
                <w:szCs w:val="14"/>
                <w:color w:val="auto"/>
              </w:rPr>
            </w:pPr>
          </w:p>
        </w:tc>
        <w:tc>
          <w:tcPr>
            <w:tcW w:w="380" w:type="dxa"/>
            <w:vAlign w:val="bottom"/>
            <w:tcBorders>
              <w:right w:val="single" w:sz="8" w:color="5673B8"/>
            </w:tcBorders>
          </w:tcPr>
          <w:p>
            <w:pPr>
              <w:spacing w:after="0"/>
              <w:rPr>
                <w:sz w:val="14"/>
                <w:szCs w:val="14"/>
                <w:color w:val="auto"/>
              </w:rPr>
            </w:pPr>
          </w:p>
        </w:tc>
        <w:tc>
          <w:tcPr>
            <w:tcW w:w="680" w:type="dxa"/>
            <w:vAlign w:val="bottom"/>
            <w:tcBorders>
              <w:right w:val="single" w:sz="8" w:color="5673B8"/>
            </w:tcBorders>
          </w:tcPr>
          <w:p>
            <w:pPr>
              <w:spacing w:after="0"/>
              <w:rPr>
                <w:sz w:val="14"/>
                <w:szCs w:val="14"/>
                <w:color w:val="auto"/>
              </w:rPr>
            </w:pPr>
          </w:p>
        </w:tc>
        <w:tc>
          <w:tcPr>
            <w:tcW w:w="620" w:type="dxa"/>
            <w:vAlign w:val="bottom"/>
            <w:tcBorders>
              <w:right w:val="single" w:sz="8" w:color="5673B8"/>
            </w:tcBorders>
          </w:tcPr>
          <w:p>
            <w:pPr>
              <w:spacing w:after="0"/>
              <w:rPr>
                <w:sz w:val="14"/>
                <w:szCs w:val="14"/>
                <w:color w:val="auto"/>
              </w:rPr>
            </w:pPr>
          </w:p>
        </w:tc>
        <w:tc>
          <w:tcPr>
            <w:tcW w:w="740" w:type="dxa"/>
            <w:vAlign w:val="bottom"/>
            <w:tcBorders>
              <w:right w:val="single" w:sz="8" w:color="5673B8"/>
            </w:tcBorders>
          </w:tcPr>
          <w:p>
            <w:pPr>
              <w:spacing w:after="0"/>
              <w:rPr>
                <w:sz w:val="14"/>
                <w:szCs w:val="14"/>
                <w:color w:val="auto"/>
              </w:rPr>
            </w:pPr>
          </w:p>
        </w:tc>
        <w:tc>
          <w:tcPr>
            <w:tcW w:w="460" w:type="dxa"/>
            <w:vAlign w:val="bottom"/>
            <w:tcBorders>
              <w:right w:val="single" w:sz="8" w:color="5673B8"/>
            </w:tcBorders>
          </w:tcPr>
          <w:p>
            <w:pPr>
              <w:spacing w:after="0"/>
              <w:rPr>
                <w:sz w:val="14"/>
                <w:szCs w:val="14"/>
                <w:color w:val="auto"/>
              </w:rPr>
            </w:pPr>
          </w:p>
        </w:tc>
        <w:tc>
          <w:tcPr>
            <w:tcW w:w="440" w:type="dxa"/>
            <w:vAlign w:val="bottom"/>
            <w:tcBorders>
              <w:right w:val="single" w:sz="8" w:color="5673B8"/>
            </w:tcBorders>
          </w:tcPr>
          <w:p>
            <w:pPr>
              <w:spacing w:after="0"/>
              <w:rPr>
                <w:sz w:val="14"/>
                <w:szCs w:val="14"/>
                <w:color w:val="auto"/>
              </w:rPr>
            </w:pPr>
          </w:p>
        </w:tc>
        <w:tc>
          <w:tcPr>
            <w:tcW w:w="900" w:type="dxa"/>
            <w:vAlign w:val="bottom"/>
            <w:tcBorders>
              <w:right w:val="single" w:sz="8" w:color="5673B8"/>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460"/>
              <w:spacing w:after="0"/>
              <w:rPr>
                <w:sz w:val="20"/>
                <w:szCs w:val="20"/>
                <w:color w:val="auto"/>
              </w:rPr>
            </w:pPr>
            <w:r>
              <w:rPr>
                <w:rFonts w:ascii="Arial" w:cs="Arial" w:eastAsia="Arial" w:hAnsi="Arial"/>
                <w:sz w:val="14"/>
                <w:szCs w:val="14"/>
                <w:color w:val="auto"/>
              </w:rPr>
              <w:t>dynamics</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tcPr>
          <w:p>
            <w:pPr>
              <w:spacing w:after="0"/>
              <w:rPr>
                <w:sz w:val="16"/>
                <w:szCs w:val="16"/>
                <w:color w:val="auto"/>
              </w:rPr>
            </w:pPr>
          </w:p>
        </w:tc>
        <w:tc>
          <w:tcPr>
            <w:tcW w:w="440" w:type="dxa"/>
            <w:vAlign w:val="bottom"/>
            <w:tcBorders>
              <w:right w:val="single" w:sz="8" w:color="5673B8"/>
            </w:tcBorders>
          </w:tcPr>
          <w:p>
            <w:pPr>
              <w:spacing w:after="0"/>
              <w:rPr>
                <w:sz w:val="16"/>
                <w:szCs w:val="16"/>
                <w:color w:val="auto"/>
              </w:rPr>
            </w:pPr>
          </w:p>
        </w:tc>
        <w:tc>
          <w:tcPr>
            <w:tcW w:w="900" w:type="dxa"/>
            <w:vAlign w:val="bottom"/>
            <w:tcBorders>
              <w:right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3880" w:type="dxa"/>
            <w:vAlign w:val="bottom"/>
            <w:tcBorders>
              <w:bottom w:val="single" w:sz="8" w:color="5673B8"/>
            </w:tcBorders>
          </w:tcPr>
          <w:p>
            <w:pPr>
              <w:spacing w:after="0"/>
              <w:rPr>
                <w:sz w:val="6"/>
                <w:szCs w:val="6"/>
                <w:color w:val="auto"/>
              </w:rPr>
            </w:pPr>
          </w:p>
        </w:tc>
        <w:tc>
          <w:tcPr>
            <w:tcW w:w="180" w:type="dxa"/>
            <w:vAlign w:val="bottom"/>
            <w:tcBorders>
              <w:bottom w:val="single" w:sz="8" w:color="5673B8"/>
              <w:right w:val="single" w:sz="8" w:color="5673B8"/>
            </w:tcBorders>
          </w:tcPr>
          <w:p>
            <w:pPr>
              <w:spacing w:after="0"/>
              <w:rPr>
                <w:sz w:val="6"/>
                <w:szCs w:val="6"/>
                <w:color w:val="auto"/>
              </w:rPr>
            </w:pPr>
          </w:p>
        </w:tc>
        <w:tc>
          <w:tcPr>
            <w:tcW w:w="400" w:type="dxa"/>
            <w:vAlign w:val="bottom"/>
            <w:tcBorders>
              <w:bottom w:val="single" w:sz="8" w:color="5673B8"/>
              <w:right w:val="single" w:sz="8" w:color="5673B8"/>
            </w:tcBorders>
          </w:tcPr>
          <w:p>
            <w:pPr>
              <w:spacing w:after="0"/>
              <w:rPr>
                <w:sz w:val="6"/>
                <w:szCs w:val="6"/>
                <w:color w:val="auto"/>
              </w:rPr>
            </w:pPr>
          </w:p>
        </w:tc>
        <w:tc>
          <w:tcPr>
            <w:tcW w:w="540" w:type="dxa"/>
            <w:vAlign w:val="bottom"/>
            <w:tcBorders>
              <w:bottom w:val="single" w:sz="8" w:color="5673B8"/>
              <w:right w:val="single" w:sz="8" w:color="5673B8"/>
            </w:tcBorders>
          </w:tcPr>
          <w:p>
            <w:pPr>
              <w:spacing w:after="0"/>
              <w:rPr>
                <w:sz w:val="6"/>
                <w:szCs w:val="6"/>
                <w:color w:val="auto"/>
              </w:rPr>
            </w:pPr>
          </w:p>
        </w:tc>
        <w:tc>
          <w:tcPr>
            <w:tcW w:w="540" w:type="dxa"/>
            <w:vAlign w:val="bottom"/>
            <w:tcBorders>
              <w:bottom w:val="single" w:sz="8" w:color="5673B8"/>
              <w:right w:val="single" w:sz="8" w:color="5673B8"/>
            </w:tcBorders>
          </w:tcPr>
          <w:p>
            <w:pPr>
              <w:spacing w:after="0"/>
              <w:rPr>
                <w:sz w:val="6"/>
                <w:szCs w:val="6"/>
                <w:color w:val="auto"/>
              </w:rPr>
            </w:pPr>
          </w:p>
        </w:tc>
        <w:tc>
          <w:tcPr>
            <w:tcW w:w="380" w:type="dxa"/>
            <w:vAlign w:val="bottom"/>
            <w:tcBorders>
              <w:bottom w:val="single" w:sz="8" w:color="5673B8"/>
              <w:right w:val="single" w:sz="8" w:color="5673B8"/>
            </w:tcBorders>
          </w:tcPr>
          <w:p>
            <w:pPr>
              <w:spacing w:after="0"/>
              <w:rPr>
                <w:sz w:val="6"/>
                <w:szCs w:val="6"/>
                <w:color w:val="auto"/>
              </w:rPr>
            </w:pPr>
          </w:p>
        </w:tc>
        <w:tc>
          <w:tcPr>
            <w:tcW w:w="480" w:type="dxa"/>
            <w:vAlign w:val="bottom"/>
            <w:tcBorders>
              <w:bottom w:val="single" w:sz="8" w:color="5673B8"/>
              <w:right w:val="single" w:sz="8" w:color="5673B8"/>
            </w:tcBorders>
          </w:tcPr>
          <w:p>
            <w:pPr>
              <w:spacing w:after="0"/>
              <w:rPr>
                <w:sz w:val="6"/>
                <w:szCs w:val="6"/>
                <w:color w:val="auto"/>
              </w:rPr>
            </w:pPr>
          </w:p>
        </w:tc>
        <w:tc>
          <w:tcPr>
            <w:tcW w:w="640" w:type="dxa"/>
            <w:vAlign w:val="bottom"/>
            <w:tcBorders>
              <w:bottom w:val="single" w:sz="8" w:color="5673B8"/>
              <w:right w:val="single" w:sz="8" w:color="5673B8"/>
            </w:tcBorders>
          </w:tcPr>
          <w:p>
            <w:pPr>
              <w:spacing w:after="0"/>
              <w:rPr>
                <w:sz w:val="6"/>
                <w:szCs w:val="6"/>
                <w:color w:val="auto"/>
              </w:rPr>
            </w:pPr>
          </w:p>
        </w:tc>
        <w:tc>
          <w:tcPr>
            <w:tcW w:w="380" w:type="dxa"/>
            <w:vAlign w:val="bottom"/>
            <w:tcBorders>
              <w:bottom w:val="single" w:sz="8" w:color="5673B8"/>
              <w:right w:val="single" w:sz="8" w:color="5673B8"/>
            </w:tcBorders>
          </w:tcPr>
          <w:p>
            <w:pPr>
              <w:spacing w:after="0"/>
              <w:rPr>
                <w:sz w:val="6"/>
                <w:szCs w:val="6"/>
                <w:color w:val="auto"/>
              </w:rPr>
            </w:pPr>
          </w:p>
        </w:tc>
        <w:tc>
          <w:tcPr>
            <w:tcW w:w="680" w:type="dxa"/>
            <w:vAlign w:val="bottom"/>
            <w:tcBorders>
              <w:bottom w:val="single" w:sz="8" w:color="5673B8"/>
              <w:right w:val="single" w:sz="8" w:color="5673B8"/>
            </w:tcBorders>
          </w:tcPr>
          <w:p>
            <w:pPr>
              <w:spacing w:after="0"/>
              <w:rPr>
                <w:sz w:val="6"/>
                <w:szCs w:val="6"/>
                <w:color w:val="auto"/>
              </w:rPr>
            </w:pPr>
          </w:p>
        </w:tc>
        <w:tc>
          <w:tcPr>
            <w:tcW w:w="620" w:type="dxa"/>
            <w:vAlign w:val="bottom"/>
            <w:tcBorders>
              <w:bottom w:val="single" w:sz="8" w:color="5673B8"/>
              <w:right w:val="single" w:sz="8" w:color="5673B8"/>
            </w:tcBorders>
          </w:tcPr>
          <w:p>
            <w:pPr>
              <w:spacing w:after="0"/>
              <w:rPr>
                <w:sz w:val="6"/>
                <w:szCs w:val="6"/>
                <w:color w:val="auto"/>
              </w:rPr>
            </w:pPr>
          </w:p>
        </w:tc>
        <w:tc>
          <w:tcPr>
            <w:tcW w:w="740" w:type="dxa"/>
            <w:vAlign w:val="bottom"/>
            <w:tcBorders>
              <w:bottom w:val="single" w:sz="8" w:color="5673B8"/>
              <w:right w:val="single" w:sz="8" w:color="5673B8"/>
            </w:tcBorders>
          </w:tcPr>
          <w:p>
            <w:pPr>
              <w:spacing w:after="0"/>
              <w:rPr>
                <w:sz w:val="6"/>
                <w:szCs w:val="6"/>
                <w:color w:val="auto"/>
              </w:rPr>
            </w:pPr>
          </w:p>
        </w:tc>
        <w:tc>
          <w:tcPr>
            <w:tcW w:w="460" w:type="dxa"/>
            <w:vAlign w:val="bottom"/>
            <w:tcBorders>
              <w:bottom w:val="single" w:sz="8" w:color="5673B8"/>
              <w:right w:val="single" w:sz="8" w:color="5673B8"/>
            </w:tcBorders>
          </w:tcPr>
          <w:p>
            <w:pPr>
              <w:spacing w:after="0"/>
              <w:rPr>
                <w:sz w:val="6"/>
                <w:szCs w:val="6"/>
                <w:color w:val="auto"/>
              </w:rPr>
            </w:pPr>
          </w:p>
        </w:tc>
        <w:tc>
          <w:tcPr>
            <w:tcW w:w="440" w:type="dxa"/>
            <w:vAlign w:val="bottom"/>
            <w:tcBorders>
              <w:bottom w:val="single" w:sz="8" w:color="5673B8"/>
              <w:right w:val="single" w:sz="8" w:color="5673B8"/>
            </w:tcBorders>
          </w:tcPr>
          <w:p>
            <w:pPr>
              <w:spacing w:after="0"/>
              <w:rPr>
                <w:sz w:val="6"/>
                <w:szCs w:val="6"/>
                <w:color w:val="auto"/>
              </w:rPr>
            </w:pPr>
          </w:p>
        </w:tc>
        <w:tc>
          <w:tcPr>
            <w:tcW w:w="900" w:type="dxa"/>
            <w:vAlign w:val="bottom"/>
            <w:tcBorders>
              <w:bottom w:val="single" w:sz="8" w:color="5673B8"/>
              <w:right w:val="single" w:sz="8" w:color="5673B8"/>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Financial Experience</w:t>
            </w:r>
          </w:p>
        </w:tc>
        <w:tc>
          <w:tcPr>
            <w:tcW w:w="180" w:type="dxa"/>
            <w:vAlign w:val="bottom"/>
            <w:tcBorders>
              <w:right w:val="single" w:sz="8" w:color="5673B8"/>
            </w:tcBorders>
          </w:tcPr>
          <w:p>
            <w:pPr>
              <w:spacing w:after="0"/>
              <w:rPr>
                <w:sz w:val="22"/>
                <w:szCs w:val="22"/>
                <w:color w:val="auto"/>
              </w:rPr>
            </w:pPr>
          </w:p>
        </w:tc>
        <w:tc>
          <w:tcPr>
            <w:tcW w:w="400" w:type="dxa"/>
            <w:vAlign w:val="bottom"/>
            <w:tcBorders>
              <w:right w:val="single" w:sz="8" w:color="5673B8"/>
            </w:tcBorders>
          </w:tcPr>
          <w:p>
            <w:pPr>
              <w:spacing w:after="0"/>
              <w:rPr>
                <w:sz w:val="22"/>
                <w:szCs w:val="22"/>
                <w:color w:val="auto"/>
              </w:rPr>
            </w:pPr>
          </w:p>
        </w:tc>
        <w:tc>
          <w:tcPr>
            <w:tcW w:w="540" w:type="dxa"/>
            <w:vAlign w:val="bottom"/>
            <w:tcBorders>
              <w:right w:val="single" w:sz="8" w:color="5673B8"/>
            </w:tcBorders>
          </w:tcPr>
          <w:p>
            <w:pPr>
              <w:spacing w:after="0"/>
              <w:rPr>
                <w:sz w:val="22"/>
                <w:szCs w:val="22"/>
                <w:color w:val="auto"/>
              </w:rPr>
            </w:pPr>
          </w:p>
        </w:tc>
        <w:tc>
          <w:tcPr>
            <w:tcW w:w="540" w:type="dxa"/>
            <w:vAlign w:val="bottom"/>
            <w:tcBorders>
              <w:right w:val="single" w:sz="8" w:color="5673B8"/>
            </w:tcBorders>
          </w:tcPr>
          <w:p>
            <w:pPr>
              <w:spacing w:after="0"/>
              <w:rPr>
                <w:sz w:val="22"/>
                <w:szCs w:val="22"/>
                <w:color w:val="auto"/>
              </w:rPr>
            </w:pPr>
          </w:p>
        </w:tc>
        <w:tc>
          <w:tcPr>
            <w:tcW w:w="380" w:type="dxa"/>
            <w:vAlign w:val="bottom"/>
            <w:tcBorders>
              <w:right w:val="single" w:sz="8" w:color="5673B8"/>
            </w:tcBorders>
          </w:tcPr>
          <w:p>
            <w:pPr>
              <w:spacing w:after="0"/>
              <w:rPr>
                <w:sz w:val="22"/>
                <w:szCs w:val="22"/>
                <w:color w:val="auto"/>
              </w:rPr>
            </w:pPr>
          </w:p>
        </w:tc>
        <w:tc>
          <w:tcPr>
            <w:tcW w:w="480" w:type="dxa"/>
            <w:vAlign w:val="bottom"/>
            <w:tcBorders>
              <w:right w:val="single" w:sz="8" w:color="5673B8"/>
            </w:tcBorders>
          </w:tcPr>
          <w:p>
            <w:pPr>
              <w:spacing w:after="0"/>
              <w:rPr>
                <w:sz w:val="22"/>
                <w:szCs w:val="22"/>
                <w:color w:val="auto"/>
              </w:rPr>
            </w:pPr>
          </w:p>
        </w:tc>
        <w:tc>
          <w:tcPr>
            <w:tcW w:w="640" w:type="dxa"/>
            <w:vAlign w:val="bottom"/>
            <w:tcBorders>
              <w:right w:val="single" w:sz="8" w:color="5673B8"/>
            </w:tcBorders>
          </w:tcPr>
          <w:p>
            <w:pPr>
              <w:spacing w:after="0"/>
              <w:rPr>
                <w:sz w:val="22"/>
                <w:szCs w:val="22"/>
                <w:color w:val="auto"/>
              </w:rPr>
            </w:pPr>
          </w:p>
        </w:tc>
        <w:tc>
          <w:tcPr>
            <w:tcW w:w="380" w:type="dxa"/>
            <w:vAlign w:val="bottom"/>
            <w:tcBorders>
              <w:right w:val="single" w:sz="8" w:color="5673B8"/>
            </w:tcBorders>
          </w:tcPr>
          <w:p>
            <w:pPr>
              <w:spacing w:after="0"/>
              <w:rPr>
                <w:sz w:val="22"/>
                <w:szCs w:val="22"/>
                <w:color w:val="auto"/>
              </w:rPr>
            </w:pPr>
          </w:p>
        </w:tc>
        <w:tc>
          <w:tcPr>
            <w:tcW w:w="680" w:type="dxa"/>
            <w:vAlign w:val="bottom"/>
            <w:tcBorders>
              <w:right w:val="single" w:sz="8" w:color="5673B8"/>
            </w:tcBorders>
          </w:tcPr>
          <w:p>
            <w:pPr>
              <w:spacing w:after="0"/>
              <w:rPr>
                <w:sz w:val="22"/>
                <w:szCs w:val="22"/>
                <w:color w:val="auto"/>
              </w:rPr>
            </w:pPr>
          </w:p>
        </w:tc>
        <w:tc>
          <w:tcPr>
            <w:tcW w:w="620" w:type="dxa"/>
            <w:vAlign w:val="bottom"/>
            <w:tcBorders>
              <w:right w:val="single" w:sz="8" w:color="5673B8"/>
            </w:tcBorders>
          </w:tcPr>
          <w:p>
            <w:pPr>
              <w:spacing w:after="0"/>
              <w:rPr>
                <w:sz w:val="22"/>
                <w:szCs w:val="22"/>
                <w:color w:val="auto"/>
              </w:rPr>
            </w:pPr>
          </w:p>
        </w:tc>
        <w:tc>
          <w:tcPr>
            <w:tcW w:w="740" w:type="dxa"/>
            <w:vAlign w:val="bottom"/>
            <w:tcBorders>
              <w:right w:val="single" w:sz="8" w:color="5673B8"/>
            </w:tcBorders>
          </w:tcPr>
          <w:p>
            <w:pPr>
              <w:spacing w:after="0"/>
              <w:rPr>
                <w:sz w:val="22"/>
                <w:szCs w:val="22"/>
                <w:color w:val="auto"/>
              </w:rPr>
            </w:pPr>
          </w:p>
        </w:tc>
        <w:tc>
          <w:tcPr>
            <w:tcW w:w="460" w:type="dxa"/>
            <w:vAlign w:val="bottom"/>
            <w:tcBorders>
              <w:right w:val="single" w:sz="8" w:color="5673B8"/>
            </w:tcBorders>
          </w:tcPr>
          <w:p>
            <w:pPr>
              <w:spacing w:after="0"/>
              <w:rPr>
                <w:sz w:val="22"/>
                <w:szCs w:val="22"/>
                <w:color w:val="auto"/>
              </w:rPr>
            </w:pPr>
          </w:p>
        </w:tc>
        <w:tc>
          <w:tcPr>
            <w:tcW w:w="440" w:type="dxa"/>
            <w:vAlign w:val="bottom"/>
            <w:tcBorders>
              <w:right w:val="single" w:sz="8" w:color="5673B8"/>
            </w:tcBorders>
          </w:tcPr>
          <w:p>
            <w:pPr>
              <w:spacing w:after="0"/>
              <w:rPr>
                <w:sz w:val="22"/>
                <w:szCs w:val="22"/>
                <w:color w:val="auto"/>
              </w:rPr>
            </w:pPr>
          </w:p>
        </w:tc>
        <w:tc>
          <w:tcPr>
            <w:tcW w:w="900" w:type="dxa"/>
            <w:vAlign w:val="bottom"/>
            <w:tcBorders>
              <w:right w:val="single" w:sz="8" w:color="5673B8"/>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880" w:type="dxa"/>
            <w:vAlign w:val="bottom"/>
          </w:tcPr>
          <w:p>
            <w:pPr>
              <w:ind w:left="460"/>
              <w:spacing w:after="0"/>
              <w:rPr>
                <w:sz w:val="20"/>
                <w:szCs w:val="20"/>
                <w:color w:val="auto"/>
              </w:rPr>
            </w:pPr>
            <w:r>
              <w:rPr>
                <w:rFonts w:ascii="Arial" w:cs="Arial" w:eastAsia="Arial" w:hAnsi="Arial"/>
                <w:sz w:val="14"/>
                <w:szCs w:val="14"/>
                <w:color w:val="auto"/>
              </w:rPr>
              <w:t>Experience in positions requiring financial</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480" w:type="dxa"/>
            <w:vAlign w:val="bottom"/>
            <w:tcBorders>
              <w:right w:val="single" w:sz="8" w:color="5673B8"/>
            </w:tcBorders>
          </w:tcPr>
          <w:p>
            <w:pPr>
              <w:spacing w:after="0"/>
              <w:rPr>
                <w:sz w:val="15"/>
                <w:szCs w:val="15"/>
                <w:color w:val="auto"/>
              </w:rPr>
            </w:pPr>
          </w:p>
        </w:tc>
        <w:tc>
          <w:tcPr>
            <w:tcW w:w="64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80"/>
              <w:spacing w:after="0"/>
              <w:rPr>
                <w:sz w:val="20"/>
                <w:szCs w:val="20"/>
                <w:color w:val="auto"/>
              </w:rPr>
            </w:pPr>
            <w:r>
              <w:rPr>
                <w:rFonts w:ascii="Arial" w:cs="Arial" w:eastAsia="Arial" w:hAnsi="Arial"/>
                <w:sz w:val="27"/>
                <w:szCs w:val="27"/>
                <w:color w:val="5673B8"/>
              </w:rPr>
              <w:t>●</w:t>
            </w:r>
          </w:p>
        </w:tc>
        <w:tc>
          <w:tcPr>
            <w:tcW w:w="680" w:type="dxa"/>
            <w:vAlign w:val="bottom"/>
            <w:tcBorders>
              <w:right w:val="single" w:sz="8" w:color="5673B8"/>
            </w:tcBorders>
            <w:vMerge w:val="restart"/>
          </w:tcPr>
          <w:p>
            <w:pPr>
              <w:ind w:left="240"/>
              <w:spacing w:after="0"/>
              <w:rPr>
                <w:sz w:val="20"/>
                <w:szCs w:val="20"/>
                <w:color w:val="auto"/>
              </w:rPr>
            </w:pPr>
            <w:r>
              <w:rPr>
                <w:rFonts w:ascii="Arial" w:cs="Arial" w:eastAsia="Arial" w:hAnsi="Arial"/>
                <w:sz w:val="27"/>
                <w:szCs w:val="27"/>
                <w:color w:val="5673B8"/>
              </w:rPr>
              <w:t>●</w:t>
            </w:r>
          </w:p>
        </w:tc>
        <w:tc>
          <w:tcPr>
            <w:tcW w:w="620" w:type="dxa"/>
            <w:vAlign w:val="bottom"/>
            <w:tcBorders>
              <w:right w:val="single" w:sz="8" w:color="5673B8"/>
            </w:tcBorders>
          </w:tcPr>
          <w:p>
            <w:pPr>
              <w:spacing w:after="0"/>
              <w:rPr>
                <w:sz w:val="15"/>
                <w:szCs w:val="15"/>
                <w:color w:val="auto"/>
              </w:rPr>
            </w:pPr>
          </w:p>
        </w:tc>
        <w:tc>
          <w:tcPr>
            <w:tcW w:w="740" w:type="dxa"/>
            <w:vAlign w:val="bottom"/>
            <w:tcBorders>
              <w:right w:val="single" w:sz="8" w:color="5673B8"/>
            </w:tcBorders>
            <w:vMerge w:val="restart"/>
          </w:tcPr>
          <w:p>
            <w:pPr>
              <w:jc w:val="center"/>
              <w:spacing w:after="0"/>
              <w:rPr>
                <w:sz w:val="20"/>
                <w:szCs w:val="20"/>
                <w:color w:val="auto"/>
              </w:rPr>
            </w:pPr>
            <w:r>
              <w:rPr>
                <w:rFonts w:ascii="Arial" w:cs="Arial" w:eastAsia="Arial" w:hAnsi="Arial"/>
                <w:sz w:val="27"/>
                <w:szCs w:val="27"/>
                <w:color w:val="5673B8"/>
                <w:w w:val="97"/>
              </w:rPr>
              <w:t>●</w:t>
            </w:r>
          </w:p>
        </w:tc>
        <w:tc>
          <w:tcPr>
            <w:tcW w:w="46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vMerge w:val="restart"/>
          </w:tcPr>
          <w:p>
            <w:pPr>
              <w:ind w:left="360"/>
              <w:spacing w:after="0"/>
              <w:rPr>
                <w:sz w:val="20"/>
                <w:szCs w:val="20"/>
                <w:color w:val="auto"/>
              </w:rPr>
            </w:pPr>
            <w:r>
              <w:rPr>
                <w:rFonts w:ascii="Arial" w:cs="Arial" w:eastAsia="Arial" w:hAnsi="Arial"/>
                <w:sz w:val="27"/>
                <w:szCs w:val="27"/>
                <w:color w:val="5673B8"/>
              </w:rPr>
              <w:t>●</w:t>
            </w:r>
          </w:p>
        </w:tc>
        <w:tc>
          <w:tcPr>
            <w:tcW w:w="0" w:type="dxa"/>
            <w:vAlign w:val="bottom"/>
          </w:tcPr>
          <w:p>
            <w:pPr>
              <w:spacing w:after="0"/>
              <w:rPr>
                <w:sz w:val="1"/>
                <w:szCs w:val="1"/>
                <w:color w:val="auto"/>
              </w:rPr>
            </w:pPr>
          </w:p>
        </w:tc>
      </w:tr>
      <w:tr>
        <w:trPr>
          <w:trHeight w:val="175"/>
        </w:trPr>
        <w:tc>
          <w:tcPr>
            <w:tcW w:w="3880" w:type="dxa"/>
            <w:vAlign w:val="bottom"/>
          </w:tcPr>
          <w:p>
            <w:pPr>
              <w:ind w:left="460"/>
              <w:spacing w:after="0"/>
              <w:rPr>
                <w:sz w:val="20"/>
                <w:szCs w:val="20"/>
                <w:color w:val="auto"/>
              </w:rPr>
            </w:pPr>
            <w:r>
              <w:rPr>
                <w:rFonts w:ascii="Arial" w:cs="Arial" w:eastAsia="Arial" w:hAnsi="Arial"/>
                <w:sz w:val="14"/>
                <w:szCs w:val="14"/>
                <w:color w:val="auto"/>
              </w:rPr>
              <w:t>knowledge and analysis with expertise in the</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480" w:type="dxa"/>
            <w:vAlign w:val="bottom"/>
            <w:tcBorders>
              <w:right w:val="single" w:sz="8" w:color="5673B8"/>
            </w:tcBorders>
          </w:tcPr>
          <w:p>
            <w:pPr>
              <w:spacing w:after="0"/>
              <w:rPr>
                <w:sz w:val="15"/>
                <w:szCs w:val="15"/>
                <w:color w:val="auto"/>
              </w:rPr>
            </w:pPr>
          </w:p>
        </w:tc>
        <w:tc>
          <w:tcPr>
            <w:tcW w:w="6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680" w:type="dxa"/>
            <w:vAlign w:val="bottom"/>
            <w:tcBorders>
              <w:right w:val="single" w:sz="8" w:color="5673B8"/>
            </w:tcBorders>
            <w:vMerge w:val="continue"/>
          </w:tcPr>
          <w:p>
            <w:pPr>
              <w:spacing w:after="0"/>
              <w:rPr>
                <w:sz w:val="15"/>
                <w:szCs w:val="15"/>
                <w:color w:val="auto"/>
              </w:rPr>
            </w:pPr>
          </w:p>
        </w:tc>
        <w:tc>
          <w:tcPr>
            <w:tcW w:w="620" w:type="dxa"/>
            <w:vAlign w:val="bottom"/>
            <w:tcBorders>
              <w:right w:val="single" w:sz="8" w:color="5673B8"/>
            </w:tcBorders>
          </w:tcPr>
          <w:p>
            <w:pPr>
              <w:spacing w:after="0"/>
              <w:rPr>
                <w:sz w:val="15"/>
                <w:szCs w:val="15"/>
                <w:color w:val="auto"/>
              </w:rPr>
            </w:pPr>
          </w:p>
        </w:tc>
        <w:tc>
          <w:tcPr>
            <w:tcW w:w="740" w:type="dxa"/>
            <w:vAlign w:val="bottom"/>
            <w:tcBorders>
              <w:right w:val="single" w:sz="8" w:color="5673B8"/>
            </w:tcBorders>
            <w:vMerge w:val="continue"/>
          </w:tcPr>
          <w:p>
            <w:pPr>
              <w:spacing w:after="0"/>
              <w:rPr>
                <w:sz w:val="15"/>
                <w:szCs w:val="15"/>
                <w:color w:val="auto"/>
              </w:rPr>
            </w:pPr>
          </w:p>
        </w:tc>
        <w:tc>
          <w:tcPr>
            <w:tcW w:w="460" w:type="dxa"/>
            <w:vAlign w:val="bottom"/>
            <w:tcBorders>
              <w:right w:val="single" w:sz="8" w:color="5673B8"/>
            </w:tcBorders>
            <w:vMerge w:val="continue"/>
          </w:tcPr>
          <w:p>
            <w:pPr>
              <w:spacing w:after="0"/>
              <w:rPr>
                <w:sz w:val="15"/>
                <w:szCs w:val="15"/>
                <w:color w:val="auto"/>
              </w:rPr>
            </w:pP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460"/>
              <w:spacing w:after="0"/>
              <w:rPr>
                <w:sz w:val="20"/>
                <w:szCs w:val="20"/>
                <w:color w:val="auto"/>
              </w:rPr>
            </w:pPr>
            <w:r>
              <w:rPr>
                <w:rFonts w:ascii="Arial" w:cs="Arial" w:eastAsia="Arial" w:hAnsi="Arial"/>
                <w:sz w:val="14"/>
                <w:szCs w:val="14"/>
                <w:color w:val="auto"/>
              </w:rPr>
              <w:t>evaluation of a large or growing company’s capital</w:t>
            </w:r>
          </w:p>
        </w:tc>
        <w:tc>
          <w:tcPr>
            <w:tcW w:w="180" w:type="dxa"/>
            <w:vAlign w:val="bottom"/>
            <w:tcBorders>
              <w:right w:val="single" w:sz="8" w:color="5673B8"/>
            </w:tcBorders>
          </w:tcPr>
          <w:p>
            <w:pPr>
              <w:spacing w:after="0"/>
              <w:rPr>
                <w:sz w:val="14"/>
                <w:szCs w:val="14"/>
                <w:color w:val="auto"/>
              </w:rPr>
            </w:pPr>
          </w:p>
        </w:tc>
        <w:tc>
          <w:tcPr>
            <w:tcW w:w="400" w:type="dxa"/>
            <w:vAlign w:val="bottom"/>
            <w:tcBorders>
              <w:right w:val="single" w:sz="8" w:color="5673B8"/>
            </w:tcBorders>
          </w:tcPr>
          <w:p>
            <w:pPr>
              <w:spacing w:after="0"/>
              <w:rPr>
                <w:sz w:val="14"/>
                <w:szCs w:val="14"/>
                <w:color w:val="auto"/>
              </w:rPr>
            </w:pPr>
          </w:p>
        </w:tc>
        <w:tc>
          <w:tcPr>
            <w:tcW w:w="540" w:type="dxa"/>
            <w:vAlign w:val="bottom"/>
            <w:tcBorders>
              <w:right w:val="single" w:sz="8" w:color="5673B8"/>
            </w:tcBorders>
          </w:tcPr>
          <w:p>
            <w:pPr>
              <w:spacing w:after="0"/>
              <w:rPr>
                <w:sz w:val="14"/>
                <w:szCs w:val="14"/>
                <w:color w:val="auto"/>
              </w:rPr>
            </w:pPr>
          </w:p>
        </w:tc>
        <w:tc>
          <w:tcPr>
            <w:tcW w:w="540" w:type="dxa"/>
            <w:vAlign w:val="bottom"/>
            <w:tcBorders>
              <w:right w:val="single" w:sz="8" w:color="5673B8"/>
            </w:tcBorders>
          </w:tcPr>
          <w:p>
            <w:pPr>
              <w:spacing w:after="0"/>
              <w:rPr>
                <w:sz w:val="14"/>
                <w:szCs w:val="14"/>
                <w:color w:val="auto"/>
              </w:rPr>
            </w:pPr>
          </w:p>
        </w:tc>
        <w:tc>
          <w:tcPr>
            <w:tcW w:w="380" w:type="dxa"/>
            <w:vAlign w:val="bottom"/>
            <w:tcBorders>
              <w:right w:val="single" w:sz="8" w:color="5673B8"/>
            </w:tcBorders>
          </w:tcPr>
          <w:p>
            <w:pPr>
              <w:spacing w:after="0"/>
              <w:rPr>
                <w:sz w:val="14"/>
                <w:szCs w:val="14"/>
                <w:color w:val="auto"/>
              </w:rPr>
            </w:pPr>
          </w:p>
        </w:tc>
        <w:tc>
          <w:tcPr>
            <w:tcW w:w="480" w:type="dxa"/>
            <w:vAlign w:val="bottom"/>
            <w:tcBorders>
              <w:right w:val="single" w:sz="8" w:color="5673B8"/>
            </w:tcBorders>
          </w:tcPr>
          <w:p>
            <w:pPr>
              <w:spacing w:after="0"/>
              <w:rPr>
                <w:sz w:val="14"/>
                <w:szCs w:val="14"/>
                <w:color w:val="auto"/>
              </w:rPr>
            </w:pPr>
          </w:p>
        </w:tc>
        <w:tc>
          <w:tcPr>
            <w:tcW w:w="640" w:type="dxa"/>
            <w:vAlign w:val="bottom"/>
            <w:tcBorders>
              <w:right w:val="single" w:sz="8" w:color="5673B8"/>
            </w:tcBorders>
          </w:tcPr>
          <w:p>
            <w:pPr>
              <w:spacing w:after="0"/>
              <w:rPr>
                <w:sz w:val="14"/>
                <w:szCs w:val="14"/>
                <w:color w:val="auto"/>
              </w:rPr>
            </w:pPr>
          </w:p>
        </w:tc>
        <w:tc>
          <w:tcPr>
            <w:tcW w:w="380" w:type="dxa"/>
            <w:vAlign w:val="bottom"/>
            <w:tcBorders>
              <w:right w:val="single" w:sz="8" w:color="5673B8"/>
            </w:tcBorders>
          </w:tcPr>
          <w:p>
            <w:pPr>
              <w:spacing w:after="0"/>
              <w:rPr>
                <w:sz w:val="14"/>
                <w:szCs w:val="14"/>
                <w:color w:val="auto"/>
              </w:rPr>
            </w:pPr>
          </w:p>
        </w:tc>
        <w:tc>
          <w:tcPr>
            <w:tcW w:w="680" w:type="dxa"/>
            <w:vAlign w:val="bottom"/>
            <w:tcBorders>
              <w:right w:val="single" w:sz="8" w:color="5673B8"/>
            </w:tcBorders>
          </w:tcPr>
          <w:p>
            <w:pPr>
              <w:spacing w:after="0"/>
              <w:rPr>
                <w:sz w:val="14"/>
                <w:szCs w:val="14"/>
                <w:color w:val="auto"/>
              </w:rPr>
            </w:pPr>
          </w:p>
        </w:tc>
        <w:tc>
          <w:tcPr>
            <w:tcW w:w="620" w:type="dxa"/>
            <w:vAlign w:val="bottom"/>
            <w:tcBorders>
              <w:right w:val="single" w:sz="8" w:color="5673B8"/>
            </w:tcBorders>
          </w:tcPr>
          <w:p>
            <w:pPr>
              <w:spacing w:after="0"/>
              <w:rPr>
                <w:sz w:val="14"/>
                <w:szCs w:val="14"/>
                <w:color w:val="auto"/>
              </w:rPr>
            </w:pPr>
          </w:p>
        </w:tc>
        <w:tc>
          <w:tcPr>
            <w:tcW w:w="740" w:type="dxa"/>
            <w:vAlign w:val="bottom"/>
            <w:tcBorders>
              <w:right w:val="single" w:sz="8" w:color="5673B8"/>
            </w:tcBorders>
          </w:tcPr>
          <w:p>
            <w:pPr>
              <w:spacing w:after="0"/>
              <w:rPr>
                <w:sz w:val="14"/>
                <w:szCs w:val="14"/>
                <w:color w:val="auto"/>
              </w:rPr>
            </w:pPr>
          </w:p>
        </w:tc>
        <w:tc>
          <w:tcPr>
            <w:tcW w:w="460" w:type="dxa"/>
            <w:vAlign w:val="bottom"/>
            <w:tcBorders>
              <w:right w:val="single" w:sz="8" w:color="5673B8"/>
            </w:tcBorders>
          </w:tcPr>
          <w:p>
            <w:pPr>
              <w:spacing w:after="0"/>
              <w:rPr>
                <w:sz w:val="14"/>
                <w:szCs w:val="14"/>
                <w:color w:val="auto"/>
              </w:rPr>
            </w:pPr>
          </w:p>
        </w:tc>
        <w:tc>
          <w:tcPr>
            <w:tcW w:w="440" w:type="dxa"/>
            <w:vAlign w:val="bottom"/>
            <w:tcBorders>
              <w:right w:val="single" w:sz="8" w:color="5673B8"/>
            </w:tcBorders>
          </w:tcPr>
          <w:p>
            <w:pPr>
              <w:spacing w:after="0"/>
              <w:rPr>
                <w:sz w:val="14"/>
                <w:szCs w:val="14"/>
                <w:color w:val="auto"/>
              </w:rPr>
            </w:pPr>
          </w:p>
        </w:tc>
        <w:tc>
          <w:tcPr>
            <w:tcW w:w="900" w:type="dxa"/>
            <w:vAlign w:val="bottom"/>
            <w:tcBorders>
              <w:right w:val="single" w:sz="8" w:color="5673B8"/>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460"/>
              <w:spacing w:after="0"/>
              <w:rPr>
                <w:sz w:val="20"/>
                <w:szCs w:val="20"/>
                <w:color w:val="auto"/>
              </w:rPr>
            </w:pPr>
            <w:r>
              <w:rPr>
                <w:rFonts w:ascii="Arial" w:cs="Arial" w:eastAsia="Arial" w:hAnsi="Arial"/>
                <w:sz w:val="14"/>
                <w:szCs w:val="14"/>
                <w:color w:val="auto"/>
              </w:rPr>
              <w:t>structure</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tcPr>
          <w:p>
            <w:pPr>
              <w:spacing w:after="0"/>
              <w:rPr>
                <w:sz w:val="16"/>
                <w:szCs w:val="16"/>
                <w:color w:val="auto"/>
              </w:rPr>
            </w:pPr>
          </w:p>
        </w:tc>
        <w:tc>
          <w:tcPr>
            <w:tcW w:w="440" w:type="dxa"/>
            <w:vAlign w:val="bottom"/>
            <w:tcBorders>
              <w:right w:val="single" w:sz="8" w:color="5673B8"/>
            </w:tcBorders>
          </w:tcPr>
          <w:p>
            <w:pPr>
              <w:spacing w:after="0"/>
              <w:rPr>
                <w:sz w:val="16"/>
                <w:szCs w:val="16"/>
                <w:color w:val="auto"/>
              </w:rPr>
            </w:pPr>
          </w:p>
        </w:tc>
        <w:tc>
          <w:tcPr>
            <w:tcW w:w="900" w:type="dxa"/>
            <w:vAlign w:val="bottom"/>
            <w:tcBorders>
              <w:right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3880" w:type="dxa"/>
            <w:vAlign w:val="bottom"/>
            <w:tcBorders>
              <w:bottom w:val="single" w:sz="8" w:color="5673B8"/>
            </w:tcBorders>
          </w:tcPr>
          <w:p>
            <w:pPr>
              <w:spacing w:after="0"/>
              <w:rPr>
                <w:sz w:val="6"/>
                <w:szCs w:val="6"/>
                <w:color w:val="auto"/>
              </w:rPr>
            </w:pPr>
          </w:p>
        </w:tc>
        <w:tc>
          <w:tcPr>
            <w:tcW w:w="180" w:type="dxa"/>
            <w:vAlign w:val="bottom"/>
            <w:tcBorders>
              <w:bottom w:val="single" w:sz="8" w:color="5673B8"/>
              <w:right w:val="single" w:sz="8" w:color="5673B8"/>
            </w:tcBorders>
          </w:tcPr>
          <w:p>
            <w:pPr>
              <w:spacing w:after="0"/>
              <w:rPr>
                <w:sz w:val="6"/>
                <w:szCs w:val="6"/>
                <w:color w:val="auto"/>
              </w:rPr>
            </w:pPr>
          </w:p>
        </w:tc>
        <w:tc>
          <w:tcPr>
            <w:tcW w:w="400" w:type="dxa"/>
            <w:vAlign w:val="bottom"/>
            <w:tcBorders>
              <w:bottom w:val="single" w:sz="8" w:color="5673B8"/>
              <w:right w:val="single" w:sz="8" w:color="5673B8"/>
            </w:tcBorders>
          </w:tcPr>
          <w:p>
            <w:pPr>
              <w:spacing w:after="0"/>
              <w:rPr>
                <w:sz w:val="6"/>
                <w:szCs w:val="6"/>
                <w:color w:val="auto"/>
              </w:rPr>
            </w:pPr>
          </w:p>
        </w:tc>
        <w:tc>
          <w:tcPr>
            <w:tcW w:w="540" w:type="dxa"/>
            <w:vAlign w:val="bottom"/>
            <w:tcBorders>
              <w:bottom w:val="single" w:sz="8" w:color="5673B8"/>
              <w:right w:val="single" w:sz="8" w:color="5673B8"/>
            </w:tcBorders>
          </w:tcPr>
          <w:p>
            <w:pPr>
              <w:spacing w:after="0"/>
              <w:rPr>
                <w:sz w:val="6"/>
                <w:szCs w:val="6"/>
                <w:color w:val="auto"/>
              </w:rPr>
            </w:pPr>
          </w:p>
        </w:tc>
        <w:tc>
          <w:tcPr>
            <w:tcW w:w="540" w:type="dxa"/>
            <w:vAlign w:val="bottom"/>
            <w:tcBorders>
              <w:bottom w:val="single" w:sz="8" w:color="5673B8"/>
              <w:right w:val="single" w:sz="8" w:color="5673B8"/>
            </w:tcBorders>
          </w:tcPr>
          <w:p>
            <w:pPr>
              <w:spacing w:after="0"/>
              <w:rPr>
                <w:sz w:val="6"/>
                <w:szCs w:val="6"/>
                <w:color w:val="auto"/>
              </w:rPr>
            </w:pPr>
          </w:p>
        </w:tc>
        <w:tc>
          <w:tcPr>
            <w:tcW w:w="380" w:type="dxa"/>
            <w:vAlign w:val="bottom"/>
            <w:tcBorders>
              <w:bottom w:val="single" w:sz="8" w:color="5673B8"/>
              <w:right w:val="single" w:sz="8" w:color="5673B8"/>
            </w:tcBorders>
          </w:tcPr>
          <w:p>
            <w:pPr>
              <w:spacing w:after="0"/>
              <w:rPr>
                <w:sz w:val="6"/>
                <w:szCs w:val="6"/>
                <w:color w:val="auto"/>
              </w:rPr>
            </w:pPr>
          </w:p>
        </w:tc>
        <w:tc>
          <w:tcPr>
            <w:tcW w:w="480" w:type="dxa"/>
            <w:vAlign w:val="bottom"/>
            <w:tcBorders>
              <w:bottom w:val="single" w:sz="8" w:color="5673B8"/>
              <w:right w:val="single" w:sz="8" w:color="5673B8"/>
            </w:tcBorders>
          </w:tcPr>
          <w:p>
            <w:pPr>
              <w:spacing w:after="0"/>
              <w:rPr>
                <w:sz w:val="6"/>
                <w:szCs w:val="6"/>
                <w:color w:val="auto"/>
              </w:rPr>
            </w:pPr>
          </w:p>
        </w:tc>
        <w:tc>
          <w:tcPr>
            <w:tcW w:w="640" w:type="dxa"/>
            <w:vAlign w:val="bottom"/>
            <w:tcBorders>
              <w:bottom w:val="single" w:sz="8" w:color="5673B8"/>
              <w:right w:val="single" w:sz="8" w:color="5673B8"/>
            </w:tcBorders>
          </w:tcPr>
          <w:p>
            <w:pPr>
              <w:spacing w:after="0"/>
              <w:rPr>
                <w:sz w:val="6"/>
                <w:szCs w:val="6"/>
                <w:color w:val="auto"/>
              </w:rPr>
            </w:pPr>
          </w:p>
        </w:tc>
        <w:tc>
          <w:tcPr>
            <w:tcW w:w="380" w:type="dxa"/>
            <w:vAlign w:val="bottom"/>
            <w:tcBorders>
              <w:bottom w:val="single" w:sz="8" w:color="5673B8"/>
              <w:right w:val="single" w:sz="8" w:color="5673B8"/>
            </w:tcBorders>
          </w:tcPr>
          <w:p>
            <w:pPr>
              <w:spacing w:after="0"/>
              <w:rPr>
                <w:sz w:val="6"/>
                <w:szCs w:val="6"/>
                <w:color w:val="auto"/>
              </w:rPr>
            </w:pPr>
          </w:p>
        </w:tc>
        <w:tc>
          <w:tcPr>
            <w:tcW w:w="680" w:type="dxa"/>
            <w:vAlign w:val="bottom"/>
            <w:tcBorders>
              <w:bottom w:val="single" w:sz="8" w:color="5673B8"/>
              <w:right w:val="single" w:sz="8" w:color="5673B8"/>
            </w:tcBorders>
          </w:tcPr>
          <w:p>
            <w:pPr>
              <w:spacing w:after="0"/>
              <w:rPr>
                <w:sz w:val="6"/>
                <w:szCs w:val="6"/>
                <w:color w:val="auto"/>
              </w:rPr>
            </w:pPr>
          </w:p>
        </w:tc>
        <w:tc>
          <w:tcPr>
            <w:tcW w:w="620" w:type="dxa"/>
            <w:vAlign w:val="bottom"/>
            <w:tcBorders>
              <w:bottom w:val="single" w:sz="8" w:color="5673B8"/>
              <w:right w:val="single" w:sz="8" w:color="5673B8"/>
            </w:tcBorders>
          </w:tcPr>
          <w:p>
            <w:pPr>
              <w:spacing w:after="0"/>
              <w:rPr>
                <w:sz w:val="6"/>
                <w:szCs w:val="6"/>
                <w:color w:val="auto"/>
              </w:rPr>
            </w:pPr>
          </w:p>
        </w:tc>
        <w:tc>
          <w:tcPr>
            <w:tcW w:w="740" w:type="dxa"/>
            <w:vAlign w:val="bottom"/>
            <w:tcBorders>
              <w:bottom w:val="single" w:sz="8" w:color="5673B8"/>
              <w:right w:val="single" w:sz="8" w:color="5673B8"/>
            </w:tcBorders>
          </w:tcPr>
          <w:p>
            <w:pPr>
              <w:spacing w:after="0"/>
              <w:rPr>
                <w:sz w:val="6"/>
                <w:szCs w:val="6"/>
                <w:color w:val="auto"/>
              </w:rPr>
            </w:pPr>
          </w:p>
        </w:tc>
        <w:tc>
          <w:tcPr>
            <w:tcW w:w="460" w:type="dxa"/>
            <w:vAlign w:val="bottom"/>
            <w:tcBorders>
              <w:bottom w:val="single" w:sz="8" w:color="5673B8"/>
              <w:right w:val="single" w:sz="8" w:color="5673B8"/>
            </w:tcBorders>
          </w:tcPr>
          <w:p>
            <w:pPr>
              <w:spacing w:after="0"/>
              <w:rPr>
                <w:sz w:val="6"/>
                <w:szCs w:val="6"/>
                <w:color w:val="auto"/>
              </w:rPr>
            </w:pPr>
          </w:p>
        </w:tc>
        <w:tc>
          <w:tcPr>
            <w:tcW w:w="440" w:type="dxa"/>
            <w:vAlign w:val="bottom"/>
            <w:tcBorders>
              <w:bottom w:val="single" w:sz="8" w:color="5673B8"/>
              <w:right w:val="single" w:sz="8" w:color="5673B8"/>
            </w:tcBorders>
          </w:tcPr>
          <w:p>
            <w:pPr>
              <w:spacing w:after="0"/>
              <w:rPr>
                <w:sz w:val="6"/>
                <w:szCs w:val="6"/>
                <w:color w:val="auto"/>
              </w:rPr>
            </w:pPr>
          </w:p>
        </w:tc>
        <w:tc>
          <w:tcPr>
            <w:tcW w:w="900" w:type="dxa"/>
            <w:vAlign w:val="bottom"/>
            <w:tcBorders>
              <w:bottom w:val="single" w:sz="8" w:color="5673B8"/>
              <w:right w:val="single" w:sz="8" w:color="5673B8"/>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Merger &amp; Acquisition/Corporate Development</w:t>
            </w:r>
          </w:p>
        </w:tc>
        <w:tc>
          <w:tcPr>
            <w:tcW w:w="180" w:type="dxa"/>
            <w:vAlign w:val="bottom"/>
            <w:tcBorders>
              <w:right w:val="single" w:sz="8" w:color="5673B8"/>
            </w:tcBorders>
          </w:tcPr>
          <w:p>
            <w:pPr>
              <w:spacing w:after="0"/>
              <w:rPr>
                <w:sz w:val="22"/>
                <w:szCs w:val="22"/>
                <w:color w:val="auto"/>
              </w:rPr>
            </w:pPr>
          </w:p>
        </w:tc>
        <w:tc>
          <w:tcPr>
            <w:tcW w:w="400" w:type="dxa"/>
            <w:vAlign w:val="bottom"/>
            <w:tcBorders>
              <w:right w:val="single" w:sz="8" w:color="5673B8"/>
            </w:tcBorders>
          </w:tcPr>
          <w:p>
            <w:pPr>
              <w:spacing w:after="0"/>
              <w:rPr>
                <w:sz w:val="22"/>
                <w:szCs w:val="22"/>
                <w:color w:val="auto"/>
              </w:rPr>
            </w:pP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480" w:type="dxa"/>
            <w:vAlign w:val="bottom"/>
            <w:tcBorders>
              <w:right w:val="single" w:sz="8" w:color="5673B8"/>
            </w:tcBorders>
          </w:tcPr>
          <w:p>
            <w:pPr>
              <w:spacing w:after="0"/>
              <w:rPr>
                <w:sz w:val="22"/>
                <w:szCs w:val="22"/>
                <w:color w:val="auto"/>
              </w:rPr>
            </w:pPr>
          </w:p>
        </w:tc>
        <w:tc>
          <w:tcPr>
            <w:tcW w:w="64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80"/>
              <w:spacing w:after="0"/>
              <w:rPr>
                <w:sz w:val="20"/>
                <w:szCs w:val="20"/>
                <w:color w:val="auto"/>
              </w:rPr>
            </w:pPr>
            <w:r>
              <w:rPr>
                <w:rFonts w:ascii="Arial" w:cs="Arial" w:eastAsia="Arial" w:hAnsi="Arial"/>
                <w:sz w:val="27"/>
                <w:szCs w:val="27"/>
                <w:color w:val="5673B8"/>
              </w:rPr>
              <w:t>●</w:t>
            </w:r>
          </w:p>
        </w:tc>
        <w:tc>
          <w:tcPr>
            <w:tcW w:w="680" w:type="dxa"/>
            <w:vAlign w:val="bottom"/>
            <w:tcBorders>
              <w:right w:val="single" w:sz="8" w:color="5673B8"/>
            </w:tcBorders>
            <w:vMerge w:val="restart"/>
          </w:tcPr>
          <w:p>
            <w:pPr>
              <w:ind w:left="240"/>
              <w:spacing w:after="0"/>
              <w:rPr>
                <w:sz w:val="20"/>
                <w:szCs w:val="20"/>
                <w:color w:val="auto"/>
              </w:rPr>
            </w:pPr>
            <w:r>
              <w:rPr>
                <w:rFonts w:ascii="Arial" w:cs="Arial" w:eastAsia="Arial" w:hAnsi="Arial"/>
                <w:sz w:val="27"/>
                <w:szCs w:val="27"/>
                <w:color w:val="5673B8"/>
              </w:rPr>
              <w:t>●</w:t>
            </w:r>
          </w:p>
        </w:tc>
        <w:tc>
          <w:tcPr>
            <w:tcW w:w="62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740" w:type="dxa"/>
            <w:vAlign w:val="bottom"/>
            <w:tcBorders>
              <w:right w:val="single" w:sz="8" w:color="5673B8"/>
            </w:tcBorders>
          </w:tcPr>
          <w:p>
            <w:pPr>
              <w:spacing w:after="0"/>
              <w:rPr>
                <w:sz w:val="22"/>
                <w:szCs w:val="22"/>
                <w:color w:val="auto"/>
              </w:rPr>
            </w:pPr>
          </w:p>
        </w:tc>
        <w:tc>
          <w:tcPr>
            <w:tcW w:w="46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440" w:type="dxa"/>
            <w:vAlign w:val="bottom"/>
            <w:tcBorders>
              <w:right w:val="single" w:sz="8" w:color="5673B8"/>
            </w:tcBorders>
          </w:tcPr>
          <w:p>
            <w:pPr>
              <w:spacing w:after="0"/>
              <w:rPr>
                <w:sz w:val="22"/>
                <w:szCs w:val="22"/>
                <w:color w:val="auto"/>
              </w:rPr>
            </w:pPr>
          </w:p>
        </w:tc>
        <w:tc>
          <w:tcPr>
            <w:tcW w:w="900" w:type="dxa"/>
            <w:vAlign w:val="bottom"/>
            <w:tcBorders>
              <w:right w:val="single" w:sz="8" w:color="5673B8"/>
            </w:tcBorders>
            <w:vMerge w:val="restart"/>
          </w:tcPr>
          <w:p>
            <w:pPr>
              <w:ind w:left="360"/>
              <w:spacing w:after="0"/>
              <w:rPr>
                <w:sz w:val="20"/>
                <w:szCs w:val="20"/>
                <w:color w:val="auto"/>
              </w:rPr>
            </w:pPr>
            <w:r>
              <w:rPr>
                <w:rFonts w:ascii="Arial" w:cs="Arial" w:eastAsia="Arial" w:hAnsi="Arial"/>
                <w:sz w:val="27"/>
                <w:szCs w:val="27"/>
                <w:color w:val="5673B8"/>
              </w:rPr>
              <w:t>●</w:t>
            </w:r>
          </w:p>
        </w:tc>
        <w:tc>
          <w:tcPr>
            <w:tcW w:w="0" w:type="dxa"/>
            <w:vAlign w:val="bottom"/>
          </w:tcPr>
          <w:p>
            <w:pPr>
              <w:spacing w:after="0"/>
              <w:rPr>
                <w:sz w:val="1"/>
                <w:szCs w:val="1"/>
                <w:color w:val="auto"/>
              </w:rPr>
            </w:pPr>
          </w:p>
        </w:tc>
      </w:tr>
      <w:tr>
        <w:trPr>
          <w:trHeight w:val="182"/>
        </w:trPr>
        <w:tc>
          <w:tcPr>
            <w:tcW w:w="3880" w:type="dxa"/>
            <w:vAlign w:val="bottom"/>
          </w:tcPr>
          <w:p>
            <w:pPr>
              <w:ind w:left="460"/>
              <w:spacing w:after="0"/>
              <w:rPr>
                <w:sz w:val="20"/>
                <w:szCs w:val="20"/>
                <w:color w:val="auto"/>
              </w:rPr>
            </w:pPr>
            <w:r>
              <w:rPr>
                <w:rFonts w:ascii="Arial" w:cs="Arial" w:eastAsia="Arial" w:hAnsi="Arial"/>
                <w:sz w:val="14"/>
                <w:szCs w:val="14"/>
                <w:color w:val="auto"/>
              </w:rPr>
              <w:t>Experience or expertise in structuring financing and</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480" w:type="dxa"/>
            <w:vAlign w:val="bottom"/>
            <w:tcBorders>
              <w:right w:val="single" w:sz="8" w:color="5673B8"/>
            </w:tcBorders>
          </w:tcPr>
          <w:p>
            <w:pPr>
              <w:spacing w:after="0"/>
              <w:rPr>
                <w:sz w:val="15"/>
                <w:szCs w:val="15"/>
                <w:color w:val="auto"/>
              </w:rPr>
            </w:pPr>
          </w:p>
        </w:tc>
        <w:tc>
          <w:tcPr>
            <w:tcW w:w="6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680" w:type="dxa"/>
            <w:vAlign w:val="bottom"/>
            <w:tcBorders>
              <w:right w:val="single" w:sz="8" w:color="5673B8"/>
            </w:tcBorders>
            <w:vMerge w:val="continue"/>
          </w:tcPr>
          <w:p>
            <w:pPr>
              <w:spacing w:after="0"/>
              <w:rPr>
                <w:sz w:val="15"/>
                <w:szCs w:val="15"/>
                <w:color w:val="auto"/>
              </w:rPr>
            </w:pPr>
          </w:p>
        </w:tc>
        <w:tc>
          <w:tcPr>
            <w:tcW w:w="620" w:type="dxa"/>
            <w:vAlign w:val="bottom"/>
            <w:tcBorders>
              <w:right w:val="single" w:sz="8" w:color="5673B8"/>
            </w:tcBorders>
            <w:vMerge w:val="continue"/>
          </w:tcPr>
          <w:p>
            <w:pPr>
              <w:spacing w:after="0"/>
              <w:rPr>
                <w:sz w:val="15"/>
                <w:szCs w:val="15"/>
                <w:color w:val="auto"/>
              </w:rPr>
            </w:pPr>
          </w:p>
        </w:tc>
        <w:tc>
          <w:tcPr>
            <w:tcW w:w="740" w:type="dxa"/>
            <w:vAlign w:val="bottom"/>
            <w:tcBorders>
              <w:right w:val="single" w:sz="8" w:color="5673B8"/>
            </w:tcBorders>
          </w:tcPr>
          <w:p>
            <w:pPr>
              <w:spacing w:after="0"/>
              <w:rPr>
                <w:sz w:val="15"/>
                <w:szCs w:val="15"/>
                <w:color w:val="auto"/>
              </w:rPr>
            </w:pPr>
          </w:p>
        </w:tc>
        <w:tc>
          <w:tcPr>
            <w:tcW w:w="460" w:type="dxa"/>
            <w:vAlign w:val="bottom"/>
            <w:tcBorders>
              <w:right w:val="single" w:sz="8" w:color="5673B8"/>
            </w:tcBorders>
            <w:vMerge w:val="continue"/>
          </w:tcPr>
          <w:p>
            <w:pPr>
              <w:spacing w:after="0"/>
              <w:rPr>
                <w:sz w:val="15"/>
                <w:szCs w:val="15"/>
                <w:color w:val="auto"/>
              </w:rPr>
            </w:pP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80" w:type="dxa"/>
            <w:vAlign w:val="bottom"/>
          </w:tcPr>
          <w:p>
            <w:pPr>
              <w:ind w:left="460"/>
              <w:spacing w:after="0"/>
              <w:rPr>
                <w:sz w:val="20"/>
                <w:szCs w:val="20"/>
                <w:color w:val="auto"/>
              </w:rPr>
            </w:pPr>
            <w:r>
              <w:rPr>
                <w:rFonts w:ascii="Arial" w:cs="Arial" w:eastAsia="Arial" w:hAnsi="Arial"/>
                <w:sz w:val="14"/>
                <w:szCs w:val="14"/>
                <w:color w:val="auto"/>
              </w:rPr>
              <w:t>executing strategic acquisitions, partnerships, and</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480" w:type="dxa"/>
            <w:vAlign w:val="bottom"/>
            <w:tcBorders>
              <w:right w:val="single" w:sz="8" w:color="5673B8"/>
            </w:tcBorders>
          </w:tcPr>
          <w:p>
            <w:pPr>
              <w:spacing w:after="0"/>
              <w:rPr>
                <w:sz w:val="15"/>
                <w:szCs w:val="15"/>
                <w:color w:val="auto"/>
              </w:rPr>
            </w:pPr>
          </w:p>
        </w:tc>
        <w:tc>
          <w:tcPr>
            <w:tcW w:w="6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680" w:type="dxa"/>
            <w:vAlign w:val="bottom"/>
            <w:tcBorders>
              <w:right w:val="single" w:sz="8" w:color="5673B8"/>
            </w:tcBorders>
            <w:vMerge w:val="continue"/>
          </w:tcPr>
          <w:p>
            <w:pPr>
              <w:spacing w:after="0"/>
              <w:rPr>
                <w:sz w:val="15"/>
                <w:szCs w:val="15"/>
                <w:color w:val="auto"/>
              </w:rPr>
            </w:pPr>
          </w:p>
        </w:tc>
        <w:tc>
          <w:tcPr>
            <w:tcW w:w="620" w:type="dxa"/>
            <w:vAlign w:val="bottom"/>
            <w:tcBorders>
              <w:right w:val="single" w:sz="8" w:color="5673B8"/>
            </w:tcBorders>
            <w:vMerge w:val="continue"/>
          </w:tcPr>
          <w:p>
            <w:pPr>
              <w:spacing w:after="0"/>
              <w:rPr>
                <w:sz w:val="15"/>
                <w:szCs w:val="15"/>
                <w:color w:val="auto"/>
              </w:rPr>
            </w:pPr>
          </w:p>
        </w:tc>
        <w:tc>
          <w:tcPr>
            <w:tcW w:w="740" w:type="dxa"/>
            <w:vAlign w:val="bottom"/>
            <w:tcBorders>
              <w:right w:val="single" w:sz="8" w:color="5673B8"/>
            </w:tcBorders>
          </w:tcPr>
          <w:p>
            <w:pPr>
              <w:spacing w:after="0"/>
              <w:rPr>
                <w:sz w:val="15"/>
                <w:szCs w:val="15"/>
                <w:color w:val="auto"/>
              </w:rPr>
            </w:pPr>
          </w:p>
        </w:tc>
        <w:tc>
          <w:tcPr>
            <w:tcW w:w="460" w:type="dxa"/>
            <w:vAlign w:val="bottom"/>
            <w:tcBorders>
              <w:right w:val="single" w:sz="8" w:color="5673B8"/>
            </w:tcBorders>
            <w:vMerge w:val="continue"/>
          </w:tcPr>
          <w:p>
            <w:pPr>
              <w:spacing w:after="0"/>
              <w:rPr>
                <w:sz w:val="15"/>
                <w:szCs w:val="15"/>
                <w:color w:val="auto"/>
              </w:rPr>
            </w:pP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460"/>
              <w:spacing w:after="0"/>
              <w:rPr>
                <w:sz w:val="20"/>
                <w:szCs w:val="20"/>
                <w:color w:val="auto"/>
              </w:rPr>
            </w:pPr>
            <w:r>
              <w:rPr>
                <w:rFonts w:ascii="Arial" w:cs="Arial" w:eastAsia="Arial" w:hAnsi="Arial"/>
                <w:sz w:val="14"/>
                <w:szCs w:val="14"/>
                <w:color w:val="auto"/>
              </w:rPr>
              <w:t>other corporate development activities</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tcPr>
          <w:p>
            <w:pPr>
              <w:spacing w:after="0"/>
              <w:rPr>
                <w:sz w:val="16"/>
                <w:szCs w:val="16"/>
                <w:color w:val="auto"/>
              </w:rPr>
            </w:pPr>
          </w:p>
        </w:tc>
        <w:tc>
          <w:tcPr>
            <w:tcW w:w="440" w:type="dxa"/>
            <w:vAlign w:val="bottom"/>
            <w:tcBorders>
              <w:right w:val="single" w:sz="8" w:color="5673B8"/>
            </w:tcBorders>
          </w:tcPr>
          <w:p>
            <w:pPr>
              <w:spacing w:after="0"/>
              <w:rPr>
                <w:sz w:val="16"/>
                <w:szCs w:val="16"/>
                <w:color w:val="auto"/>
              </w:rPr>
            </w:pPr>
          </w:p>
        </w:tc>
        <w:tc>
          <w:tcPr>
            <w:tcW w:w="900" w:type="dxa"/>
            <w:vAlign w:val="bottom"/>
            <w:tcBorders>
              <w:right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880" w:type="dxa"/>
            <w:vAlign w:val="bottom"/>
            <w:tcBorders>
              <w:bottom w:val="single" w:sz="8" w:color="5673B8"/>
            </w:tcBorders>
          </w:tcPr>
          <w:p>
            <w:pPr>
              <w:spacing w:after="0"/>
              <w:rPr>
                <w:sz w:val="5"/>
                <w:szCs w:val="5"/>
                <w:color w:val="auto"/>
              </w:rPr>
            </w:pPr>
          </w:p>
        </w:tc>
        <w:tc>
          <w:tcPr>
            <w:tcW w:w="180" w:type="dxa"/>
            <w:vAlign w:val="bottom"/>
            <w:tcBorders>
              <w:bottom w:val="single" w:sz="8" w:color="5673B8"/>
              <w:right w:val="single" w:sz="8" w:color="5673B8"/>
            </w:tcBorders>
          </w:tcPr>
          <w:p>
            <w:pPr>
              <w:spacing w:after="0"/>
              <w:rPr>
                <w:sz w:val="5"/>
                <w:szCs w:val="5"/>
                <w:color w:val="auto"/>
              </w:rPr>
            </w:pPr>
          </w:p>
        </w:tc>
        <w:tc>
          <w:tcPr>
            <w:tcW w:w="40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480" w:type="dxa"/>
            <w:vAlign w:val="bottom"/>
            <w:tcBorders>
              <w:bottom w:val="single" w:sz="8" w:color="5673B8"/>
              <w:right w:val="single" w:sz="8" w:color="5673B8"/>
            </w:tcBorders>
          </w:tcPr>
          <w:p>
            <w:pPr>
              <w:spacing w:after="0"/>
              <w:rPr>
                <w:sz w:val="5"/>
                <w:szCs w:val="5"/>
                <w:color w:val="auto"/>
              </w:rPr>
            </w:pPr>
          </w:p>
        </w:tc>
        <w:tc>
          <w:tcPr>
            <w:tcW w:w="6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680" w:type="dxa"/>
            <w:vAlign w:val="bottom"/>
            <w:tcBorders>
              <w:bottom w:val="single" w:sz="8" w:color="5673B8"/>
              <w:right w:val="single" w:sz="8" w:color="5673B8"/>
            </w:tcBorders>
          </w:tcPr>
          <w:p>
            <w:pPr>
              <w:spacing w:after="0"/>
              <w:rPr>
                <w:sz w:val="5"/>
                <w:szCs w:val="5"/>
                <w:color w:val="auto"/>
              </w:rPr>
            </w:pPr>
          </w:p>
        </w:tc>
        <w:tc>
          <w:tcPr>
            <w:tcW w:w="620" w:type="dxa"/>
            <w:vAlign w:val="bottom"/>
            <w:tcBorders>
              <w:bottom w:val="single" w:sz="8" w:color="5673B8"/>
              <w:right w:val="single" w:sz="8" w:color="5673B8"/>
            </w:tcBorders>
          </w:tcPr>
          <w:p>
            <w:pPr>
              <w:spacing w:after="0"/>
              <w:rPr>
                <w:sz w:val="5"/>
                <w:szCs w:val="5"/>
                <w:color w:val="auto"/>
              </w:rPr>
            </w:pPr>
          </w:p>
        </w:tc>
        <w:tc>
          <w:tcPr>
            <w:tcW w:w="740" w:type="dxa"/>
            <w:vAlign w:val="bottom"/>
            <w:tcBorders>
              <w:bottom w:val="single" w:sz="8" w:color="5673B8"/>
              <w:right w:val="single" w:sz="8" w:color="5673B8"/>
            </w:tcBorders>
          </w:tcPr>
          <w:p>
            <w:pPr>
              <w:spacing w:after="0"/>
              <w:rPr>
                <w:sz w:val="5"/>
                <w:szCs w:val="5"/>
                <w:color w:val="auto"/>
              </w:rPr>
            </w:pPr>
          </w:p>
        </w:tc>
        <w:tc>
          <w:tcPr>
            <w:tcW w:w="460" w:type="dxa"/>
            <w:vAlign w:val="bottom"/>
            <w:tcBorders>
              <w:bottom w:val="single" w:sz="8" w:color="5673B8"/>
              <w:right w:val="single" w:sz="8" w:color="5673B8"/>
            </w:tcBorders>
          </w:tcPr>
          <w:p>
            <w:pPr>
              <w:spacing w:after="0"/>
              <w:rPr>
                <w:sz w:val="5"/>
                <w:szCs w:val="5"/>
                <w:color w:val="auto"/>
              </w:rPr>
            </w:pPr>
          </w:p>
        </w:tc>
        <w:tc>
          <w:tcPr>
            <w:tcW w:w="440" w:type="dxa"/>
            <w:vAlign w:val="bottom"/>
            <w:tcBorders>
              <w:bottom w:val="single" w:sz="8" w:color="5673B8"/>
              <w:right w:val="single" w:sz="8" w:color="5673B8"/>
            </w:tcBorders>
          </w:tcPr>
          <w:p>
            <w:pPr>
              <w:spacing w:after="0"/>
              <w:rPr>
                <w:sz w:val="5"/>
                <w:szCs w:val="5"/>
                <w:color w:val="auto"/>
              </w:rPr>
            </w:pPr>
          </w:p>
        </w:tc>
        <w:tc>
          <w:tcPr>
            <w:tcW w:w="900" w:type="dxa"/>
            <w:vAlign w:val="bottom"/>
            <w:tcBorders>
              <w:bottom w:val="single" w:sz="8" w:color="5673B8"/>
              <w:right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Commercial Experience</w:t>
            </w:r>
          </w:p>
        </w:tc>
        <w:tc>
          <w:tcPr>
            <w:tcW w:w="180" w:type="dxa"/>
            <w:vAlign w:val="bottom"/>
            <w:tcBorders>
              <w:right w:val="single" w:sz="8" w:color="5673B8"/>
            </w:tcBorders>
          </w:tcPr>
          <w:p>
            <w:pPr>
              <w:spacing w:after="0"/>
              <w:rPr>
                <w:sz w:val="22"/>
                <w:szCs w:val="22"/>
                <w:color w:val="auto"/>
              </w:rPr>
            </w:pPr>
          </w:p>
        </w:tc>
        <w:tc>
          <w:tcPr>
            <w:tcW w:w="400" w:type="dxa"/>
            <w:vAlign w:val="bottom"/>
            <w:tcBorders>
              <w:right w:val="single" w:sz="8" w:color="5673B8"/>
            </w:tcBorders>
          </w:tcPr>
          <w:p>
            <w:pPr>
              <w:spacing w:after="0"/>
              <w:rPr>
                <w:sz w:val="22"/>
                <w:szCs w:val="22"/>
                <w:color w:val="auto"/>
              </w:rPr>
            </w:pPr>
          </w:p>
        </w:tc>
        <w:tc>
          <w:tcPr>
            <w:tcW w:w="540" w:type="dxa"/>
            <w:vAlign w:val="bottom"/>
            <w:tcBorders>
              <w:right w:val="single" w:sz="8" w:color="5673B8"/>
            </w:tcBorders>
          </w:tcPr>
          <w:p>
            <w:pPr>
              <w:spacing w:after="0"/>
              <w:rPr>
                <w:sz w:val="22"/>
                <w:szCs w:val="22"/>
                <w:color w:val="auto"/>
              </w:rPr>
            </w:pPr>
          </w:p>
        </w:tc>
        <w:tc>
          <w:tcPr>
            <w:tcW w:w="540" w:type="dxa"/>
            <w:vAlign w:val="bottom"/>
            <w:tcBorders>
              <w:right w:val="single" w:sz="8" w:color="5673B8"/>
            </w:tcBorders>
          </w:tcPr>
          <w:p>
            <w:pPr>
              <w:spacing w:after="0"/>
              <w:rPr>
                <w:sz w:val="22"/>
                <w:szCs w:val="22"/>
                <w:color w:val="auto"/>
              </w:rPr>
            </w:pPr>
          </w:p>
        </w:tc>
        <w:tc>
          <w:tcPr>
            <w:tcW w:w="380" w:type="dxa"/>
            <w:vAlign w:val="bottom"/>
            <w:tcBorders>
              <w:right w:val="single" w:sz="8" w:color="5673B8"/>
            </w:tcBorders>
          </w:tcPr>
          <w:p>
            <w:pPr>
              <w:spacing w:after="0"/>
              <w:rPr>
                <w:sz w:val="22"/>
                <w:szCs w:val="22"/>
                <w:color w:val="auto"/>
              </w:rPr>
            </w:pPr>
          </w:p>
        </w:tc>
        <w:tc>
          <w:tcPr>
            <w:tcW w:w="480" w:type="dxa"/>
            <w:vAlign w:val="bottom"/>
            <w:tcBorders>
              <w:right w:val="single" w:sz="8" w:color="5673B8"/>
            </w:tcBorders>
          </w:tcPr>
          <w:p>
            <w:pPr>
              <w:spacing w:after="0"/>
              <w:rPr>
                <w:sz w:val="22"/>
                <w:szCs w:val="22"/>
                <w:color w:val="auto"/>
              </w:rPr>
            </w:pPr>
          </w:p>
        </w:tc>
        <w:tc>
          <w:tcPr>
            <w:tcW w:w="640" w:type="dxa"/>
            <w:vAlign w:val="bottom"/>
            <w:tcBorders>
              <w:right w:val="single" w:sz="8" w:color="5673B8"/>
            </w:tcBorders>
          </w:tcPr>
          <w:p>
            <w:pPr>
              <w:spacing w:after="0"/>
              <w:rPr>
                <w:sz w:val="22"/>
                <w:szCs w:val="22"/>
                <w:color w:val="auto"/>
              </w:rPr>
            </w:pPr>
          </w:p>
        </w:tc>
        <w:tc>
          <w:tcPr>
            <w:tcW w:w="380" w:type="dxa"/>
            <w:vAlign w:val="bottom"/>
            <w:tcBorders>
              <w:right w:val="single" w:sz="8" w:color="5673B8"/>
            </w:tcBorders>
          </w:tcPr>
          <w:p>
            <w:pPr>
              <w:spacing w:after="0"/>
              <w:rPr>
                <w:sz w:val="22"/>
                <w:szCs w:val="22"/>
                <w:color w:val="auto"/>
              </w:rPr>
            </w:pPr>
          </w:p>
        </w:tc>
        <w:tc>
          <w:tcPr>
            <w:tcW w:w="680" w:type="dxa"/>
            <w:vAlign w:val="bottom"/>
            <w:tcBorders>
              <w:right w:val="single" w:sz="8" w:color="5673B8"/>
            </w:tcBorders>
          </w:tcPr>
          <w:p>
            <w:pPr>
              <w:spacing w:after="0"/>
              <w:rPr>
                <w:sz w:val="22"/>
                <w:szCs w:val="22"/>
                <w:color w:val="auto"/>
              </w:rPr>
            </w:pPr>
          </w:p>
        </w:tc>
        <w:tc>
          <w:tcPr>
            <w:tcW w:w="620" w:type="dxa"/>
            <w:vAlign w:val="bottom"/>
            <w:tcBorders>
              <w:right w:val="single" w:sz="8" w:color="5673B8"/>
            </w:tcBorders>
          </w:tcPr>
          <w:p>
            <w:pPr>
              <w:spacing w:after="0"/>
              <w:rPr>
                <w:sz w:val="22"/>
                <w:szCs w:val="22"/>
                <w:color w:val="auto"/>
              </w:rPr>
            </w:pPr>
          </w:p>
        </w:tc>
        <w:tc>
          <w:tcPr>
            <w:tcW w:w="740" w:type="dxa"/>
            <w:vAlign w:val="bottom"/>
            <w:tcBorders>
              <w:right w:val="single" w:sz="8" w:color="5673B8"/>
            </w:tcBorders>
          </w:tcPr>
          <w:p>
            <w:pPr>
              <w:spacing w:after="0"/>
              <w:rPr>
                <w:sz w:val="22"/>
                <w:szCs w:val="22"/>
                <w:color w:val="auto"/>
              </w:rPr>
            </w:pPr>
          </w:p>
        </w:tc>
        <w:tc>
          <w:tcPr>
            <w:tcW w:w="460" w:type="dxa"/>
            <w:vAlign w:val="bottom"/>
            <w:tcBorders>
              <w:right w:val="single" w:sz="8" w:color="5673B8"/>
            </w:tcBorders>
          </w:tcPr>
          <w:p>
            <w:pPr>
              <w:spacing w:after="0"/>
              <w:rPr>
                <w:sz w:val="22"/>
                <w:szCs w:val="22"/>
                <w:color w:val="auto"/>
              </w:rPr>
            </w:pPr>
          </w:p>
        </w:tc>
        <w:tc>
          <w:tcPr>
            <w:tcW w:w="440" w:type="dxa"/>
            <w:vAlign w:val="bottom"/>
            <w:tcBorders>
              <w:right w:val="single" w:sz="8" w:color="5673B8"/>
            </w:tcBorders>
          </w:tcPr>
          <w:p>
            <w:pPr>
              <w:spacing w:after="0"/>
              <w:rPr>
                <w:sz w:val="22"/>
                <w:szCs w:val="22"/>
                <w:color w:val="auto"/>
              </w:rPr>
            </w:pPr>
          </w:p>
        </w:tc>
        <w:tc>
          <w:tcPr>
            <w:tcW w:w="900" w:type="dxa"/>
            <w:vAlign w:val="bottom"/>
            <w:tcBorders>
              <w:right w:val="single" w:sz="8" w:color="5673B8"/>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880" w:type="dxa"/>
            <w:vAlign w:val="bottom"/>
          </w:tcPr>
          <w:p>
            <w:pPr>
              <w:ind w:left="460"/>
              <w:spacing w:after="0"/>
              <w:rPr>
                <w:sz w:val="20"/>
                <w:szCs w:val="20"/>
                <w:color w:val="auto"/>
              </w:rPr>
            </w:pPr>
            <w:r>
              <w:rPr>
                <w:rFonts w:ascii="Arial" w:cs="Arial" w:eastAsia="Arial" w:hAnsi="Arial"/>
                <w:sz w:val="14"/>
                <w:szCs w:val="14"/>
                <w:color w:val="auto"/>
              </w:rPr>
              <w:t>Experience or expertise in cultivating a large or</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48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64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80"/>
              <w:spacing w:after="0"/>
              <w:rPr>
                <w:sz w:val="20"/>
                <w:szCs w:val="20"/>
                <w:color w:val="auto"/>
              </w:rPr>
            </w:pPr>
            <w:r>
              <w:rPr>
                <w:rFonts w:ascii="Arial" w:cs="Arial" w:eastAsia="Arial" w:hAnsi="Arial"/>
                <w:sz w:val="27"/>
                <w:szCs w:val="27"/>
                <w:color w:val="5673B8"/>
              </w:rPr>
              <w:t>●</w:t>
            </w:r>
          </w:p>
        </w:tc>
        <w:tc>
          <w:tcPr>
            <w:tcW w:w="680" w:type="dxa"/>
            <w:vAlign w:val="bottom"/>
            <w:tcBorders>
              <w:right w:val="single" w:sz="8" w:color="5673B8"/>
            </w:tcBorders>
            <w:vMerge w:val="restart"/>
          </w:tcPr>
          <w:p>
            <w:pPr>
              <w:ind w:left="240"/>
              <w:spacing w:after="0"/>
              <w:rPr>
                <w:sz w:val="20"/>
                <w:szCs w:val="20"/>
                <w:color w:val="auto"/>
              </w:rPr>
            </w:pPr>
            <w:r>
              <w:rPr>
                <w:rFonts w:ascii="Arial" w:cs="Arial" w:eastAsia="Arial" w:hAnsi="Arial"/>
                <w:sz w:val="27"/>
                <w:szCs w:val="27"/>
                <w:color w:val="5673B8"/>
              </w:rPr>
              <w:t>●</w:t>
            </w:r>
          </w:p>
        </w:tc>
        <w:tc>
          <w:tcPr>
            <w:tcW w:w="62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740" w:type="dxa"/>
            <w:vAlign w:val="bottom"/>
            <w:tcBorders>
              <w:right w:val="single" w:sz="8" w:color="5673B8"/>
            </w:tcBorders>
          </w:tcPr>
          <w:p>
            <w:pPr>
              <w:spacing w:after="0"/>
              <w:rPr>
                <w:sz w:val="15"/>
                <w:szCs w:val="15"/>
                <w:color w:val="auto"/>
              </w:rPr>
            </w:pPr>
          </w:p>
        </w:tc>
        <w:tc>
          <w:tcPr>
            <w:tcW w:w="46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vMerge w:val="restart"/>
          </w:tcPr>
          <w:p>
            <w:pPr>
              <w:ind w:left="360"/>
              <w:spacing w:after="0"/>
              <w:rPr>
                <w:sz w:val="20"/>
                <w:szCs w:val="20"/>
                <w:color w:val="auto"/>
              </w:rPr>
            </w:pPr>
            <w:r>
              <w:rPr>
                <w:rFonts w:ascii="Arial" w:cs="Arial" w:eastAsia="Arial" w:hAnsi="Arial"/>
                <w:sz w:val="27"/>
                <w:szCs w:val="27"/>
                <w:color w:val="5673B8"/>
              </w:rPr>
              <w:t>●</w:t>
            </w:r>
          </w:p>
        </w:tc>
        <w:tc>
          <w:tcPr>
            <w:tcW w:w="0" w:type="dxa"/>
            <w:vAlign w:val="bottom"/>
          </w:tcPr>
          <w:p>
            <w:pPr>
              <w:spacing w:after="0"/>
              <w:rPr>
                <w:sz w:val="1"/>
                <w:szCs w:val="1"/>
                <w:color w:val="auto"/>
              </w:rPr>
            </w:pPr>
          </w:p>
        </w:tc>
      </w:tr>
      <w:tr>
        <w:trPr>
          <w:trHeight w:val="175"/>
        </w:trPr>
        <w:tc>
          <w:tcPr>
            <w:tcW w:w="3880" w:type="dxa"/>
            <w:vAlign w:val="bottom"/>
          </w:tcPr>
          <w:p>
            <w:pPr>
              <w:ind w:left="460"/>
              <w:spacing w:after="0"/>
              <w:rPr>
                <w:sz w:val="20"/>
                <w:szCs w:val="20"/>
                <w:color w:val="auto"/>
              </w:rPr>
            </w:pPr>
            <w:r>
              <w:rPr>
                <w:rFonts w:ascii="Arial" w:cs="Arial" w:eastAsia="Arial" w:hAnsi="Arial"/>
                <w:sz w:val="14"/>
                <w:szCs w:val="14"/>
                <w:color w:val="auto"/>
              </w:rPr>
              <w:t>growing business’s brand equity, the development</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480" w:type="dxa"/>
            <w:vAlign w:val="bottom"/>
            <w:tcBorders>
              <w:right w:val="single" w:sz="8" w:color="5673B8"/>
            </w:tcBorders>
            <w:vMerge w:val="continue"/>
          </w:tcPr>
          <w:p>
            <w:pPr>
              <w:spacing w:after="0"/>
              <w:rPr>
                <w:sz w:val="15"/>
                <w:szCs w:val="15"/>
                <w:color w:val="auto"/>
              </w:rPr>
            </w:pPr>
          </w:p>
        </w:tc>
        <w:tc>
          <w:tcPr>
            <w:tcW w:w="6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680" w:type="dxa"/>
            <w:vAlign w:val="bottom"/>
            <w:tcBorders>
              <w:right w:val="single" w:sz="8" w:color="5673B8"/>
            </w:tcBorders>
            <w:vMerge w:val="continue"/>
          </w:tcPr>
          <w:p>
            <w:pPr>
              <w:spacing w:after="0"/>
              <w:rPr>
                <w:sz w:val="15"/>
                <w:szCs w:val="15"/>
                <w:color w:val="auto"/>
              </w:rPr>
            </w:pPr>
          </w:p>
        </w:tc>
        <w:tc>
          <w:tcPr>
            <w:tcW w:w="620" w:type="dxa"/>
            <w:vAlign w:val="bottom"/>
            <w:tcBorders>
              <w:right w:val="single" w:sz="8" w:color="5673B8"/>
            </w:tcBorders>
            <w:vMerge w:val="continue"/>
          </w:tcPr>
          <w:p>
            <w:pPr>
              <w:spacing w:after="0"/>
              <w:rPr>
                <w:sz w:val="15"/>
                <w:szCs w:val="15"/>
                <w:color w:val="auto"/>
              </w:rPr>
            </w:pPr>
          </w:p>
        </w:tc>
        <w:tc>
          <w:tcPr>
            <w:tcW w:w="740" w:type="dxa"/>
            <w:vAlign w:val="bottom"/>
            <w:tcBorders>
              <w:right w:val="single" w:sz="8" w:color="5673B8"/>
            </w:tcBorders>
          </w:tcPr>
          <w:p>
            <w:pPr>
              <w:spacing w:after="0"/>
              <w:rPr>
                <w:sz w:val="15"/>
                <w:szCs w:val="15"/>
                <w:color w:val="auto"/>
              </w:rPr>
            </w:pPr>
          </w:p>
        </w:tc>
        <w:tc>
          <w:tcPr>
            <w:tcW w:w="460" w:type="dxa"/>
            <w:vAlign w:val="bottom"/>
            <w:tcBorders>
              <w:right w:val="single" w:sz="8" w:color="5673B8"/>
            </w:tcBorders>
            <w:vMerge w:val="continue"/>
          </w:tcPr>
          <w:p>
            <w:pPr>
              <w:spacing w:after="0"/>
              <w:rPr>
                <w:sz w:val="15"/>
                <w:szCs w:val="15"/>
                <w:color w:val="auto"/>
              </w:rPr>
            </w:pP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460"/>
              <w:spacing w:after="0"/>
              <w:rPr>
                <w:sz w:val="20"/>
                <w:szCs w:val="20"/>
                <w:color w:val="auto"/>
              </w:rPr>
            </w:pPr>
            <w:r>
              <w:rPr>
                <w:rFonts w:ascii="Arial" w:cs="Arial" w:eastAsia="Arial" w:hAnsi="Arial"/>
                <w:sz w:val="14"/>
                <w:szCs w:val="14"/>
                <w:color w:val="auto"/>
              </w:rPr>
              <w:t>and management of business relationships with</w:t>
            </w:r>
          </w:p>
        </w:tc>
        <w:tc>
          <w:tcPr>
            <w:tcW w:w="180" w:type="dxa"/>
            <w:vAlign w:val="bottom"/>
            <w:tcBorders>
              <w:right w:val="single" w:sz="8" w:color="5673B8"/>
            </w:tcBorders>
          </w:tcPr>
          <w:p>
            <w:pPr>
              <w:spacing w:after="0"/>
              <w:rPr>
                <w:sz w:val="14"/>
                <w:szCs w:val="14"/>
                <w:color w:val="auto"/>
              </w:rPr>
            </w:pPr>
          </w:p>
        </w:tc>
        <w:tc>
          <w:tcPr>
            <w:tcW w:w="400" w:type="dxa"/>
            <w:vAlign w:val="bottom"/>
            <w:tcBorders>
              <w:right w:val="single" w:sz="8" w:color="5673B8"/>
            </w:tcBorders>
            <w:vMerge w:val="continue"/>
          </w:tcPr>
          <w:p>
            <w:pPr>
              <w:spacing w:after="0"/>
              <w:rPr>
                <w:sz w:val="14"/>
                <w:szCs w:val="14"/>
                <w:color w:val="auto"/>
              </w:rPr>
            </w:pPr>
          </w:p>
        </w:tc>
        <w:tc>
          <w:tcPr>
            <w:tcW w:w="540" w:type="dxa"/>
            <w:vAlign w:val="bottom"/>
            <w:tcBorders>
              <w:right w:val="single" w:sz="8" w:color="5673B8"/>
            </w:tcBorders>
            <w:vMerge w:val="continue"/>
          </w:tcPr>
          <w:p>
            <w:pPr>
              <w:spacing w:after="0"/>
              <w:rPr>
                <w:sz w:val="14"/>
                <w:szCs w:val="14"/>
                <w:color w:val="auto"/>
              </w:rPr>
            </w:pPr>
          </w:p>
        </w:tc>
        <w:tc>
          <w:tcPr>
            <w:tcW w:w="540" w:type="dxa"/>
            <w:vAlign w:val="bottom"/>
            <w:tcBorders>
              <w:right w:val="single" w:sz="8" w:color="5673B8"/>
            </w:tcBorders>
            <w:vMerge w:val="continue"/>
          </w:tcPr>
          <w:p>
            <w:pPr>
              <w:spacing w:after="0"/>
              <w:rPr>
                <w:sz w:val="14"/>
                <w:szCs w:val="14"/>
                <w:color w:val="auto"/>
              </w:rPr>
            </w:pPr>
          </w:p>
        </w:tc>
        <w:tc>
          <w:tcPr>
            <w:tcW w:w="380" w:type="dxa"/>
            <w:vAlign w:val="bottom"/>
            <w:tcBorders>
              <w:right w:val="single" w:sz="8" w:color="5673B8"/>
            </w:tcBorders>
            <w:vMerge w:val="continue"/>
          </w:tcPr>
          <w:p>
            <w:pPr>
              <w:spacing w:after="0"/>
              <w:rPr>
                <w:sz w:val="14"/>
                <w:szCs w:val="14"/>
                <w:color w:val="auto"/>
              </w:rPr>
            </w:pPr>
          </w:p>
        </w:tc>
        <w:tc>
          <w:tcPr>
            <w:tcW w:w="480" w:type="dxa"/>
            <w:vAlign w:val="bottom"/>
            <w:tcBorders>
              <w:right w:val="single" w:sz="8" w:color="5673B8"/>
            </w:tcBorders>
            <w:vMerge w:val="continue"/>
          </w:tcPr>
          <w:p>
            <w:pPr>
              <w:spacing w:after="0"/>
              <w:rPr>
                <w:sz w:val="14"/>
                <w:szCs w:val="14"/>
                <w:color w:val="auto"/>
              </w:rPr>
            </w:pPr>
          </w:p>
        </w:tc>
        <w:tc>
          <w:tcPr>
            <w:tcW w:w="640" w:type="dxa"/>
            <w:vAlign w:val="bottom"/>
            <w:tcBorders>
              <w:right w:val="single" w:sz="8" w:color="5673B8"/>
            </w:tcBorders>
            <w:vMerge w:val="continue"/>
          </w:tcPr>
          <w:p>
            <w:pPr>
              <w:spacing w:after="0"/>
              <w:rPr>
                <w:sz w:val="14"/>
                <w:szCs w:val="14"/>
                <w:color w:val="auto"/>
              </w:rPr>
            </w:pPr>
          </w:p>
        </w:tc>
        <w:tc>
          <w:tcPr>
            <w:tcW w:w="380" w:type="dxa"/>
            <w:vAlign w:val="bottom"/>
            <w:tcBorders>
              <w:right w:val="single" w:sz="8" w:color="5673B8"/>
            </w:tcBorders>
            <w:vMerge w:val="continue"/>
          </w:tcPr>
          <w:p>
            <w:pPr>
              <w:spacing w:after="0"/>
              <w:rPr>
                <w:sz w:val="14"/>
                <w:szCs w:val="14"/>
                <w:color w:val="auto"/>
              </w:rPr>
            </w:pPr>
          </w:p>
        </w:tc>
        <w:tc>
          <w:tcPr>
            <w:tcW w:w="680" w:type="dxa"/>
            <w:vAlign w:val="bottom"/>
            <w:tcBorders>
              <w:right w:val="single" w:sz="8" w:color="5673B8"/>
            </w:tcBorders>
            <w:vMerge w:val="continue"/>
          </w:tcPr>
          <w:p>
            <w:pPr>
              <w:spacing w:after="0"/>
              <w:rPr>
                <w:sz w:val="14"/>
                <w:szCs w:val="14"/>
                <w:color w:val="auto"/>
              </w:rPr>
            </w:pPr>
          </w:p>
        </w:tc>
        <w:tc>
          <w:tcPr>
            <w:tcW w:w="620" w:type="dxa"/>
            <w:vAlign w:val="bottom"/>
            <w:tcBorders>
              <w:right w:val="single" w:sz="8" w:color="5673B8"/>
            </w:tcBorders>
            <w:vMerge w:val="continue"/>
          </w:tcPr>
          <w:p>
            <w:pPr>
              <w:spacing w:after="0"/>
              <w:rPr>
                <w:sz w:val="14"/>
                <w:szCs w:val="14"/>
                <w:color w:val="auto"/>
              </w:rPr>
            </w:pPr>
          </w:p>
        </w:tc>
        <w:tc>
          <w:tcPr>
            <w:tcW w:w="740" w:type="dxa"/>
            <w:vAlign w:val="bottom"/>
            <w:tcBorders>
              <w:right w:val="single" w:sz="8" w:color="5673B8"/>
            </w:tcBorders>
          </w:tcPr>
          <w:p>
            <w:pPr>
              <w:spacing w:after="0"/>
              <w:rPr>
                <w:sz w:val="14"/>
                <w:szCs w:val="14"/>
                <w:color w:val="auto"/>
              </w:rPr>
            </w:pPr>
          </w:p>
        </w:tc>
        <w:tc>
          <w:tcPr>
            <w:tcW w:w="460" w:type="dxa"/>
            <w:vAlign w:val="bottom"/>
            <w:tcBorders>
              <w:right w:val="single" w:sz="8" w:color="5673B8"/>
            </w:tcBorders>
            <w:vMerge w:val="continue"/>
          </w:tcPr>
          <w:p>
            <w:pPr>
              <w:spacing w:after="0"/>
              <w:rPr>
                <w:sz w:val="14"/>
                <w:szCs w:val="14"/>
                <w:color w:val="auto"/>
              </w:rPr>
            </w:pPr>
          </w:p>
        </w:tc>
        <w:tc>
          <w:tcPr>
            <w:tcW w:w="440" w:type="dxa"/>
            <w:vAlign w:val="bottom"/>
            <w:tcBorders>
              <w:right w:val="single" w:sz="8" w:color="5673B8"/>
            </w:tcBorders>
          </w:tcPr>
          <w:p>
            <w:pPr>
              <w:spacing w:after="0"/>
              <w:rPr>
                <w:sz w:val="14"/>
                <w:szCs w:val="14"/>
                <w:color w:val="auto"/>
              </w:rPr>
            </w:pPr>
          </w:p>
        </w:tc>
        <w:tc>
          <w:tcPr>
            <w:tcW w:w="900" w:type="dxa"/>
            <w:vAlign w:val="bottom"/>
            <w:tcBorders>
              <w:right w:val="single" w:sz="8" w:color="5673B8"/>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80" w:type="dxa"/>
            <w:vAlign w:val="bottom"/>
          </w:tcPr>
          <w:p>
            <w:pPr>
              <w:ind w:left="460"/>
              <w:spacing w:after="0"/>
              <w:rPr>
                <w:sz w:val="20"/>
                <w:szCs w:val="20"/>
                <w:color w:val="auto"/>
              </w:rPr>
            </w:pPr>
            <w:r>
              <w:rPr>
                <w:rFonts w:ascii="Arial" w:cs="Arial" w:eastAsia="Arial" w:hAnsi="Arial"/>
                <w:sz w:val="14"/>
                <w:szCs w:val="14"/>
                <w:color w:val="auto"/>
              </w:rPr>
              <w:t>customers and the process of reimbursement of</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tcPr>
          <w:p>
            <w:pPr>
              <w:spacing w:after="0"/>
              <w:rPr>
                <w:sz w:val="15"/>
                <w:szCs w:val="15"/>
                <w:color w:val="auto"/>
              </w:rPr>
            </w:pPr>
          </w:p>
        </w:tc>
        <w:tc>
          <w:tcPr>
            <w:tcW w:w="380" w:type="dxa"/>
            <w:vAlign w:val="bottom"/>
            <w:tcBorders>
              <w:right w:val="single" w:sz="8" w:color="5673B8"/>
            </w:tcBorders>
          </w:tcPr>
          <w:p>
            <w:pPr>
              <w:spacing w:after="0"/>
              <w:rPr>
                <w:sz w:val="15"/>
                <w:szCs w:val="15"/>
                <w:color w:val="auto"/>
              </w:rPr>
            </w:pPr>
          </w:p>
        </w:tc>
        <w:tc>
          <w:tcPr>
            <w:tcW w:w="480" w:type="dxa"/>
            <w:vAlign w:val="bottom"/>
            <w:tcBorders>
              <w:right w:val="single" w:sz="8" w:color="5673B8"/>
            </w:tcBorders>
          </w:tcPr>
          <w:p>
            <w:pPr>
              <w:spacing w:after="0"/>
              <w:rPr>
                <w:sz w:val="15"/>
                <w:szCs w:val="15"/>
                <w:color w:val="auto"/>
              </w:rPr>
            </w:pPr>
          </w:p>
        </w:tc>
        <w:tc>
          <w:tcPr>
            <w:tcW w:w="640" w:type="dxa"/>
            <w:vAlign w:val="bottom"/>
            <w:tcBorders>
              <w:right w:val="single" w:sz="8" w:color="5673B8"/>
            </w:tcBorders>
          </w:tcPr>
          <w:p>
            <w:pPr>
              <w:spacing w:after="0"/>
              <w:rPr>
                <w:sz w:val="15"/>
                <w:szCs w:val="15"/>
                <w:color w:val="auto"/>
              </w:rPr>
            </w:pPr>
          </w:p>
        </w:tc>
        <w:tc>
          <w:tcPr>
            <w:tcW w:w="380" w:type="dxa"/>
            <w:vAlign w:val="bottom"/>
            <w:tcBorders>
              <w:right w:val="single" w:sz="8" w:color="5673B8"/>
            </w:tcBorders>
          </w:tcPr>
          <w:p>
            <w:pPr>
              <w:spacing w:after="0"/>
              <w:rPr>
                <w:sz w:val="15"/>
                <w:szCs w:val="15"/>
                <w:color w:val="auto"/>
              </w:rPr>
            </w:pPr>
          </w:p>
        </w:tc>
        <w:tc>
          <w:tcPr>
            <w:tcW w:w="680" w:type="dxa"/>
            <w:vAlign w:val="bottom"/>
            <w:tcBorders>
              <w:right w:val="single" w:sz="8" w:color="5673B8"/>
            </w:tcBorders>
          </w:tcPr>
          <w:p>
            <w:pPr>
              <w:spacing w:after="0"/>
              <w:rPr>
                <w:sz w:val="15"/>
                <w:szCs w:val="15"/>
                <w:color w:val="auto"/>
              </w:rPr>
            </w:pPr>
          </w:p>
        </w:tc>
        <w:tc>
          <w:tcPr>
            <w:tcW w:w="620" w:type="dxa"/>
            <w:vAlign w:val="bottom"/>
            <w:tcBorders>
              <w:right w:val="single" w:sz="8" w:color="5673B8"/>
            </w:tcBorders>
          </w:tcPr>
          <w:p>
            <w:pPr>
              <w:spacing w:after="0"/>
              <w:rPr>
                <w:sz w:val="15"/>
                <w:szCs w:val="15"/>
                <w:color w:val="auto"/>
              </w:rPr>
            </w:pPr>
          </w:p>
        </w:tc>
        <w:tc>
          <w:tcPr>
            <w:tcW w:w="740" w:type="dxa"/>
            <w:vAlign w:val="bottom"/>
            <w:tcBorders>
              <w:right w:val="single" w:sz="8" w:color="5673B8"/>
            </w:tcBorders>
          </w:tcPr>
          <w:p>
            <w:pPr>
              <w:spacing w:after="0"/>
              <w:rPr>
                <w:sz w:val="15"/>
                <w:szCs w:val="15"/>
                <w:color w:val="auto"/>
              </w:rPr>
            </w:pPr>
          </w:p>
        </w:tc>
        <w:tc>
          <w:tcPr>
            <w:tcW w:w="460" w:type="dxa"/>
            <w:vAlign w:val="bottom"/>
            <w:tcBorders>
              <w:right w:val="single" w:sz="8" w:color="5673B8"/>
            </w:tcBorders>
          </w:tcPr>
          <w:p>
            <w:pPr>
              <w:spacing w:after="0"/>
              <w:rPr>
                <w:sz w:val="15"/>
                <w:szCs w:val="15"/>
                <w:color w:val="auto"/>
              </w:rPr>
            </w:pP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460"/>
              <w:spacing w:after="0"/>
              <w:rPr>
                <w:sz w:val="20"/>
                <w:szCs w:val="20"/>
                <w:color w:val="auto"/>
              </w:rPr>
            </w:pPr>
            <w:r>
              <w:rPr>
                <w:rFonts w:ascii="Arial" w:cs="Arial" w:eastAsia="Arial" w:hAnsi="Arial"/>
                <w:sz w:val="14"/>
                <w:szCs w:val="14"/>
                <w:color w:val="auto"/>
              </w:rPr>
              <w:t>pharmaceutical products</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tcPr>
          <w:p>
            <w:pPr>
              <w:spacing w:after="0"/>
              <w:rPr>
                <w:sz w:val="16"/>
                <w:szCs w:val="16"/>
                <w:color w:val="auto"/>
              </w:rPr>
            </w:pPr>
          </w:p>
        </w:tc>
        <w:tc>
          <w:tcPr>
            <w:tcW w:w="440" w:type="dxa"/>
            <w:vAlign w:val="bottom"/>
            <w:tcBorders>
              <w:right w:val="single" w:sz="8" w:color="5673B8"/>
            </w:tcBorders>
          </w:tcPr>
          <w:p>
            <w:pPr>
              <w:spacing w:after="0"/>
              <w:rPr>
                <w:sz w:val="16"/>
                <w:szCs w:val="16"/>
                <w:color w:val="auto"/>
              </w:rPr>
            </w:pPr>
          </w:p>
        </w:tc>
        <w:tc>
          <w:tcPr>
            <w:tcW w:w="900" w:type="dxa"/>
            <w:vAlign w:val="bottom"/>
            <w:tcBorders>
              <w:right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880" w:type="dxa"/>
            <w:vAlign w:val="bottom"/>
            <w:tcBorders>
              <w:bottom w:val="single" w:sz="8" w:color="5673B8"/>
            </w:tcBorders>
          </w:tcPr>
          <w:p>
            <w:pPr>
              <w:spacing w:after="0"/>
              <w:rPr>
                <w:sz w:val="5"/>
                <w:szCs w:val="5"/>
                <w:color w:val="auto"/>
              </w:rPr>
            </w:pPr>
          </w:p>
        </w:tc>
        <w:tc>
          <w:tcPr>
            <w:tcW w:w="180" w:type="dxa"/>
            <w:vAlign w:val="bottom"/>
            <w:tcBorders>
              <w:bottom w:val="single" w:sz="8" w:color="5673B8"/>
              <w:right w:val="single" w:sz="8" w:color="5673B8"/>
            </w:tcBorders>
          </w:tcPr>
          <w:p>
            <w:pPr>
              <w:spacing w:after="0"/>
              <w:rPr>
                <w:sz w:val="5"/>
                <w:szCs w:val="5"/>
                <w:color w:val="auto"/>
              </w:rPr>
            </w:pPr>
          </w:p>
        </w:tc>
        <w:tc>
          <w:tcPr>
            <w:tcW w:w="40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480" w:type="dxa"/>
            <w:vAlign w:val="bottom"/>
            <w:tcBorders>
              <w:bottom w:val="single" w:sz="8" w:color="5673B8"/>
              <w:right w:val="single" w:sz="8" w:color="5673B8"/>
            </w:tcBorders>
          </w:tcPr>
          <w:p>
            <w:pPr>
              <w:spacing w:after="0"/>
              <w:rPr>
                <w:sz w:val="5"/>
                <w:szCs w:val="5"/>
                <w:color w:val="auto"/>
              </w:rPr>
            </w:pPr>
          </w:p>
        </w:tc>
        <w:tc>
          <w:tcPr>
            <w:tcW w:w="6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680" w:type="dxa"/>
            <w:vAlign w:val="bottom"/>
            <w:tcBorders>
              <w:bottom w:val="single" w:sz="8" w:color="5673B8"/>
              <w:right w:val="single" w:sz="8" w:color="5673B8"/>
            </w:tcBorders>
          </w:tcPr>
          <w:p>
            <w:pPr>
              <w:spacing w:after="0"/>
              <w:rPr>
                <w:sz w:val="5"/>
                <w:szCs w:val="5"/>
                <w:color w:val="auto"/>
              </w:rPr>
            </w:pPr>
          </w:p>
        </w:tc>
        <w:tc>
          <w:tcPr>
            <w:tcW w:w="620" w:type="dxa"/>
            <w:vAlign w:val="bottom"/>
            <w:tcBorders>
              <w:bottom w:val="single" w:sz="8" w:color="5673B8"/>
              <w:right w:val="single" w:sz="8" w:color="5673B8"/>
            </w:tcBorders>
          </w:tcPr>
          <w:p>
            <w:pPr>
              <w:spacing w:after="0"/>
              <w:rPr>
                <w:sz w:val="5"/>
                <w:szCs w:val="5"/>
                <w:color w:val="auto"/>
              </w:rPr>
            </w:pPr>
          </w:p>
        </w:tc>
        <w:tc>
          <w:tcPr>
            <w:tcW w:w="740" w:type="dxa"/>
            <w:vAlign w:val="bottom"/>
            <w:tcBorders>
              <w:bottom w:val="single" w:sz="8" w:color="5673B8"/>
              <w:right w:val="single" w:sz="8" w:color="5673B8"/>
            </w:tcBorders>
          </w:tcPr>
          <w:p>
            <w:pPr>
              <w:spacing w:after="0"/>
              <w:rPr>
                <w:sz w:val="5"/>
                <w:szCs w:val="5"/>
                <w:color w:val="auto"/>
              </w:rPr>
            </w:pPr>
          </w:p>
        </w:tc>
        <w:tc>
          <w:tcPr>
            <w:tcW w:w="460" w:type="dxa"/>
            <w:vAlign w:val="bottom"/>
            <w:tcBorders>
              <w:bottom w:val="single" w:sz="8" w:color="5673B8"/>
              <w:right w:val="single" w:sz="8" w:color="5673B8"/>
            </w:tcBorders>
          </w:tcPr>
          <w:p>
            <w:pPr>
              <w:spacing w:after="0"/>
              <w:rPr>
                <w:sz w:val="5"/>
                <w:szCs w:val="5"/>
                <w:color w:val="auto"/>
              </w:rPr>
            </w:pPr>
          </w:p>
        </w:tc>
        <w:tc>
          <w:tcPr>
            <w:tcW w:w="440" w:type="dxa"/>
            <w:vAlign w:val="bottom"/>
            <w:tcBorders>
              <w:bottom w:val="single" w:sz="8" w:color="5673B8"/>
              <w:right w:val="single" w:sz="8" w:color="5673B8"/>
            </w:tcBorders>
          </w:tcPr>
          <w:p>
            <w:pPr>
              <w:spacing w:after="0"/>
              <w:rPr>
                <w:sz w:val="5"/>
                <w:szCs w:val="5"/>
                <w:color w:val="auto"/>
              </w:rPr>
            </w:pPr>
          </w:p>
        </w:tc>
        <w:tc>
          <w:tcPr>
            <w:tcW w:w="900" w:type="dxa"/>
            <w:vAlign w:val="bottom"/>
            <w:tcBorders>
              <w:bottom w:val="single" w:sz="8" w:color="5673B8"/>
              <w:right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Scientific Research and Drug Development</w:t>
            </w:r>
          </w:p>
        </w:tc>
        <w:tc>
          <w:tcPr>
            <w:tcW w:w="180" w:type="dxa"/>
            <w:vAlign w:val="bottom"/>
            <w:tcBorders>
              <w:right w:val="single" w:sz="8" w:color="5673B8"/>
            </w:tcBorders>
          </w:tcPr>
          <w:p>
            <w:pPr>
              <w:spacing w:after="0"/>
              <w:rPr>
                <w:sz w:val="19"/>
                <w:szCs w:val="19"/>
                <w:color w:val="auto"/>
              </w:rPr>
            </w:pPr>
          </w:p>
        </w:tc>
        <w:tc>
          <w:tcPr>
            <w:tcW w:w="400" w:type="dxa"/>
            <w:vAlign w:val="bottom"/>
            <w:tcBorders>
              <w:right w:val="single" w:sz="8" w:color="5673B8"/>
            </w:tcBorders>
          </w:tcPr>
          <w:p>
            <w:pPr>
              <w:spacing w:after="0"/>
              <w:rPr>
                <w:sz w:val="19"/>
                <w:szCs w:val="19"/>
                <w:color w:val="auto"/>
              </w:rPr>
            </w:pPr>
          </w:p>
        </w:tc>
        <w:tc>
          <w:tcPr>
            <w:tcW w:w="540" w:type="dxa"/>
            <w:vAlign w:val="bottom"/>
            <w:tcBorders>
              <w:right w:val="single" w:sz="8" w:color="5673B8"/>
            </w:tcBorders>
          </w:tcPr>
          <w:p>
            <w:pPr>
              <w:spacing w:after="0"/>
              <w:rPr>
                <w:sz w:val="19"/>
                <w:szCs w:val="19"/>
                <w:color w:val="auto"/>
              </w:rPr>
            </w:pPr>
          </w:p>
        </w:tc>
        <w:tc>
          <w:tcPr>
            <w:tcW w:w="540" w:type="dxa"/>
            <w:vAlign w:val="bottom"/>
            <w:tcBorders>
              <w:right w:val="single" w:sz="8" w:color="5673B8"/>
            </w:tcBorders>
          </w:tcPr>
          <w:p>
            <w:pPr>
              <w:spacing w:after="0"/>
              <w:rPr>
                <w:sz w:val="19"/>
                <w:szCs w:val="19"/>
                <w:color w:val="auto"/>
              </w:rPr>
            </w:pPr>
          </w:p>
        </w:tc>
        <w:tc>
          <w:tcPr>
            <w:tcW w:w="380" w:type="dxa"/>
            <w:vAlign w:val="bottom"/>
            <w:tcBorders>
              <w:right w:val="single" w:sz="8" w:color="5673B8"/>
            </w:tcBorders>
          </w:tcPr>
          <w:p>
            <w:pPr>
              <w:spacing w:after="0"/>
              <w:rPr>
                <w:sz w:val="19"/>
                <w:szCs w:val="19"/>
                <w:color w:val="auto"/>
              </w:rPr>
            </w:pPr>
          </w:p>
        </w:tc>
        <w:tc>
          <w:tcPr>
            <w:tcW w:w="480" w:type="dxa"/>
            <w:vAlign w:val="bottom"/>
            <w:tcBorders>
              <w:right w:val="single" w:sz="8" w:color="5673B8"/>
            </w:tcBorders>
          </w:tcPr>
          <w:p>
            <w:pPr>
              <w:spacing w:after="0"/>
              <w:rPr>
                <w:sz w:val="19"/>
                <w:szCs w:val="19"/>
                <w:color w:val="auto"/>
              </w:rPr>
            </w:pPr>
          </w:p>
        </w:tc>
        <w:tc>
          <w:tcPr>
            <w:tcW w:w="640" w:type="dxa"/>
            <w:vAlign w:val="bottom"/>
            <w:tcBorders>
              <w:right w:val="single" w:sz="8" w:color="5673B8"/>
            </w:tcBorders>
          </w:tcPr>
          <w:p>
            <w:pPr>
              <w:spacing w:after="0"/>
              <w:rPr>
                <w:sz w:val="19"/>
                <w:szCs w:val="19"/>
                <w:color w:val="auto"/>
              </w:rPr>
            </w:pPr>
          </w:p>
        </w:tc>
        <w:tc>
          <w:tcPr>
            <w:tcW w:w="380" w:type="dxa"/>
            <w:vAlign w:val="bottom"/>
            <w:tcBorders>
              <w:right w:val="single" w:sz="8" w:color="5673B8"/>
            </w:tcBorders>
          </w:tcPr>
          <w:p>
            <w:pPr>
              <w:spacing w:after="0"/>
              <w:rPr>
                <w:sz w:val="19"/>
                <w:szCs w:val="19"/>
                <w:color w:val="auto"/>
              </w:rPr>
            </w:pPr>
          </w:p>
        </w:tc>
        <w:tc>
          <w:tcPr>
            <w:tcW w:w="680" w:type="dxa"/>
            <w:vAlign w:val="bottom"/>
            <w:tcBorders>
              <w:right w:val="single" w:sz="8" w:color="5673B8"/>
            </w:tcBorders>
          </w:tcPr>
          <w:p>
            <w:pPr>
              <w:spacing w:after="0"/>
              <w:rPr>
                <w:sz w:val="19"/>
                <w:szCs w:val="19"/>
                <w:color w:val="auto"/>
              </w:rPr>
            </w:pPr>
          </w:p>
        </w:tc>
        <w:tc>
          <w:tcPr>
            <w:tcW w:w="620" w:type="dxa"/>
            <w:vAlign w:val="bottom"/>
            <w:tcBorders>
              <w:right w:val="single" w:sz="8" w:color="5673B8"/>
            </w:tcBorders>
          </w:tcPr>
          <w:p>
            <w:pPr>
              <w:spacing w:after="0"/>
              <w:rPr>
                <w:sz w:val="19"/>
                <w:szCs w:val="19"/>
                <w:color w:val="auto"/>
              </w:rPr>
            </w:pPr>
          </w:p>
        </w:tc>
        <w:tc>
          <w:tcPr>
            <w:tcW w:w="740" w:type="dxa"/>
            <w:vAlign w:val="bottom"/>
            <w:tcBorders>
              <w:right w:val="single" w:sz="8" w:color="5673B8"/>
            </w:tcBorders>
          </w:tcPr>
          <w:p>
            <w:pPr>
              <w:spacing w:after="0"/>
              <w:rPr>
                <w:sz w:val="19"/>
                <w:szCs w:val="19"/>
                <w:color w:val="auto"/>
              </w:rPr>
            </w:pPr>
          </w:p>
        </w:tc>
        <w:tc>
          <w:tcPr>
            <w:tcW w:w="460" w:type="dxa"/>
            <w:vAlign w:val="bottom"/>
            <w:tcBorders>
              <w:right w:val="single" w:sz="8" w:color="5673B8"/>
            </w:tcBorders>
          </w:tcPr>
          <w:p>
            <w:pPr>
              <w:spacing w:after="0"/>
              <w:rPr>
                <w:sz w:val="19"/>
                <w:szCs w:val="19"/>
                <w:color w:val="auto"/>
              </w:rPr>
            </w:pPr>
          </w:p>
        </w:tc>
        <w:tc>
          <w:tcPr>
            <w:tcW w:w="440" w:type="dxa"/>
            <w:vAlign w:val="bottom"/>
            <w:tcBorders>
              <w:right w:val="single" w:sz="8" w:color="5673B8"/>
            </w:tcBorders>
          </w:tcPr>
          <w:p>
            <w:pPr>
              <w:spacing w:after="0"/>
              <w:rPr>
                <w:sz w:val="19"/>
                <w:szCs w:val="19"/>
                <w:color w:val="auto"/>
              </w:rPr>
            </w:pPr>
          </w:p>
        </w:tc>
        <w:tc>
          <w:tcPr>
            <w:tcW w:w="900" w:type="dxa"/>
            <w:vAlign w:val="bottom"/>
            <w:tcBorders>
              <w:right w:val="single" w:sz="8" w:color="5673B8"/>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Experience</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vMerge w:val="restart"/>
          </w:tcPr>
          <w:p>
            <w:pPr>
              <w:ind w:left="80"/>
              <w:spacing w:after="0"/>
              <w:rPr>
                <w:sz w:val="20"/>
                <w:szCs w:val="20"/>
                <w:color w:val="auto"/>
              </w:rPr>
            </w:pPr>
            <w:r>
              <w:rPr>
                <w:rFonts w:ascii="Arial" w:cs="Arial" w:eastAsia="Arial" w:hAnsi="Arial"/>
                <w:sz w:val="27"/>
                <w:szCs w:val="27"/>
                <w:color w:val="5673B8"/>
              </w:rPr>
              <w:t>●</w:t>
            </w: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44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900" w:type="dxa"/>
            <w:vAlign w:val="bottom"/>
            <w:tcBorders>
              <w:right w:val="single" w:sz="8" w:color="5673B8"/>
            </w:tcBorders>
            <w:vMerge w:val="restart"/>
          </w:tcPr>
          <w:p>
            <w:pPr>
              <w:ind w:left="360"/>
              <w:spacing w:after="0"/>
              <w:rPr>
                <w:sz w:val="20"/>
                <w:szCs w:val="20"/>
                <w:color w:val="auto"/>
              </w:rPr>
            </w:pPr>
            <w:r>
              <w:rPr>
                <w:rFonts w:ascii="Arial" w:cs="Arial" w:eastAsia="Arial" w:hAnsi="Arial"/>
                <w:sz w:val="27"/>
                <w:szCs w:val="27"/>
                <w:color w:val="5673B8"/>
              </w:rPr>
              <w:t>●</w:t>
            </w:r>
          </w:p>
        </w:tc>
        <w:tc>
          <w:tcPr>
            <w:tcW w:w="0" w:type="dxa"/>
            <w:vAlign w:val="bottom"/>
          </w:tcPr>
          <w:p>
            <w:pPr>
              <w:spacing w:after="0"/>
              <w:rPr>
                <w:sz w:val="1"/>
                <w:szCs w:val="1"/>
                <w:color w:val="auto"/>
              </w:rPr>
            </w:pPr>
          </w:p>
        </w:tc>
      </w:tr>
      <w:tr>
        <w:trPr>
          <w:trHeight w:val="185"/>
        </w:trPr>
        <w:tc>
          <w:tcPr>
            <w:tcW w:w="3880" w:type="dxa"/>
            <w:vAlign w:val="bottom"/>
          </w:tcPr>
          <w:p>
            <w:pPr>
              <w:ind w:left="460"/>
              <w:spacing w:after="0"/>
              <w:rPr>
                <w:sz w:val="20"/>
                <w:szCs w:val="20"/>
                <w:color w:val="auto"/>
              </w:rPr>
            </w:pPr>
            <w:r>
              <w:rPr>
                <w:rFonts w:ascii="Arial" w:cs="Arial" w:eastAsia="Arial" w:hAnsi="Arial"/>
                <w:sz w:val="14"/>
                <w:szCs w:val="14"/>
                <w:color w:val="auto"/>
              </w:rPr>
              <w:t>Relevant backgrounds in academia, clinical practice,</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vMerge w:val="continue"/>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vMerge w:val="continue"/>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vMerge w:val="continue"/>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vMerge w:val="continue"/>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vMerge w:val="continue"/>
          </w:tcPr>
          <w:p>
            <w:pPr>
              <w:spacing w:after="0"/>
              <w:rPr>
                <w:sz w:val="16"/>
                <w:szCs w:val="16"/>
                <w:color w:val="auto"/>
              </w:rPr>
            </w:pPr>
          </w:p>
        </w:tc>
        <w:tc>
          <w:tcPr>
            <w:tcW w:w="440" w:type="dxa"/>
            <w:vAlign w:val="bottom"/>
            <w:tcBorders>
              <w:right w:val="single" w:sz="8" w:color="5673B8"/>
            </w:tcBorders>
            <w:vMerge w:val="continue"/>
          </w:tcPr>
          <w:p>
            <w:pPr>
              <w:spacing w:after="0"/>
              <w:rPr>
                <w:sz w:val="16"/>
                <w:szCs w:val="16"/>
                <w:color w:val="auto"/>
              </w:rPr>
            </w:pPr>
          </w:p>
        </w:tc>
        <w:tc>
          <w:tcPr>
            <w:tcW w:w="900" w:type="dxa"/>
            <w:vAlign w:val="bottom"/>
            <w:tcBorders>
              <w:right w:val="single" w:sz="8" w:color="5673B8"/>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880" w:type="dxa"/>
            <w:vAlign w:val="bottom"/>
          </w:tcPr>
          <w:p>
            <w:pPr>
              <w:ind w:left="460"/>
              <w:spacing w:after="0"/>
              <w:rPr>
                <w:sz w:val="20"/>
                <w:szCs w:val="20"/>
                <w:color w:val="auto"/>
              </w:rPr>
            </w:pPr>
            <w:r>
              <w:rPr>
                <w:rFonts w:ascii="Arial" w:cs="Arial" w:eastAsia="Arial" w:hAnsi="Arial"/>
                <w:sz w:val="14"/>
                <w:szCs w:val="14"/>
                <w:color w:val="auto"/>
              </w:rPr>
              <w:t>science and technology and, in particular, the R&amp;D of</w:t>
            </w:r>
          </w:p>
        </w:tc>
        <w:tc>
          <w:tcPr>
            <w:tcW w:w="180" w:type="dxa"/>
            <w:vAlign w:val="bottom"/>
            <w:tcBorders>
              <w:right w:val="single" w:sz="8" w:color="5673B8"/>
            </w:tcBorders>
          </w:tcPr>
          <w:p>
            <w:pPr>
              <w:spacing w:after="0"/>
              <w:rPr>
                <w:sz w:val="14"/>
                <w:szCs w:val="14"/>
                <w:color w:val="auto"/>
              </w:rPr>
            </w:pPr>
          </w:p>
        </w:tc>
        <w:tc>
          <w:tcPr>
            <w:tcW w:w="400" w:type="dxa"/>
            <w:vAlign w:val="bottom"/>
            <w:tcBorders>
              <w:right w:val="single" w:sz="8" w:color="5673B8"/>
            </w:tcBorders>
          </w:tcPr>
          <w:p>
            <w:pPr>
              <w:spacing w:after="0"/>
              <w:rPr>
                <w:sz w:val="14"/>
                <w:szCs w:val="14"/>
                <w:color w:val="auto"/>
              </w:rPr>
            </w:pPr>
          </w:p>
        </w:tc>
        <w:tc>
          <w:tcPr>
            <w:tcW w:w="540" w:type="dxa"/>
            <w:vAlign w:val="bottom"/>
            <w:tcBorders>
              <w:right w:val="single" w:sz="8" w:color="5673B8"/>
            </w:tcBorders>
          </w:tcPr>
          <w:p>
            <w:pPr>
              <w:spacing w:after="0"/>
              <w:rPr>
                <w:sz w:val="14"/>
                <w:szCs w:val="14"/>
                <w:color w:val="auto"/>
              </w:rPr>
            </w:pPr>
          </w:p>
        </w:tc>
        <w:tc>
          <w:tcPr>
            <w:tcW w:w="540" w:type="dxa"/>
            <w:vAlign w:val="bottom"/>
            <w:tcBorders>
              <w:right w:val="single" w:sz="8" w:color="5673B8"/>
            </w:tcBorders>
          </w:tcPr>
          <w:p>
            <w:pPr>
              <w:spacing w:after="0"/>
              <w:rPr>
                <w:sz w:val="14"/>
                <w:szCs w:val="14"/>
                <w:color w:val="auto"/>
              </w:rPr>
            </w:pPr>
          </w:p>
        </w:tc>
        <w:tc>
          <w:tcPr>
            <w:tcW w:w="380" w:type="dxa"/>
            <w:vAlign w:val="bottom"/>
            <w:tcBorders>
              <w:right w:val="single" w:sz="8" w:color="5673B8"/>
            </w:tcBorders>
          </w:tcPr>
          <w:p>
            <w:pPr>
              <w:spacing w:after="0"/>
              <w:rPr>
                <w:sz w:val="14"/>
                <w:szCs w:val="14"/>
                <w:color w:val="auto"/>
              </w:rPr>
            </w:pPr>
          </w:p>
        </w:tc>
        <w:tc>
          <w:tcPr>
            <w:tcW w:w="480" w:type="dxa"/>
            <w:vAlign w:val="bottom"/>
            <w:tcBorders>
              <w:right w:val="single" w:sz="8" w:color="5673B8"/>
            </w:tcBorders>
          </w:tcPr>
          <w:p>
            <w:pPr>
              <w:spacing w:after="0"/>
              <w:rPr>
                <w:sz w:val="14"/>
                <w:szCs w:val="14"/>
                <w:color w:val="auto"/>
              </w:rPr>
            </w:pPr>
          </w:p>
        </w:tc>
        <w:tc>
          <w:tcPr>
            <w:tcW w:w="640" w:type="dxa"/>
            <w:vAlign w:val="bottom"/>
            <w:tcBorders>
              <w:right w:val="single" w:sz="8" w:color="5673B8"/>
            </w:tcBorders>
          </w:tcPr>
          <w:p>
            <w:pPr>
              <w:spacing w:after="0"/>
              <w:rPr>
                <w:sz w:val="14"/>
                <w:szCs w:val="14"/>
                <w:color w:val="auto"/>
              </w:rPr>
            </w:pPr>
          </w:p>
        </w:tc>
        <w:tc>
          <w:tcPr>
            <w:tcW w:w="380" w:type="dxa"/>
            <w:vAlign w:val="bottom"/>
            <w:tcBorders>
              <w:right w:val="single" w:sz="8" w:color="5673B8"/>
            </w:tcBorders>
          </w:tcPr>
          <w:p>
            <w:pPr>
              <w:spacing w:after="0"/>
              <w:rPr>
                <w:sz w:val="14"/>
                <w:szCs w:val="14"/>
                <w:color w:val="auto"/>
              </w:rPr>
            </w:pPr>
          </w:p>
        </w:tc>
        <w:tc>
          <w:tcPr>
            <w:tcW w:w="680" w:type="dxa"/>
            <w:vAlign w:val="bottom"/>
            <w:tcBorders>
              <w:right w:val="single" w:sz="8" w:color="5673B8"/>
            </w:tcBorders>
          </w:tcPr>
          <w:p>
            <w:pPr>
              <w:spacing w:after="0"/>
              <w:rPr>
                <w:sz w:val="14"/>
                <w:szCs w:val="14"/>
                <w:color w:val="auto"/>
              </w:rPr>
            </w:pPr>
          </w:p>
        </w:tc>
        <w:tc>
          <w:tcPr>
            <w:tcW w:w="620" w:type="dxa"/>
            <w:vAlign w:val="bottom"/>
            <w:tcBorders>
              <w:right w:val="single" w:sz="8" w:color="5673B8"/>
            </w:tcBorders>
          </w:tcPr>
          <w:p>
            <w:pPr>
              <w:spacing w:after="0"/>
              <w:rPr>
                <w:sz w:val="14"/>
                <w:szCs w:val="14"/>
                <w:color w:val="auto"/>
              </w:rPr>
            </w:pPr>
          </w:p>
        </w:tc>
        <w:tc>
          <w:tcPr>
            <w:tcW w:w="740" w:type="dxa"/>
            <w:vAlign w:val="bottom"/>
            <w:tcBorders>
              <w:right w:val="single" w:sz="8" w:color="5673B8"/>
            </w:tcBorders>
          </w:tcPr>
          <w:p>
            <w:pPr>
              <w:spacing w:after="0"/>
              <w:rPr>
                <w:sz w:val="14"/>
                <w:szCs w:val="14"/>
                <w:color w:val="auto"/>
              </w:rPr>
            </w:pPr>
          </w:p>
        </w:tc>
        <w:tc>
          <w:tcPr>
            <w:tcW w:w="460" w:type="dxa"/>
            <w:vAlign w:val="bottom"/>
            <w:tcBorders>
              <w:right w:val="single" w:sz="8" w:color="5673B8"/>
            </w:tcBorders>
          </w:tcPr>
          <w:p>
            <w:pPr>
              <w:spacing w:after="0"/>
              <w:rPr>
                <w:sz w:val="14"/>
                <w:szCs w:val="14"/>
                <w:color w:val="auto"/>
              </w:rPr>
            </w:pPr>
          </w:p>
        </w:tc>
        <w:tc>
          <w:tcPr>
            <w:tcW w:w="440" w:type="dxa"/>
            <w:vAlign w:val="bottom"/>
            <w:tcBorders>
              <w:right w:val="single" w:sz="8" w:color="5673B8"/>
            </w:tcBorders>
          </w:tcPr>
          <w:p>
            <w:pPr>
              <w:spacing w:after="0"/>
              <w:rPr>
                <w:sz w:val="14"/>
                <w:szCs w:val="14"/>
                <w:color w:val="auto"/>
              </w:rPr>
            </w:pPr>
          </w:p>
        </w:tc>
        <w:tc>
          <w:tcPr>
            <w:tcW w:w="900" w:type="dxa"/>
            <w:vAlign w:val="bottom"/>
            <w:tcBorders>
              <w:right w:val="single" w:sz="8" w:color="5673B8"/>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460"/>
              <w:spacing w:after="0"/>
              <w:rPr>
                <w:sz w:val="20"/>
                <w:szCs w:val="20"/>
                <w:color w:val="auto"/>
              </w:rPr>
            </w:pPr>
            <w:r>
              <w:rPr>
                <w:rFonts w:ascii="Arial" w:cs="Arial" w:eastAsia="Arial" w:hAnsi="Arial"/>
                <w:sz w:val="14"/>
                <w:szCs w:val="14"/>
                <w:color w:val="auto"/>
              </w:rPr>
              <w:t>pharmaceutical products</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tcPr>
          <w:p>
            <w:pPr>
              <w:spacing w:after="0"/>
              <w:rPr>
                <w:sz w:val="16"/>
                <w:szCs w:val="16"/>
                <w:color w:val="auto"/>
              </w:rPr>
            </w:pPr>
          </w:p>
        </w:tc>
        <w:tc>
          <w:tcPr>
            <w:tcW w:w="440" w:type="dxa"/>
            <w:vAlign w:val="bottom"/>
            <w:tcBorders>
              <w:right w:val="single" w:sz="8" w:color="5673B8"/>
            </w:tcBorders>
          </w:tcPr>
          <w:p>
            <w:pPr>
              <w:spacing w:after="0"/>
              <w:rPr>
                <w:sz w:val="16"/>
                <w:szCs w:val="16"/>
                <w:color w:val="auto"/>
              </w:rPr>
            </w:pPr>
          </w:p>
        </w:tc>
        <w:tc>
          <w:tcPr>
            <w:tcW w:w="900" w:type="dxa"/>
            <w:vAlign w:val="bottom"/>
            <w:tcBorders>
              <w:right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880" w:type="dxa"/>
            <w:vAlign w:val="bottom"/>
            <w:tcBorders>
              <w:bottom w:val="single" w:sz="8" w:color="5673B8"/>
            </w:tcBorders>
          </w:tcPr>
          <w:p>
            <w:pPr>
              <w:spacing w:after="0"/>
              <w:rPr>
                <w:sz w:val="5"/>
                <w:szCs w:val="5"/>
                <w:color w:val="auto"/>
              </w:rPr>
            </w:pPr>
          </w:p>
        </w:tc>
        <w:tc>
          <w:tcPr>
            <w:tcW w:w="180" w:type="dxa"/>
            <w:vAlign w:val="bottom"/>
            <w:tcBorders>
              <w:bottom w:val="single" w:sz="8" w:color="5673B8"/>
              <w:right w:val="single" w:sz="8" w:color="5673B8"/>
            </w:tcBorders>
          </w:tcPr>
          <w:p>
            <w:pPr>
              <w:spacing w:after="0"/>
              <w:rPr>
                <w:sz w:val="5"/>
                <w:szCs w:val="5"/>
                <w:color w:val="auto"/>
              </w:rPr>
            </w:pPr>
          </w:p>
        </w:tc>
        <w:tc>
          <w:tcPr>
            <w:tcW w:w="40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480" w:type="dxa"/>
            <w:vAlign w:val="bottom"/>
            <w:tcBorders>
              <w:bottom w:val="single" w:sz="8" w:color="5673B8"/>
              <w:right w:val="single" w:sz="8" w:color="5673B8"/>
            </w:tcBorders>
          </w:tcPr>
          <w:p>
            <w:pPr>
              <w:spacing w:after="0"/>
              <w:rPr>
                <w:sz w:val="5"/>
                <w:szCs w:val="5"/>
                <w:color w:val="auto"/>
              </w:rPr>
            </w:pPr>
          </w:p>
        </w:tc>
        <w:tc>
          <w:tcPr>
            <w:tcW w:w="6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680" w:type="dxa"/>
            <w:vAlign w:val="bottom"/>
            <w:tcBorders>
              <w:bottom w:val="single" w:sz="8" w:color="5673B8"/>
              <w:right w:val="single" w:sz="8" w:color="5673B8"/>
            </w:tcBorders>
          </w:tcPr>
          <w:p>
            <w:pPr>
              <w:spacing w:after="0"/>
              <w:rPr>
                <w:sz w:val="5"/>
                <w:szCs w:val="5"/>
                <w:color w:val="auto"/>
              </w:rPr>
            </w:pPr>
          </w:p>
        </w:tc>
        <w:tc>
          <w:tcPr>
            <w:tcW w:w="620" w:type="dxa"/>
            <w:vAlign w:val="bottom"/>
            <w:tcBorders>
              <w:bottom w:val="single" w:sz="8" w:color="5673B8"/>
              <w:right w:val="single" w:sz="8" w:color="5673B8"/>
            </w:tcBorders>
          </w:tcPr>
          <w:p>
            <w:pPr>
              <w:spacing w:after="0"/>
              <w:rPr>
                <w:sz w:val="5"/>
                <w:szCs w:val="5"/>
                <w:color w:val="auto"/>
              </w:rPr>
            </w:pPr>
          </w:p>
        </w:tc>
        <w:tc>
          <w:tcPr>
            <w:tcW w:w="740" w:type="dxa"/>
            <w:vAlign w:val="bottom"/>
            <w:tcBorders>
              <w:bottom w:val="single" w:sz="8" w:color="5673B8"/>
              <w:right w:val="single" w:sz="8" w:color="5673B8"/>
            </w:tcBorders>
          </w:tcPr>
          <w:p>
            <w:pPr>
              <w:spacing w:after="0"/>
              <w:rPr>
                <w:sz w:val="5"/>
                <w:szCs w:val="5"/>
                <w:color w:val="auto"/>
              </w:rPr>
            </w:pPr>
          </w:p>
        </w:tc>
        <w:tc>
          <w:tcPr>
            <w:tcW w:w="460" w:type="dxa"/>
            <w:vAlign w:val="bottom"/>
            <w:tcBorders>
              <w:bottom w:val="single" w:sz="8" w:color="5673B8"/>
              <w:right w:val="single" w:sz="8" w:color="5673B8"/>
            </w:tcBorders>
          </w:tcPr>
          <w:p>
            <w:pPr>
              <w:spacing w:after="0"/>
              <w:rPr>
                <w:sz w:val="5"/>
                <w:szCs w:val="5"/>
                <w:color w:val="auto"/>
              </w:rPr>
            </w:pPr>
          </w:p>
        </w:tc>
        <w:tc>
          <w:tcPr>
            <w:tcW w:w="440" w:type="dxa"/>
            <w:vAlign w:val="bottom"/>
            <w:tcBorders>
              <w:bottom w:val="single" w:sz="8" w:color="5673B8"/>
              <w:right w:val="single" w:sz="8" w:color="5673B8"/>
            </w:tcBorders>
          </w:tcPr>
          <w:p>
            <w:pPr>
              <w:spacing w:after="0"/>
              <w:rPr>
                <w:sz w:val="5"/>
                <w:szCs w:val="5"/>
                <w:color w:val="auto"/>
              </w:rPr>
            </w:pPr>
          </w:p>
        </w:tc>
        <w:tc>
          <w:tcPr>
            <w:tcW w:w="900" w:type="dxa"/>
            <w:vAlign w:val="bottom"/>
            <w:tcBorders>
              <w:bottom w:val="single" w:sz="8" w:color="5673B8"/>
              <w:right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International Perspective</w:t>
            </w:r>
          </w:p>
        </w:tc>
        <w:tc>
          <w:tcPr>
            <w:tcW w:w="180" w:type="dxa"/>
            <w:vAlign w:val="bottom"/>
            <w:tcBorders>
              <w:right w:val="single" w:sz="8" w:color="5673B8"/>
            </w:tcBorders>
          </w:tcPr>
          <w:p>
            <w:pPr>
              <w:spacing w:after="0"/>
              <w:rPr>
                <w:sz w:val="22"/>
                <w:szCs w:val="22"/>
                <w:color w:val="auto"/>
              </w:rPr>
            </w:pPr>
          </w:p>
        </w:tc>
        <w:tc>
          <w:tcPr>
            <w:tcW w:w="40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48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64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80"/>
              <w:spacing w:after="0"/>
              <w:rPr>
                <w:sz w:val="20"/>
                <w:szCs w:val="20"/>
                <w:color w:val="auto"/>
              </w:rPr>
            </w:pPr>
            <w:r>
              <w:rPr>
                <w:rFonts w:ascii="Arial" w:cs="Arial" w:eastAsia="Arial" w:hAnsi="Arial"/>
                <w:sz w:val="27"/>
                <w:szCs w:val="27"/>
                <w:color w:val="5673B8"/>
              </w:rPr>
              <w:t>●</w:t>
            </w:r>
          </w:p>
        </w:tc>
        <w:tc>
          <w:tcPr>
            <w:tcW w:w="680" w:type="dxa"/>
            <w:vAlign w:val="bottom"/>
            <w:tcBorders>
              <w:right w:val="single" w:sz="8" w:color="5673B8"/>
            </w:tcBorders>
            <w:vMerge w:val="restart"/>
          </w:tcPr>
          <w:p>
            <w:pPr>
              <w:ind w:left="240"/>
              <w:spacing w:after="0"/>
              <w:rPr>
                <w:sz w:val="20"/>
                <w:szCs w:val="20"/>
                <w:color w:val="auto"/>
              </w:rPr>
            </w:pPr>
            <w:r>
              <w:rPr>
                <w:rFonts w:ascii="Arial" w:cs="Arial" w:eastAsia="Arial" w:hAnsi="Arial"/>
                <w:sz w:val="27"/>
                <w:szCs w:val="27"/>
                <w:color w:val="5673B8"/>
              </w:rPr>
              <w:t>●</w:t>
            </w:r>
          </w:p>
        </w:tc>
        <w:tc>
          <w:tcPr>
            <w:tcW w:w="62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740" w:type="dxa"/>
            <w:vAlign w:val="bottom"/>
            <w:tcBorders>
              <w:right w:val="single" w:sz="8" w:color="5673B8"/>
            </w:tcBorders>
            <w:vMerge w:val="restart"/>
          </w:tcPr>
          <w:p>
            <w:pPr>
              <w:jc w:val="center"/>
              <w:spacing w:after="0"/>
              <w:rPr>
                <w:sz w:val="20"/>
                <w:szCs w:val="20"/>
                <w:color w:val="auto"/>
              </w:rPr>
            </w:pPr>
            <w:r>
              <w:rPr>
                <w:rFonts w:ascii="Arial" w:cs="Arial" w:eastAsia="Arial" w:hAnsi="Arial"/>
                <w:sz w:val="27"/>
                <w:szCs w:val="27"/>
                <w:color w:val="5673B8"/>
                <w:w w:val="97"/>
              </w:rPr>
              <w:t>●</w:t>
            </w:r>
          </w:p>
        </w:tc>
        <w:tc>
          <w:tcPr>
            <w:tcW w:w="46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440" w:type="dxa"/>
            <w:vAlign w:val="bottom"/>
            <w:tcBorders>
              <w:right w:val="single" w:sz="8" w:color="5673B8"/>
            </w:tcBorders>
          </w:tcPr>
          <w:p>
            <w:pPr>
              <w:spacing w:after="0"/>
              <w:rPr>
                <w:sz w:val="22"/>
                <w:szCs w:val="22"/>
                <w:color w:val="auto"/>
              </w:rPr>
            </w:pPr>
          </w:p>
        </w:tc>
        <w:tc>
          <w:tcPr>
            <w:tcW w:w="900" w:type="dxa"/>
            <w:vAlign w:val="bottom"/>
            <w:tcBorders>
              <w:right w:val="single" w:sz="8" w:color="5673B8"/>
            </w:tcBorders>
            <w:vMerge w:val="restart"/>
          </w:tcPr>
          <w:p>
            <w:pPr>
              <w:ind w:left="360"/>
              <w:spacing w:after="0"/>
              <w:rPr>
                <w:sz w:val="20"/>
                <w:szCs w:val="20"/>
                <w:color w:val="auto"/>
              </w:rPr>
            </w:pPr>
            <w:r>
              <w:rPr>
                <w:rFonts w:ascii="Arial" w:cs="Arial" w:eastAsia="Arial" w:hAnsi="Arial"/>
                <w:sz w:val="27"/>
                <w:szCs w:val="27"/>
                <w:color w:val="5673B8"/>
              </w:rPr>
              <w:t>●</w:t>
            </w:r>
          </w:p>
        </w:tc>
        <w:tc>
          <w:tcPr>
            <w:tcW w:w="0" w:type="dxa"/>
            <w:vAlign w:val="bottom"/>
          </w:tcPr>
          <w:p>
            <w:pPr>
              <w:spacing w:after="0"/>
              <w:rPr>
                <w:sz w:val="1"/>
                <w:szCs w:val="1"/>
                <w:color w:val="auto"/>
              </w:rPr>
            </w:pPr>
          </w:p>
        </w:tc>
      </w:tr>
      <w:tr>
        <w:trPr>
          <w:trHeight w:val="182"/>
        </w:trPr>
        <w:tc>
          <w:tcPr>
            <w:tcW w:w="3880" w:type="dxa"/>
            <w:vAlign w:val="bottom"/>
          </w:tcPr>
          <w:p>
            <w:pPr>
              <w:ind w:left="460"/>
              <w:spacing w:after="0"/>
              <w:rPr>
                <w:sz w:val="20"/>
                <w:szCs w:val="20"/>
                <w:color w:val="auto"/>
              </w:rPr>
            </w:pPr>
            <w:r>
              <w:rPr>
                <w:rFonts w:ascii="Arial" w:cs="Arial" w:eastAsia="Arial" w:hAnsi="Arial"/>
                <w:sz w:val="14"/>
                <w:szCs w:val="14"/>
                <w:color w:val="auto"/>
              </w:rPr>
              <w:t>Experience or expertise in the operation of complex</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480" w:type="dxa"/>
            <w:vAlign w:val="bottom"/>
            <w:tcBorders>
              <w:right w:val="single" w:sz="8" w:color="5673B8"/>
            </w:tcBorders>
            <w:vMerge w:val="continue"/>
          </w:tcPr>
          <w:p>
            <w:pPr>
              <w:spacing w:after="0"/>
              <w:rPr>
                <w:sz w:val="15"/>
                <w:szCs w:val="15"/>
                <w:color w:val="auto"/>
              </w:rPr>
            </w:pPr>
          </w:p>
        </w:tc>
        <w:tc>
          <w:tcPr>
            <w:tcW w:w="6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680" w:type="dxa"/>
            <w:vAlign w:val="bottom"/>
            <w:tcBorders>
              <w:right w:val="single" w:sz="8" w:color="5673B8"/>
            </w:tcBorders>
            <w:vMerge w:val="continue"/>
          </w:tcPr>
          <w:p>
            <w:pPr>
              <w:spacing w:after="0"/>
              <w:rPr>
                <w:sz w:val="15"/>
                <w:szCs w:val="15"/>
                <w:color w:val="auto"/>
              </w:rPr>
            </w:pPr>
          </w:p>
        </w:tc>
        <w:tc>
          <w:tcPr>
            <w:tcW w:w="620" w:type="dxa"/>
            <w:vAlign w:val="bottom"/>
            <w:tcBorders>
              <w:right w:val="single" w:sz="8" w:color="5673B8"/>
            </w:tcBorders>
            <w:vMerge w:val="continue"/>
          </w:tcPr>
          <w:p>
            <w:pPr>
              <w:spacing w:after="0"/>
              <w:rPr>
                <w:sz w:val="15"/>
                <w:szCs w:val="15"/>
                <w:color w:val="auto"/>
              </w:rPr>
            </w:pPr>
          </w:p>
        </w:tc>
        <w:tc>
          <w:tcPr>
            <w:tcW w:w="740" w:type="dxa"/>
            <w:vAlign w:val="bottom"/>
            <w:tcBorders>
              <w:right w:val="single" w:sz="8" w:color="5673B8"/>
            </w:tcBorders>
            <w:vMerge w:val="continue"/>
          </w:tcPr>
          <w:p>
            <w:pPr>
              <w:spacing w:after="0"/>
              <w:rPr>
                <w:sz w:val="15"/>
                <w:szCs w:val="15"/>
                <w:color w:val="auto"/>
              </w:rPr>
            </w:pPr>
          </w:p>
        </w:tc>
        <w:tc>
          <w:tcPr>
            <w:tcW w:w="460" w:type="dxa"/>
            <w:vAlign w:val="bottom"/>
            <w:tcBorders>
              <w:right w:val="single" w:sz="8" w:color="5673B8"/>
            </w:tcBorders>
            <w:vMerge w:val="continue"/>
          </w:tcPr>
          <w:p>
            <w:pPr>
              <w:spacing w:after="0"/>
              <w:rPr>
                <w:sz w:val="15"/>
                <w:szCs w:val="15"/>
                <w:color w:val="auto"/>
              </w:rPr>
            </w:pP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460"/>
              <w:spacing w:after="0"/>
              <w:rPr>
                <w:sz w:val="20"/>
                <w:szCs w:val="20"/>
                <w:color w:val="auto"/>
              </w:rPr>
            </w:pPr>
            <w:r>
              <w:rPr>
                <w:rFonts w:ascii="Arial" w:cs="Arial" w:eastAsia="Arial" w:hAnsi="Arial"/>
                <w:sz w:val="14"/>
                <w:szCs w:val="14"/>
                <w:color w:val="auto"/>
              </w:rPr>
              <w:t>multinational organizations</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tcPr>
          <w:p>
            <w:pPr>
              <w:spacing w:after="0"/>
              <w:rPr>
                <w:sz w:val="16"/>
                <w:szCs w:val="16"/>
                <w:color w:val="auto"/>
              </w:rPr>
            </w:pPr>
          </w:p>
        </w:tc>
        <w:tc>
          <w:tcPr>
            <w:tcW w:w="440" w:type="dxa"/>
            <w:vAlign w:val="bottom"/>
            <w:tcBorders>
              <w:right w:val="single" w:sz="8" w:color="5673B8"/>
            </w:tcBorders>
          </w:tcPr>
          <w:p>
            <w:pPr>
              <w:spacing w:after="0"/>
              <w:rPr>
                <w:sz w:val="16"/>
                <w:szCs w:val="16"/>
                <w:color w:val="auto"/>
              </w:rPr>
            </w:pPr>
          </w:p>
        </w:tc>
        <w:tc>
          <w:tcPr>
            <w:tcW w:w="900" w:type="dxa"/>
            <w:vAlign w:val="bottom"/>
            <w:tcBorders>
              <w:right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880" w:type="dxa"/>
            <w:vAlign w:val="bottom"/>
            <w:tcBorders>
              <w:bottom w:val="single" w:sz="8" w:color="5673B8"/>
            </w:tcBorders>
          </w:tcPr>
          <w:p>
            <w:pPr>
              <w:spacing w:after="0"/>
              <w:rPr>
                <w:sz w:val="5"/>
                <w:szCs w:val="5"/>
                <w:color w:val="auto"/>
              </w:rPr>
            </w:pPr>
          </w:p>
        </w:tc>
        <w:tc>
          <w:tcPr>
            <w:tcW w:w="180" w:type="dxa"/>
            <w:vAlign w:val="bottom"/>
            <w:tcBorders>
              <w:bottom w:val="single" w:sz="8" w:color="5673B8"/>
              <w:right w:val="single" w:sz="8" w:color="5673B8"/>
            </w:tcBorders>
          </w:tcPr>
          <w:p>
            <w:pPr>
              <w:spacing w:after="0"/>
              <w:rPr>
                <w:sz w:val="5"/>
                <w:szCs w:val="5"/>
                <w:color w:val="auto"/>
              </w:rPr>
            </w:pPr>
          </w:p>
        </w:tc>
        <w:tc>
          <w:tcPr>
            <w:tcW w:w="40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480" w:type="dxa"/>
            <w:vAlign w:val="bottom"/>
            <w:tcBorders>
              <w:bottom w:val="single" w:sz="8" w:color="5673B8"/>
              <w:right w:val="single" w:sz="8" w:color="5673B8"/>
            </w:tcBorders>
          </w:tcPr>
          <w:p>
            <w:pPr>
              <w:spacing w:after="0"/>
              <w:rPr>
                <w:sz w:val="5"/>
                <w:szCs w:val="5"/>
                <w:color w:val="auto"/>
              </w:rPr>
            </w:pPr>
          </w:p>
        </w:tc>
        <w:tc>
          <w:tcPr>
            <w:tcW w:w="6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680" w:type="dxa"/>
            <w:vAlign w:val="bottom"/>
            <w:tcBorders>
              <w:bottom w:val="single" w:sz="8" w:color="5673B8"/>
              <w:right w:val="single" w:sz="8" w:color="5673B8"/>
            </w:tcBorders>
          </w:tcPr>
          <w:p>
            <w:pPr>
              <w:spacing w:after="0"/>
              <w:rPr>
                <w:sz w:val="5"/>
                <w:szCs w:val="5"/>
                <w:color w:val="auto"/>
              </w:rPr>
            </w:pPr>
          </w:p>
        </w:tc>
        <w:tc>
          <w:tcPr>
            <w:tcW w:w="620" w:type="dxa"/>
            <w:vAlign w:val="bottom"/>
            <w:tcBorders>
              <w:bottom w:val="single" w:sz="8" w:color="5673B8"/>
              <w:right w:val="single" w:sz="8" w:color="5673B8"/>
            </w:tcBorders>
          </w:tcPr>
          <w:p>
            <w:pPr>
              <w:spacing w:after="0"/>
              <w:rPr>
                <w:sz w:val="5"/>
                <w:szCs w:val="5"/>
                <w:color w:val="auto"/>
              </w:rPr>
            </w:pPr>
          </w:p>
        </w:tc>
        <w:tc>
          <w:tcPr>
            <w:tcW w:w="740" w:type="dxa"/>
            <w:vAlign w:val="bottom"/>
            <w:tcBorders>
              <w:bottom w:val="single" w:sz="8" w:color="5673B8"/>
              <w:right w:val="single" w:sz="8" w:color="5673B8"/>
            </w:tcBorders>
          </w:tcPr>
          <w:p>
            <w:pPr>
              <w:spacing w:after="0"/>
              <w:rPr>
                <w:sz w:val="5"/>
                <w:szCs w:val="5"/>
                <w:color w:val="auto"/>
              </w:rPr>
            </w:pPr>
          </w:p>
        </w:tc>
        <w:tc>
          <w:tcPr>
            <w:tcW w:w="460" w:type="dxa"/>
            <w:vAlign w:val="bottom"/>
            <w:tcBorders>
              <w:bottom w:val="single" w:sz="8" w:color="5673B8"/>
              <w:right w:val="single" w:sz="8" w:color="5673B8"/>
            </w:tcBorders>
          </w:tcPr>
          <w:p>
            <w:pPr>
              <w:spacing w:after="0"/>
              <w:rPr>
                <w:sz w:val="5"/>
                <w:szCs w:val="5"/>
                <w:color w:val="auto"/>
              </w:rPr>
            </w:pPr>
          </w:p>
        </w:tc>
        <w:tc>
          <w:tcPr>
            <w:tcW w:w="440" w:type="dxa"/>
            <w:vAlign w:val="bottom"/>
            <w:tcBorders>
              <w:bottom w:val="single" w:sz="8" w:color="5673B8"/>
              <w:right w:val="single" w:sz="8" w:color="5673B8"/>
            </w:tcBorders>
          </w:tcPr>
          <w:p>
            <w:pPr>
              <w:spacing w:after="0"/>
              <w:rPr>
                <w:sz w:val="5"/>
                <w:szCs w:val="5"/>
                <w:color w:val="auto"/>
              </w:rPr>
            </w:pPr>
          </w:p>
        </w:tc>
        <w:tc>
          <w:tcPr>
            <w:tcW w:w="900" w:type="dxa"/>
            <w:vAlign w:val="bottom"/>
            <w:tcBorders>
              <w:bottom w:val="single" w:sz="8" w:color="5673B8"/>
              <w:right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Public Policy and Regulation</w:t>
            </w:r>
          </w:p>
        </w:tc>
        <w:tc>
          <w:tcPr>
            <w:tcW w:w="180" w:type="dxa"/>
            <w:vAlign w:val="bottom"/>
            <w:tcBorders>
              <w:right w:val="single" w:sz="8" w:color="5673B8"/>
            </w:tcBorders>
          </w:tcPr>
          <w:p>
            <w:pPr>
              <w:spacing w:after="0"/>
              <w:rPr>
                <w:sz w:val="22"/>
                <w:szCs w:val="22"/>
                <w:color w:val="auto"/>
              </w:rPr>
            </w:pPr>
          </w:p>
        </w:tc>
        <w:tc>
          <w:tcPr>
            <w:tcW w:w="400" w:type="dxa"/>
            <w:vAlign w:val="bottom"/>
            <w:tcBorders>
              <w:right w:val="single" w:sz="8" w:color="5673B8"/>
            </w:tcBorders>
          </w:tcPr>
          <w:p>
            <w:pPr>
              <w:spacing w:after="0"/>
              <w:rPr>
                <w:sz w:val="22"/>
                <w:szCs w:val="22"/>
                <w:color w:val="auto"/>
              </w:rPr>
            </w:pP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480" w:type="dxa"/>
            <w:vAlign w:val="bottom"/>
            <w:tcBorders>
              <w:right w:val="single" w:sz="8" w:color="5673B8"/>
            </w:tcBorders>
          </w:tcPr>
          <w:p>
            <w:pPr>
              <w:spacing w:after="0"/>
              <w:rPr>
                <w:sz w:val="22"/>
                <w:szCs w:val="22"/>
                <w:color w:val="auto"/>
              </w:rPr>
            </w:pPr>
          </w:p>
        </w:tc>
        <w:tc>
          <w:tcPr>
            <w:tcW w:w="64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80"/>
              <w:spacing w:after="0"/>
              <w:rPr>
                <w:sz w:val="20"/>
                <w:szCs w:val="20"/>
                <w:color w:val="auto"/>
              </w:rPr>
            </w:pPr>
            <w:r>
              <w:rPr>
                <w:rFonts w:ascii="Arial" w:cs="Arial" w:eastAsia="Arial" w:hAnsi="Arial"/>
                <w:sz w:val="27"/>
                <w:szCs w:val="27"/>
                <w:color w:val="5673B8"/>
              </w:rPr>
              <w:t>●</w:t>
            </w:r>
          </w:p>
        </w:tc>
        <w:tc>
          <w:tcPr>
            <w:tcW w:w="680" w:type="dxa"/>
            <w:vAlign w:val="bottom"/>
            <w:tcBorders>
              <w:right w:val="single" w:sz="8" w:color="5673B8"/>
            </w:tcBorders>
            <w:vMerge w:val="restart"/>
          </w:tcPr>
          <w:p>
            <w:pPr>
              <w:ind w:left="240"/>
              <w:spacing w:after="0"/>
              <w:rPr>
                <w:sz w:val="20"/>
                <w:szCs w:val="20"/>
                <w:color w:val="auto"/>
              </w:rPr>
            </w:pPr>
            <w:r>
              <w:rPr>
                <w:rFonts w:ascii="Arial" w:cs="Arial" w:eastAsia="Arial" w:hAnsi="Arial"/>
                <w:sz w:val="27"/>
                <w:szCs w:val="27"/>
                <w:color w:val="5673B8"/>
              </w:rPr>
              <w:t>●</w:t>
            </w:r>
          </w:p>
        </w:tc>
        <w:tc>
          <w:tcPr>
            <w:tcW w:w="620" w:type="dxa"/>
            <w:vAlign w:val="bottom"/>
            <w:tcBorders>
              <w:right w:val="single" w:sz="8" w:color="5673B8"/>
            </w:tcBorders>
          </w:tcPr>
          <w:p>
            <w:pPr>
              <w:spacing w:after="0"/>
              <w:rPr>
                <w:sz w:val="22"/>
                <w:szCs w:val="22"/>
                <w:color w:val="auto"/>
              </w:rPr>
            </w:pPr>
          </w:p>
        </w:tc>
        <w:tc>
          <w:tcPr>
            <w:tcW w:w="740" w:type="dxa"/>
            <w:vAlign w:val="bottom"/>
            <w:tcBorders>
              <w:right w:val="single" w:sz="8" w:color="5673B8"/>
            </w:tcBorders>
          </w:tcPr>
          <w:p>
            <w:pPr>
              <w:spacing w:after="0"/>
              <w:rPr>
                <w:sz w:val="22"/>
                <w:szCs w:val="22"/>
                <w:color w:val="auto"/>
              </w:rPr>
            </w:pPr>
          </w:p>
        </w:tc>
        <w:tc>
          <w:tcPr>
            <w:tcW w:w="46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44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900" w:type="dxa"/>
            <w:vAlign w:val="bottom"/>
            <w:tcBorders>
              <w:right w:val="single" w:sz="8" w:color="5673B8"/>
            </w:tcBorders>
            <w:vMerge w:val="restart"/>
          </w:tcPr>
          <w:p>
            <w:pPr>
              <w:ind w:left="360"/>
              <w:spacing w:after="0"/>
              <w:rPr>
                <w:sz w:val="20"/>
                <w:szCs w:val="20"/>
                <w:color w:val="auto"/>
              </w:rPr>
            </w:pPr>
            <w:r>
              <w:rPr>
                <w:rFonts w:ascii="Arial" w:cs="Arial" w:eastAsia="Arial" w:hAnsi="Arial"/>
                <w:sz w:val="27"/>
                <w:szCs w:val="27"/>
                <w:color w:val="5673B8"/>
              </w:rPr>
              <w:t>●</w:t>
            </w:r>
          </w:p>
        </w:tc>
        <w:tc>
          <w:tcPr>
            <w:tcW w:w="0" w:type="dxa"/>
            <w:vAlign w:val="bottom"/>
          </w:tcPr>
          <w:p>
            <w:pPr>
              <w:spacing w:after="0"/>
              <w:rPr>
                <w:sz w:val="1"/>
                <w:szCs w:val="1"/>
                <w:color w:val="auto"/>
              </w:rPr>
            </w:pPr>
          </w:p>
        </w:tc>
      </w:tr>
      <w:tr>
        <w:trPr>
          <w:trHeight w:val="182"/>
        </w:trPr>
        <w:tc>
          <w:tcPr>
            <w:tcW w:w="3880" w:type="dxa"/>
            <w:vAlign w:val="bottom"/>
          </w:tcPr>
          <w:p>
            <w:pPr>
              <w:ind w:left="460"/>
              <w:spacing w:after="0"/>
              <w:rPr>
                <w:sz w:val="20"/>
                <w:szCs w:val="20"/>
                <w:color w:val="auto"/>
              </w:rPr>
            </w:pPr>
            <w:r>
              <w:rPr>
                <w:rFonts w:ascii="Arial" w:cs="Arial" w:eastAsia="Arial" w:hAnsi="Arial"/>
                <w:sz w:val="14"/>
                <w:szCs w:val="14"/>
                <w:color w:val="auto"/>
              </w:rPr>
              <w:t>Experience operating in a highly regulated industry,</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480" w:type="dxa"/>
            <w:vAlign w:val="bottom"/>
            <w:tcBorders>
              <w:right w:val="single" w:sz="8" w:color="5673B8"/>
            </w:tcBorders>
          </w:tcPr>
          <w:p>
            <w:pPr>
              <w:spacing w:after="0"/>
              <w:rPr>
                <w:sz w:val="15"/>
                <w:szCs w:val="15"/>
                <w:color w:val="auto"/>
              </w:rPr>
            </w:pPr>
          </w:p>
        </w:tc>
        <w:tc>
          <w:tcPr>
            <w:tcW w:w="6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680" w:type="dxa"/>
            <w:vAlign w:val="bottom"/>
            <w:tcBorders>
              <w:right w:val="single" w:sz="8" w:color="5673B8"/>
            </w:tcBorders>
            <w:vMerge w:val="continue"/>
          </w:tcPr>
          <w:p>
            <w:pPr>
              <w:spacing w:after="0"/>
              <w:rPr>
                <w:sz w:val="15"/>
                <w:szCs w:val="15"/>
                <w:color w:val="auto"/>
              </w:rPr>
            </w:pPr>
          </w:p>
        </w:tc>
        <w:tc>
          <w:tcPr>
            <w:tcW w:w="620" w:type="dxa"/>
            <w:vAlign w:val="bottom"/>
            <w:tcBorders>
              <w:right w:val="single" w:sz="8" w:color="5673B8"/>
            </w:tcBorders>
          </w:tcPr>
          <w:p>
            <w:pPr>
              <w:spacing w:after="0"/>
              <w:rPr>
                <w:sz w:val="15"/>
                <w:szCs w:val="15"/>
                <w:color w:val="auto"/>
              </w:rPr>
            </w:pPr>
          </w:p>
        </w:tc>
        <w:tc>
          <w:tcPr>
            <w:tcW w:w="740" w:type="dxa"/>
            <w:vAlign w:val="bottom"/>
            <w:tcBorders>
              <w:right w:val="single" w:sz="8" w:color="5673B8"/>
            </w:tcBorders>
          </w:tcPr>
          <w:p>
            <w:pPr>
              <w:spacing w:after="0"/>
              <w:rPr>
                <w:sz w:val="15"/>
                <w:szCs w:val="15"/>
                <w:color w:val="auto"/>
              </w:rPr>
            </w:pPr>
          </w:p>
        </w:tc>
        <w:tc>
          <w:tcPr>
            <w:tcW w:w="460" w:type="dxa"/>
            <w:vAlign w:val="bottom"/>
            <w:tcBorders>
              <w:right w:val="single" w:sz="8" w:color="5673B8"/>
            </w:tcBorders>
            <w:vMerge w:val="continue"/>
          </w:tcPr>
          <w:p>
            <w:pPr>
              <w:spacing w:after="0"/>
              <w:rPr>
                <w:sz w:val="15"/>
                <w:szCs w:val="15"/>
                <w:color w:val="auto"/>
              </w:rPr>
            </w:pPr>
          </w:p>
        </w:tc>
        <w:tc>
          <w:tcPr>
            <w:tcW w:w="440" w:type="dxa"/>
            <w:vAlign w:val="bottom"/>
            <w:tcBorders>
              <w:right w:val="single" w:sz="8" w:color="5673B8"/>
            </w:tcBorders>
            <w:vMerge w:val="continue"/>
          </w:tcPr>
          <w:p>
            <w:pPr>
              <w:spacing w:after="0"/>
              <w:rPr>
                <w:sz w:val="15"/>
                <w:szCs w:val="15"/>
                <w:color w:val="auto"/>
              </w:rPr>
            </w:pPr>
          </w:p>
        </w:tc>
        <w:tc>
          <w:tcPr>
            <w:tcW w:w="900" w:type="dxa"/>
            <w:vAlign w:val="bottom"/>
            <w:tcBorders>
              <w:right w:val="single" w:sz="8" w:color="5673B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tcPr>
          <w:p>
            <w:pPr>
              <w:ind w:left="460"/>
              <w:spacing w:after="0"/>
              <w:rPr>
                <w:sz w:val="20"/>
                <w:szCs w:val="20"/>
                <w:color w:val="auto"/>
              </w:rPr>
            </w:pPr>
            <w:r>
              <w:rPr>
                <w:rFonts w:ascii="Arial" w:cs="Arial" w:eastAsia="Arial" w:hAnsi="Arial"/>
                <w:sz w:val="14"/>
                <w:szCs w:val="14"/>
                <w:color w:val="auto"/>
              </w:rPr>
              <w:t>navigating governmental or public policy matters</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5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480" w:type="dxa"/>
            <w:vAlign w:val="bottom"/>
            <w:tcBorders>
              <w:right w:val="single" w:sz="8" w:color="5673B8"/>
            </w:tcBorders>
          </w:tcPr>
          <w:p>
            <w:pPr>
              <w:spacing w:after="0"/>
              <w:rPr>
                <w:sz w:val="15"/>
                <w:szCs w:val="15"/>
                <w:color w:val="auto"/>
              </w:rPr>
            </w:pPr>
          </w:p>
        </w:tc>
        <w:tc>
          <w:tcPr>
            <w:tcW w:w="640" w:type="dxa"/>
            <w:vAlign w:val="bottom"/>
            <w:tcBorders>
              <w:right w:val="single" w:sz="8" w:color="5673B8"/>
            </w:tcBorders>
            <w:vMerge w:val="continue"/>
          </w:tcPr>
          <w:p>
            <w:pPr>
              <w:spacing w:after="0"/>
              <w:rPr>
                <w:sz w:val="15"/>
                <w:szCs w:val="15"/>
                <w:color w:val="auto"/>
              </w:rPr>
            </w:pPr>
          </w:p>
        </w:tc>
        <w:tc>
          <w:tcPr>
            <w:tcW w:w="380" w:type="dxa"/>
            <w:vAlign w:val="bottom"/>
            <w:tcBorders>
              <w:right w:val="single" w:sz="8" w:color="5673B8"/>
            </w:tcBorders>
            <w:vMerge w:val="continue"/>
          </w:tcPr>
          <w:p>
            <w:pPr>
              <w:spacing w:after="0"/>
              <w:rPr>
                <w:sz w:val="15"/>
                <w:szCs w:val="15"/>
                <w:color w:val="auto"/>
              </w:rPr>
            </w:pPr>
          </w:p>
        </w:tc>
        <w:tc>
          <w:tcPr>
            <w:tcW w:w="680" w:type="dxa"/>
            <w:vAlign w:val="bottom"/>
            <w:tcBorders>
              <w:right w:val="single" w:sz="8" w:color="5673B8"/>
            </w:tcBorders>
            <w:vMerge w:val="continue"/>
          </w:tcPr>
          <w:p>
            <w:pPr>
              <w:spacing w:after="0"/>
              <w:rPr>
                <w:sz w:val="15"/>
                <w:szCs w:val="15"/>
                <w:color w:val="auto"/>
              </w:rPr>
            </w:pPr>
          </w:p>
        </w:tc>
        <w:tc>
          <w:tcPr>
            <w:tcW w:w="620" w:type="dxa"/>
            <w:vAlign w:val="bottom"/>
            <w:tcBorders>
              <w:right w:val="single" w:sz="8" w:color="5673B8"/>
            </w:tcBorders>
          </w:tcPr>
          <w:p>
            <w:pPr>
              <w:spacing w:after="0"/>
              <w:rPr>
                <w:sz w:val="15"/>
                <w:szCs w:val="15"/>
                <w:color w:val="auto"/>
              </w:rPr>
            </w:pPr>
          </w:p>
        </w:tc>
        <w:tc>
          <w:tcPr>
            <w:tcW w:w="740" w:type="dxa"/>
            <w:vAlign w:val="bottom"/>
            <w:tcBorders>
              <w:right w:val="single" w:sz="8" w:color="5673B8"/>
            </w:tcBorders>
          </w:tcPr>
          <w:p>
            <w:pPr>
              <w:spacing w:after="0"/>
              <w:rPr>
                <w:sz w:val="15"/>
                <w:szCs w:val="15"/>
                <w:color w:val="auto"/>
              </w:rPr>
            </w:pPr>
          </w:p>
        </w:tc>
        <w:tc>
          <w:tcPr>
            <w:tcW w:w="460" w:type="dxa"/>
            <w:vAlign w:val="bottom"/>
            <w:tcBorders>
              <w:right w:val="single" w:sz="8" w:color="5673B8"/>
            </w:tcBorders>
            <w:vMerge w:val="continue"/>
          </w:tcPr>
          <w:p>
            <w:pPr>
              <w:spacing w:after="0"/>
              <w:rPr>
                <w:sz w:val="15"/>
                <w:szCs w:val="15"/>
                <w:color w:val="auto"/>
              </w:rPr>
            </w:pPr>
          </w:p>
        </w:tc>
        <w:tc>
          <w:tcPr>
            <w:tcW w:w="440" w:type="dxa"/>
            <w:vAlign w:val="bottom"/>
            <w:tcBorders>
              <w:right w:val="single" w:sz="8" w:color="5673B8"/>
            </w:tcBorders>
            <w:vMerge w:val="continue"/>
          </w:tcPr>
          <w:p>
            <w:pPr>
              <w:spacing w:after="0"/>
              <w:rPr>
                <w:sz w:val="15"/>
                <w:szCs w:val="15"/>
                <w:color w:val="auto"/>
              </w:rPr>
            </w:pPr>
          </w:p>
        </w:tc>
        <w:tc>
          <w:tcPr>
            <w:tcW w:w="900" w:type="dxa"/>
            <w:vAlign w:val="bottom"/>
            <w:tcBorders>
              <w:right w:val="single" w:sz="8" w:color="5673B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460"/>
              <w:spacing w:after="0"/>
              <w:rPr>
                <w:sz w:val="20"/>
                <w:szCs w:val="20"/>
                <w:color w:val="auto"/>
              </w:rPr>
            </w:pPr>
            <w:r>
              <w:rPr>
                <w:rFonts w:ascii="Arial" w:cs="Arial" w:eastAsia="Arial" w:hAnsi="Arial"/>
                <w:sz w:val="14"/>
                <w:szCs w:val="14"/>
                <w:color w:val="auto"/>
              </w:rPr>
              <w:t>related to medicines and healthcare products</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tcPr>
          <w:p>
            <w:pPr>
              <w:spacing w:after="0"/>
              <w:rPr>
                <w:sz w:val="16"/>
                <w:szCs w:val="16"/>
                <w:color w:val="auto"/>
              </w:rPr>
            </w:pPr>
          </w:p>
        </w:tc>
        <w:tc>
          <w:tcPr>
            <w:tcW w:w="440" w:type="dxa"/>
            <w:vAlign w:val="bottom"/>
            <w:tcBorders>
              <w:right w:val="single" w:sz="8" w:color="5673B8"/>
            </w:tcBorders>
          </w:tcPr>
          <w:p>
            <w:pPr>
              <w:spacing w:after="0"/>
              <w:rPr>
                <w:sz w:val="16"/>
                <w:szCs w:val="16"/>
                <w:color w:val="auto"/>
              </w:rPr>
            </w:pPr>
          </w:p>
        </w:tc>
        <w:tc>
          <w:tcPr>
            <w:tcW w:w="900" w:type="dxa"/>
            <w:vAlign w:val="bottom"/>
            <w:tcBorders>
              <w:right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880" w:type="dxa"/>
            <w:vAlign w:val="bottom"/>
            <w:tcBorders>
              <w:bottom w:val="single" w:sz="8" w:color="5673B8"/>
            </w:tcBorders>
          </w:tcPr>
          <w:p>
            <w:pPr>
              <w:spacing w:after="0"/>
              <w:rPr>
                <w:sz w:val="5"/>
                <w:szCs w:val="5"/>
                <w:color w:val="auto"/>
              </w:rPr>
            </w:pPr>
          </w:p>
        </w:tc>
        <w:tc>
          <w:tcPr>
            <w:tcW w:w="180" w:type="dxa"/>
            <w:vAlign w:val="bottom"/>
            <w:tcBorders>
              <w:bottom w:val="single" w:sz="8" w:color="5673B8"/>
              <w:right w:val="single" w:sz="8" w:color="5673B8"/>
            </w:tcBorders>
          </w:tcPr>
          <w:p>
            <w:pPr>
              <w:spacing w:after="0"/>
              <w:rPr>
                <w:sz w:val="5"/>
                <w:szCs w:val="5"/>
                <w:color w:val="auto"/>
              </w:rPr>
            </w:pPr>
          </w:p>
        </w:tc>
        <w:tc>
          <w:tcPr>
            <w:tcW w:w="40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5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480" w:type="dxa"/>
            <w:vAlign w:val="bottom"/>
            <w:tcBorders>
              <w:bottom w:val="single" w:sz="8" w:color="5673B8"/>
              <w:right w:val="single" w:sz="8" w:color="5673B8"/>
            </w:tcBorders>
          </w:tcPr>
          <w:p>
            <w:pPr>
              <w:spacing w:after="0"/>
              <w:rPr>
                <w:sz w:val="5"/>
                <w:szCs w:val="5"/>
                <w:color w:val="auto"/>
              </w:rPr>
            </w:pPr>
          </w:p>
        </w:tc>
        <w:tc>
          <w:tcPr>
            <w:tcW w:w="640" w:type="dxa"/>
            <w:vAlign w:val="bottom"/>
            <w:tcBorders>
              <w:bottom w:val="single" w:sz="8" w:color="5673B8"/>
              <w:right w:val="single" w:sz="8" w:color="5673B8"/>
            </w:tcBorders>
          </w:tcPr>
          <w:p>
            <w:pPr>
              <w:spacing w:after="0"/>
              <w:rPr>
                <w:sz w:val="5"/>
                <w:szCs w:val="5"/>
                <w:color w:val="auto"/>
              </w:rPr>
            </w:pPr>
          </w:p>
        </w:tc>
        <w:tc>
          <w:tcPr>
            <w:tcW w:w="380" w:type="dxa"/>
            <w:vAlign w:val="bottom"/>
            <w:tcBorders>
              <w:bottom w:val="single" w:sz="8" w:color="5673B8"/>
              <w:right w:val="single" w:sz="8" w:color="5673B8"/>
            </w:tcBorders>
          </w:tcPr>
          <w:p>
            <w:pPr>
              <w:spacing w:after="0"/>
              <w:rPr>
                <w:sz w:val="5"/>
                <w:szCs w:val="5"/>
                <w:color w:val="auto"/>
              </w:rPr>
            </w:pPr>
          </w:p>
        </w:tc>
        <w:tc>
          <w:tcPr>
            <w:tcW w:w="680" w:type="dxa"/>
            <w:vAlign w:val="bottom"/>
            <w:tcBorders>
              <w:bottom w:val="single" w:sz="8" w:color="5673B8"/>
              <w:right w:val="single" w:sz="8" w:color="5673B8"/>
            </w:tcBorders>
          </w:tcPr>
          <w:p>
            <w:pPr>
              <w:spacing w:after="0"/>
              <w:rPr>
                <w:sz w:val="5"/>
                <w:szCs w:val="5"/>
                <w:color w:val="auto"/>
              </w:rPr>
            </w:pPr>
          </w:p>
        </w:tc>
        <w:tc>
          <w:tcPr>
            <w:tcW w:w="620" w:type="dxa"/>
            <w:vAlign w:val="bottom"/>
            <w:tcBorders>
              <w:bottom w:val="single" w:sz="8" w:color="5673B8"/>
              <w:right w:val="single" w:sz="8" w:color="5673B8"/>
            </w:tcBorders>
          </w:tcPr>
          <w:p>
            <w:pPr>
              <w:spacing w:after="0"/>
              <w:rPr>
                <w:sz w:val="5"/>
                <w:szCs w:val="5"/>
                <w:color w:val="auto"/>
              </w:rPr>
            </w:pPr>
          </w:p>
        </w:tc>
        <w:tc>
          <w:tcPr>
            <w:tcW w:w="740" w:type="dxa"/>
            <w:vAlign w:val="bottom"/>
            <w:tcBorders>
              <w:bottom w:val="single" w:sz="8" w:color="5673B8"/>
              <w:right w:val="single" w:sz="8" w:color="5673B8"/>
            </w:tcBorders>
          </w:tcPr>
          <w:p>
            <w:pPr>
              <w:spacing w:after="0"/>
              <w:rPr>
                <w:sz w:val="5"/>
                <w:szCs w:val="5"/>
                <w:color w:val="auto"/>
              </w:rPr>
            </w:pPr>
          </w:p>
        </w:tc>
        <w:tc>
          <w:tcPr>
            <w:tcW w:w="460" w:type="dxa"/>
            <w:vAlign w:val="bottom"/>
            <w:tcBorders>
              <w:bottom w:val="single" w:sz="8" w:color="5673B8"/>
              <w:right w:val="single" w:sz="8" w:color="5673B8"/>
            </w:tcBorders>
          </w:tcPr>
          <w:p>
            <w:pPr>
              <w:spacing w:after="0"/>
              <w:rPr>
                <w:sz w:val="5"/>
                <w:szCs w:val="5"/>
                <w:color w:val="auto"/>
              </w:rPr>
            </w:pPr>
          </w:p>
        </w:tc>
        <w:tc>
          <w:tcPr>
            <w:tcW w:w="440" w:type="dxa"/>
            <w:vAlign w:val="bottom"/>
            <w:tcBorders>
              <w:bottom w:val="single" w:sz="8" w:color="5673B8"/>
              <w:right w:val="single" w:sz="8" w:color="5673B8"/>
            </w:tcBorders>
          </w:tcPr>
          <w:p>
            <w:pPr>
              <w:spacing w:after="0"/>
              <w:rPr>
                <w:sz w:val="5"/>
                <w:szCs w:val="5"/>
                <w:color w:val="auto"/>
              </w:rPr>
            </w:pPr>
          </w:p>
        </w:tc>
        <w:tc>
          <w:tcPr>
            <w:tcW w:w="900" w:type="dxa"/>
            <w:vAlign w:val="bottom"/>
            <w:tcBorders>
              <w:bottom w:val="single" w:sz="8" w:color="5673B8"/>
              <w:right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3880" w:type="dxa"/>
            <w:vAlign w:val="bottom"/>
          </w:tcPr>
          <w:p>
            <w:pPr>
              <w:ind w:left="460"/>
              <w:spacing w:after="0"/>
              <w:rPr>
                <w:sz w:val="20"/>
                <w:szCs w:val="20"/>
                <w:color w:val="auto"/>
              </w:rPr>
            </w:pPr>
            <w:r>
              <w:rPr>
                <w:rFonts w:ascii="Arial" w:cs="Arial" w:eastAsia="Arial" w:hAnsi="Arial"/>
                <w:sz w:val="14"/>
                <w:szCs w:val="14"/>
                <w:b w:val="1"/>
                <w:bCs w:val="1"/>
                <w:color w:val="852166"/>
              </w:rPr>
              <w:t>Human Capital</w:t>
            </w:r>
          </w:p>
        </w:tc>
        <w:tc>
          <w:tcPr>
            <w:tcW w:w="180" w:type="dxa"/>
            <w:vAlign w:val="bottom"/>
            <w:tcBorders>
              <w:right w:val="single" w:sz="8" w:color="5673B8"/>
            </w:tcBorders>
          </w:tcPr>
          <w:p>
            <w:pPr>
              <w:spacing w:after="0"/>
              <w:rPr>
                <w:sz w:val="22"/>
                <w:szCs w:val="22"/>
                <w:color w:val="auto"/>
              </w:rPr>
            </w:pPr>
          </w:p>
        </w:tc>
        <w:tc>
          <w:tcPr>
            <w:tcW w:w="400" w:type="dxa"/>
            <w:vAlign w:val="bottom"/>
            <w:tcBorders>
              <w:right w:val="single" w:sz="8" w:color="5673B8"/>
            </w:tcBorders>
          </w:tcPr>
          <w:p>
            <w:pPr>
              <w:spacing w:after="0"/>
              <w:rPr>
                <w:sz w:val="22"/>
                <w:szCs w:val="22"/>
                <w:color w:val="auto"/>
              </w:rPr>
            </w:pPr>
          </w:p>
        </w:tc>
        <w:tc>
          <w:tcPr>
            <w:tcW w:w="540" w:type="dxa"/>
            <w:vAlign w:val="bottom"/>
            <w:tcBorders>
              <w:right w:val="single" w:sz="8" w:color="5673B8"/>
            </w:tcBorders>
          </w:tcPr>
          <w:p>
            <w:pPr>
              <w:spacing w:after="0"/>
              <w:rPr>
                <w:sz w:val="22"/>
                <w:szCs w:val="22"/>
                <w:color w:val="auto"/>
              </w:rPr>
            </w:pPr>
          </w:p>
        </w:tc>
        <w:tc>
          <w:tcPr>
            <w:tcW w:w="540" w:type="dxa"/>
            <w:vAlign w:val="bottom"/>
            <w:tcBorders>
              <w:right w:val="single" w:sz="8" w:color="5673B8"/>
            </w:tcBorders>
          </w:tcPr>
          <w:p>
            <w:pPr>
              <w:spacing w:after="0"/>
              <w:rPr>
                <w:sz w:val="22"/>
                <w:szCs w:val="22"/>
                <w:color w:val="auto"/>
              </w:rPr>
            </w:pPr>
          </w:p>
        </w:tc>
        <w:tc>
          <w:tcPr>
            <w:tcW w:w="380" w:type="dxa"/>
            <w:vAlign w:val="bottom"/>
            <w:tcBorders>
              <w:right w:val="single" w:sz="8" w:color="5673B8"/>
            </w:tcBorders>
          </w:tcPr>
          <w:p>
            <w:pPr>
              <w:spacing w:after="0"/>
              <w:rPr>
                <w:sz w:val="22"/>
                <w:szCs w:val="22"/>
                <w:color w:val="auto"/>
              </w:rPr>
            </w:pPr>
          </w:p>
        </w:tc>
        <w:tc>
          <w:tcPr>
            <w:tcW w:w="480" w:type="dxa"/>
            <w:vAlign w:val="bottom"/>
            <w:tcBorders>
              <w:right w:val="single" w:sz="8" w:color="5673B8"/>
            </w:tcBorders>
          </w:tcPr>
          <w:p>
            <w:pPr>
              <w:spacing w:after="0"/>
              <w:rPr>
                <w:sz w:val="22"/>
                <w:szCs w:val="22"/>
                <w:color w:val="auto"/>
              </w:rPr>
            </w:pPr>
          </w:p>
        </w:tc>
        <w:tc>
          <w:tcPr>
            <w:tcW w:w="640" w:type="dxa"/>
            <w:vAlign w:val="bottom"/>
            <w:tcBorders>
              <w:right w:val="single" w:sz="8" w:color="5673B8"/>
            </w:tcBorders>
          </w:tcPr>
          <w:p>
            <w:pPr>
              <w:spacing w:after="0"/>
              <w:rPr>
                <w:sz w:val="22"/>
                <w:szCs w:val="22"/>
                <w:color w:val="auto"/>
              </w:rPr>
            </w:pPr>
          </w:p>
        </w:tc>
        <w:tc>
          <w:tcPr>
            <w:tcW w:w="380" w:type="dxa"/>
            <w:vAlign w:val="bottom"/>
            <w:tcBorders>
              <w:right w:val="single" w:sz="8" w:color="5673B8"/>
            </w:tcBorders>
          </w:tcPr>
          <w:p>
            <w:pPr>
              <w:spacing w:after="0"/>
              <w:rPr>
                <w:sz w:val="22"/>
                <w:szCs w:val="22"/>
                <w:color w:val="auto"/>
              </w:rPr>
            </w:pPr>
          </w:p>
        </w:tc>
        <w:tc>
          <w:tcPr>
            <w:tcW w:w="680" w:type="dxa"/>
            <w:vAlign w:val="bottom"/>
            <w:tcBorders>
              <w:right w:val="single" w:sz="8" w:color="5673B8"/>
            </w:tcBorders>
          </w:tcPr>
          <w:p>
            <w:pPr>
              <w:spacing w:after="0"/>
              <w:rPr>
                <w:sz w:val="22"/>
                <w:szCs w:val="22"/>
                <w:color w:val="auto"/>
              </w:rPr>
            </w:pPr>
          </w:p>
        </w:tc>
        <w:tc>
          <w:tcPr>
            <w:tcW w:w="620" w:type="dxa"/>
            <w:vAlign w:val="bottom"/>
            <w:tcBorders>
              <w:right w:val="single" w:sz="8" w:color="5673B8"/>
            </w:tcBorders>
          </w:tcPr>
          <w:p>
            <w:pPr>
              <w:spacing w:after="0"/>
              <w:rPr>
                <w:sz w:val="22"/>
                <w:szCs w:val="22"/>
                <w:color w:val="auto"/>
              </w:rPr>
            </w:pPr>
          </w:p>
        </w:tc>
        <w:tc>
          <w:tcPr>
            <w:tcW w:w="740" w:type="dxa"/>
            <w:vAlign w:val="bottom"/>
            <w:tcBorders>
              <w:right w:val="single" w:sz="8" w:color="5673B8"/>
            </w:tcBorders>
          </w:tcPr>
          <w:p>
            <w:pPr>
              <w:spacing w:after="0"/>
              <w:rPr>
                <w:sz w:val="22"/>
                <w:szCs w:val="22"/>
                <w:color w:val="auto"/>
              </w:rPr>
            </w:pPr>
          </w:p>
        </w:tc>
        <w:tc>
          <w:tcPr>
            <w:tcW w:w="460" w:type="dxa"/>
            <w:vAlign w:val="bottom"/>
            <w:tcBorders>
              <w:right w:val="single" w:sz="8" w:color="5673B8"/>
            </w:tcBorders>
          </w:tcPr>
          <w:p>
            <w:pPr>
              <w:spacing w:after="0"/>
              <w:rPr>
                <w:sz w:val="22"/>
                <w:szCs w:val="22"/>
                <w:color w:val="auto"/>
              </w:rPr>
            </w:pPr>
          </w:p>
        </w:tc>
        <w:tc>
          <w:tcPr>
            <w:tcW w:w="440" w:type="dxa"/>
            <w:vAlign w:val="bottom"/>
            <w:tcBorders>
              <w:right w:val="single" w:sz="8" w:color="5673B8"/>
            </w:tcBorders>
          </w:tcPr>
          <w:p>
            <w:pPr>
              <w:spacing w:after="0"/>
              <w:rPr>
                <w:sz w:val="22"/>
                <w:szCs w:val="22"/>
                <w:color w:val="auto"/>
              </w:rPr>
            </w:pPr>
          </w:p>
        </w:tc>
        <w:tc>
          <w:tcPr>
            <w:tcW w:w="900" w:type="dxa"/>
            <w:vAlign w:val="bottom"/>
            <w:tcBorders>
              <w:right w:val="single" w:sz="8" w:color="5673B8"/>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880" w:type="dxa"/>
            <w:vAlign w:val="bottom"/>
          </w:tcPr>
          <w:p>
            <w:pPr>
              <w:ind w:left="460"/>
              <w:spacing w:after="0"/>
              <w:rPr>
                <w:sz w:val="20"/>
                <w:szCs w:val="20"/>
                <w:color w:val="auto"/>
              </w:rPr>
            </w:pPr>
            <w:r>
              <w:rPr>
                <w:rFonts w:ascii="Arial" w:cs="Arial" w:eastAsia="Arial" w:hAnsi="Arial"/>
                <w:sz w:val="14"/>
                <w:szCs w:val="14"/>
                <w:color w:val="auto"/>
              </w:rPr>
              <w:t>Experience leading larger teams with diverse</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tcPr>
          <w:p>
            <w:pPr>
              <w:spacing w:after="0"/>
              <w:rPr>
                <w:sz w:val="15"/>
                <w:szCs w:val="15"/>
                <w:color w:val="auto"/>
              </w:rPr>
            </w:pPr>
          </w:p>
        </w:tc>
        <w:tc>
          <w:tcPr>
            <w:tcW w:w="380" w:type="dxa"/>
            <w:vAlign w:val="bottom"/>
            <w:tcBorders>
              <w:right w:val="single" w:sz="8" w:color="5673B8"/>
            </w:tcBorders>
          </w:tcPr>
          <w:p>
            <w:pPr>
              <w:spacing w:after="0"/>
              <w:rPr>
                <w:sz w:val="15"/>
                <w:szCs w:val="15"/>
                <w:color w:val="auto"/>
              </w:rPr>
            </w:pPr>
          </w:p>
        </w:tc>
        <w:tc>
          <w:tcPr>
            <w:tcW w:w="480" w:type="dxa"/>
            <w:vAlign w:val="bottom"/>
            <w:tcBorders>
              <w:right w:val="single" w:sz="8" w:color="5673B8"/>
            </w:tcBorders>
          </w:tcPr>
          <w:p>
            <w:pPr>
              <w:spacing w:after="0"/>
              <w:rPr>
                <w:sz w:val="15"/>
                <w:szCs w:val="15"/>
                <w:color w:val="auto"/>
              </w:rPr>
            </w:pPr>
          </w:p>
        </w:tc>
        <w:tc>
          <w:tcPr>
            <w:tcW w:w="640" w:type="dxa"/>
            <w:vAlign w:val="bottom"/>
            <w:tcBorders>
              <w:right w:val="single" w:sz="8" w:color="5673B8"/>
            </w:tcBorders>
          </w:tcPr>
          <w:p>
            <w:pPr>
              <w:spacing w:after="0"/>
              <w:rPr>
                <w:sz w:val="15"/>
                <w:szCs w:val="15"/>
                <w:color w:val="auto"/>
              </w:rPr>
            </w:pPr>
          </w:p>
        </w:tc>
        <w:tc>
          <w:tcPr>
            <w:tcW w:w="380" w:type="dxa"/>
            <w:vAlign w:val="bottom"/>
            <w:tcBorders>
              <w:right w:val="single" w:sz="8" w:color="5673B8"/>
            </w:tcBorders>
          </w:tcPr>
          <w:p>
            <w:pPr>
              <w:spacing w:after="0"/>
              <w:rPr>
                <w:sz w:val="15"/>
                <w:szCs w:val="15"/>
                <w:color w:val="auto"/>
              </w:rPr>
            </w:pPr>
          </w:p>
        </w:tc>
        <w:tc>
          <w:tcPr>
            <w:tcW w:w="680" w:type="dxa"/>
            <w:vAlign w:val="bottom"/>
            <w:tcBorders>
              <w:right w:val="single" w:sz="8" w:color="5673B8"/>
            </w:tcBorders>
          </w:tcPr>
          <w:p>
            <w:pPr>
              <w:spacing w:after="0"/>
              <w:rPr>
                <w:sz w:val="15"/>
                <w:szCs w:val="15"/>
                <w:color w:val="auto"/>
              </w:rPr>
            </w:pPr>
          </w:p>
        </w:tc>
        <w:tc>
          <w:tcPr>
            <w:tcW w:w="620" w:type="dxa"/>
            <w:vAlign w:val="bottom"/>
            <w:tcBorders>
              <w:right w:val="single" w:sz="8" w:color="5673B8"/>
            </w:tcBorders>
          </w:tcPr>
          <w:p>
            <w:pPr>
              <w:spacing w:after="0"/>
              <w:rPr>
                <w:sz w:val="15"/>
                <w:szCs w:val="15"/>
                <w:color w:val="auto"/>
              </w:rPr>
            </w:pPr>
          </w:p>
        </w:tc>
        <w:tc>
          <w:tcPr>
            <w:tcW w:w="740" w:type="dxa"/>
            <w:vAlign w:val="bottom"/>
            <w:tcBorders>
              <w:right w:val="single" w:sz="8" w:color="5673B8"/>
            </w:tcBorders>
          </w:tcPr>
          <w:p>
            <w:pPr>
              <w:spacing w:after="0"/>
              <w:rPr>
                <w:sz w:val="15"/>
                <w:szCs w:val="15"/>
                <w:color w:val="auto"/>
              </w:rPr>
            </w:pPr>
          </w:p>
        </w:tc>
        <w:tc>
          <w:tcPr>
            <w:tcW w:w="460" w:type="dxa"/>
            <w:vAlign w:val="bottom"/>
            <w:tcBorders>
              <w:right w:val="single" w:sz="8" w:color="5673B8"/>
            </w:tcBorders>
          </w:tcPr>
          <w:p>
            <w:pPr>
              <w:spacing w:after="0"/>
              <w:rPr>
                <w:sz w:val="15"/>
                <w:szCs w:val="15"/>
                <w:color w:val="auto"/>
              </w:rPr>
            </w:pP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tcPr>
          <w:p>
            <w:pPr>
              <w:ind w:left="460"/>
              <w:spacing w:after="0"/>
              <w:rPr>
                <w:sz w:val="20"/>
                <w:szCs w:val="20"/>
                <w:color w:val="auto"/>
              </w:rPr>
            </w:pPr>
            <w:r>
              <w:rPr>
                <w:rFonts w:ascii="Arial" w:cs="Arial" w:eastAsia="Arial" w:hAnsi="Arial"/>
                <w:sz w:val="14"/>
                <w:szCs w:val="14"/>
                <w:color w:val="auto"/>
              </w:rPr>
              <w:t>functions and human capital management initiatives</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540" w:type="dxa"/>
            <w:vAlign w:val="bottom"/>
            <w:tcBorders>
              <w:right w:val="single" w:sz="8" w:color="5673B8"/>
            </w:tcBorders>
            <w:vMerge w:val="restart"/>
          </w:tcPr>
          <w:p>
            <w:pPr>
              <w:ind w:left="18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100"/>
              <w:spacing w:after="0"/>
              <w:rPr>
                <w:sz w:val="20"/>
                <w:szCs w:val="20"/>
                <w:color w:val="auto"/>
              </w:rPr>
            </w:pPr>
            <w:r>
              <w:rPr>
                <w:rFonts w:ascii="Arial" w:cs="Arial" w:eastAsia="Arial" w:hAnsi="Arial"/>
                <w:sz w:val="27"/>
                <w:szCs w:val="27"/>
                <w:color w:val="5673B8"/>
              </w:rPr>
              <w:t>●</w:t>
            </w:r>
          </w:p>
        </w:tc>
        <w:tc>
          <w:tcPr>
            <w:tcW w:w="48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640" w:type="dxa"/>
            <w:vAlign w:val="bottom"/>
            <w:tcBorders>
              <w:right w:val="single" w:sz="8" w:color="5673B8"/>
            </w:tcBorders>
            <w:vMerge w:val="restart"/>
          </w:tcPr>
          <w:p>
            <w:pPr>
              <w:ind w:left="220"/>
              <w:spacing w:after="0"/>
              <w:rPr>
                <w:sz w:val="20"/>
                <w:szCs w:val="20"/>
                <w:color w:val="auto"/>
              </w:rPr>
            </w:pPr>
            <w:r>
              <w:rPr>
                <w:rFonts w:ascii="Arial" w:cs="Arial" w:eastAsia="Arial" w:hAnsi="Arial"/>
                <w:sz w:val="27"/>
                <w:szCs w:val="27"/>
                <w:color w:val="5673B8"/>
              </w:rPr>
              <w:t>●</w:t>
            </w:r>
          </w:p>
        </w:tc>
        <w:tc>
          <w:tcPr>
            <w:tcW w:w="380" w:type="dxa"/>
            <w:vAlign w:val="bottom"/>
            <w:tcBorders>
              <w:right w:val="single" w:sz="8" w:color="5673B8"/>
            </w:tcBorders>
            <w:vMerge w:val="restart"/>
          </w:tcPr>
          <w:p>
            <w:pPr>
              <w:ind w:left="80"/>
              <w:spacing w:after="0"/>
              <w:rPr>
                <w:sz w:val="20"/>
                <w:szCs w:val="20"/>
                <w:color w:val="auto"/>
              </w:rPr>
            </w:pPr>
            <w:r>
              <w:rPr>
                <w:rFonts w:ascii="Arial" w:cs="Arial" w:eastAsia="Arial" w:hAnsi="Arial"/>
                <w:sz w:val="27"/>
                <w:szCs w:val="27"/>
                <w:color w:val="5673B8"/>
              </w:rPr>
              <w:t>●</w:t>
            </w:r>
          </w:p>
        </w:tc>
        <w:tc>
          <w:tcPr>
            <w:tcW w:w="680" w:type="dxa"/>
            <w:vAlign w:val="bottom"/>
            <w:tcBorders>
              <w:right w:val="single" w:sz="8" w:color="5673B8"/>
            </w:tcBorders>
            <w:vMerge w:val="restart"/>
          </w:tcPr>
          <w:p>
            <w:pPr>
              <w:ind w:left="240"/>
              <w:spacing w:after="0"/>
              <w:rPr>
                <w:sz w:val="20"/>
                <w:szCs w:val="20"/>
                <w:color w:val="auto"/>
              </w:rPr>
            </w:pPr>
            <w:r>
              <w:rPr>
                <w:rFonts w:ascii="Arial" w:cs="Arial" w:eastAsia="Arial" w:hAnsi="Arial"/>
                <w:sz w:val="27"/>
                <w:szCs w:val="27"/>
                <w:color w:val="5673B8"/>
              </w:rPr>
              <w:t>●</w:t>
            </w:r>
          </w:p>
        </w:tc>
        <w:tc>
          <w:tcPr>
            <w:tcW w:w="620" w:type="dxa"/>
            <w:vAlign w:val="bottom"/>
            <w:tcBorders>
              <w:right w:val="single" w:sz="8" w:color="5673B8"/>
            </w:tcBorders>
          </w:tcPr>
          <w:p>
            <w:pPr>
              <w:spacing w:after="0"/>
              <w:rPr>
                <w:sz w:val="15"/>
                <w:szCs w:val="15"/>
                <w:color w:val="auto"/>
              </w:rPr>
            </w:pPr>
          </w:p>
        </w:tc>
        <w:tc>
          <w:tcPr>
            <w:tcW w:w="740" w:type="dxa"/>
            <w:vAlign w:val="bottom"/>
            <w:tcBorders>
              <w:right w:val="single" w:sz="8" w:color="5673B8"/>
            </w:tcBorders>
            <w:vMerge w:val="restart"/>
          </w:tcPr>
          <w:p>
            <w:pPr>
              <w:jc w:val="center"/>
              <w:spacing w:after="0"/>
              <w:rPr>
                <w:sz w:val="20"/>
                <w:szCs w:val="20"/>
                <w:color w:val="auto"/>
              </w:rPr>
            </w:pPr>
            <w:r>
              <w:rPr>
                <w:rFonts w:ascii="Arial" w:cs="Arial" w:eastAsia="Arial" w:hAnsi="Arial"/>
                <w:sz w:val="27"/>
                <w:szCs w:val="27"/>
                <w:color w:val="5673B8"/>
                <w:w w:val="97"/>
              </w:rPr>
              <w:t>●</w:t>
            </w:r>
          </w:p>
        </w:tc>
        <w:tc>
          <w:tcPr>
            <w:tcW w:w="46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440" w:type="dxa"/>
            <w:vAlign w:val="bottom"/>
            <w:tcBorders>
              <w:right w:val="single" w:sz="8" w:color="5673B8"/>
            </w:tcBorders>
            <w:vMerge w:val="restart"/>
          </w:tcPr>
          <w:p>
            <w:pPr>
              <w:ind w:left="140"/>
              <w:spacing w:after="0"/>
              <w:rPr>
                <w:sz w:val="20"/>
                <w:szCs w:val="20"/>
                <w:color w:val="auto"/>
              </w:rPr>
            </w:pPr>
            <w:r>
              <w:rPr>
                <w:rFonts w:ascii="Arial" w:cs="Arial" w:eastAsia="Arial" w:hAnsi="Arial"/>
                <w:sz w:val="27"/>
                <w:szCs w:val="27"/>
                <w:color w:val="5673B8"/>
              </w:rPr>
              <w:t>●</w:t>
            </w:r>
          </w:p>
        </w:tc>
        <w:tc>
          <w:tcPr>
            <w:tcW w:w="900" w:type="dxa"/>
            <w:vAlign w:val="bottom"/>
            <w:tcBorders>
              <w:right w:val="single" w:sz="8" w:color="5673B8"/>
            </w:tcBorders>
            <w:vMerge w:val="restart"/>
          </w:tcPr>
          <w:p>
            <w:pPr>
              <w:ind w:left="360"/>
              <w:spacing w:after="0"/>
              <w:rPr>
                <w:sz w:val="20"/>
                <w:szCs w:val="20"/>
                <w:color w:val="auto"/>
              </w:rPr>
            </w:pPr>
            <w:r>
              <w:rPr>
                <w:rFonts w:ascii="Arial" w:cs="Arial" w:eastAsia="Arial" w:hAnsi="Arial"/>
                <w:sz w:val="27"/>
                <w:szCs w:val="27"/>
                <w:color w:val="5673B8"/>
              </w:rPr>
              <w:t>●</w:t>
            </w:r>
          </w:p>
        </w:tc>
        <w:tc>
          <w:tcPr>
            <w:tcW w:w="0" w:type="dxa"/>
            <w:vAlign w:val="bottom"/>
          </w:tcPr>
          <w:p>
            <w:pPr>
              <w:spacing w:after="0"/>
              <w:rPr>
                <w:sz w:val="1"/>
                <w:szCs w:val="1"/>
                <w:color w:val="auto"/>
              </w:rPr>
            </w:pPr>
          </w:p>
        </w:tc>
      </w:tr>
      <w:tr>
        <w:trPr>
          <w:trHeight w:val="162"/>
        </w:trPr>
        <w:tc>
          <w:tcPr>
            <w:tcW w:w="3880" w:type="dxa"/>
            <w:vAlign w:val="bottom"/>
          </w:tcPr>
          <w:p>
            <w:pPr>
              <w:ind w:left="460"/>
              <w:spacing w:after="0"/>
              <w:rPr>
                <w:sz w:val="20"/>
                <w:szCs w:val="20"/>
                <w:color w:val="auto"/>
              </w:rPr>
            </w:pPr>
            <w:r>
              <w:rPr>
                <w:rFonts w:ascii="Arial" w:cs="Arial" w:eastAsia="Arial" w:hAnsi="Arial"/>
                <w:sz w:val="14"/>
                <w:szCs w:val="14"/>
                <w:color w:val="auto"/>
              </w:rPr>
              <w:t>generally, including leadership development,</w:t>
            </w:r>
          </w:p>
        </w:tc>
        <w:tc>
          <w:tcPr>
            <w:tcW w:w="180" w:type="dxa"/>
            <w:vAlign w:val="bottom"/>
            <w:tcBorders>
              <w:right w:val="single" w:sz="8" w:color="5673B8"/>
            </w:tcBorders>
          </w:tcPr>
          <w:p>
            <w:pPr>
              <w:spacing w:after="0"/>
              <w:rPr>
                <w:sz w:val="14"/>
                <w:szCs w:val="14"/>
                <w:color w:val="auto"/>
              </w:rPr>
            </w:pPr>
          </w:p>
        </w:tc>
        <w:tc>
          <w:tcPr>
            <w:tcW w:w="400" w:type="dxa"/>
            <w:vAlign w:val="bottom"/>
            <w:tcBorders>
              <w:right w:val="single" w:sz="8" w:color="5673B8"/>
            </w:tcBorders>
            <w:vMerge w:val="continue"/>
          </w:tcPr>
          <w:p>
            <w:pPr>
              <w:spacing w:after="0"/>
              <w:rPr>
                <w:sz w:val="14"/>
                <w:szCs w:val="14"/>
                <w:color w:val="auto"/>
              </w:rPr>
            </w:pPr>
          </w:p>
        </w:tc>
        <w:tc>
          <w:tcPr>
            <w:tcW w:w="540" w:type="dxa"/>
            <w:vAlign w:val="bottom"/>
            <w:tcBorders>
              <w:right w:val="single" w:sz="8" w:color="5673B8"/>
            </w:tcBorders>
            <w:vMerge w:val="continue"/>
          </w:tcPr>
          <w:p>
            <w:pPr>
              <w:spacing w:after="0"/>
              <w:rPr>
                <w:sz w:val="14"/>
                <w:szCs w:val="14"/>
                <w:color w:val="auto"/>
              </w:rPr>
            </w:pPr>
          </w:p>
        </w:tc>
        <w:tc>
          <w:tcPr>
            <w:tcW w:w="540" w:type="dxa"/>
            <w:vAlign w:val="bottom"/>
            <w:tcBorders>
              <w:right w:val="single" w:sz="8" w:color="5673B8"/>
            </w:tcBorders>
            <w:vMerge w:val="continue"/>
          </w:tcPr>
          <w:p>
            <w:pPr>
              <w:spacing w:after="0"/>
              <w:rPr>
                <w:sz w:val="14"/>
                <w:szCs w:val="14"/>
                <w:color w:val="auto"/>
              </w:rPr>
            </w:pPr>
          </w:p>
        </w:tc>
        <w:tc>
          <w:tcPr>
            <w:tcW w:w="380" w:type="dxa"/>
            <w:vAlign w:val="bottom"/>
            <w:tcBorders>
              <w:right w:val="single" w:sz="8" w:color="5673B8"/>
            </w:tcBorders>
            <w:vMerge w:val="continue"/>
          </w:tcPr>
          <w:p>
            <w:pPr>
              <w:spacing w:after="0"/>
              <w:rPr>
                <w:sz w:val="14"/>
                <w:szCs w:val="14"/>
                <w:color w:val="auto"/>
              </w:rPr>
            </w:pPr>
          </w:p>
        </w:tc>
        <w:tc>
          <w:tcPr>
            <w:tcW w:w="480" w:type="dxa"/>
            <w:vAlign w:val="bottom"/>
            <w:tcBorders>
              <w:right w:val="single" w:sz="8" w:color="5673B8"/>
            </w:tcBorders>
            <w:vMerge w:val="continue"/>
          </w:tcPr>
          <w:p>
            <w:pPr>
              <w:spacing w:after="0"/>
              <w:rPr>
                <w:sz w:val="14"/>
                <w:szCs w:val="14"/>
                <w:color w:val="auto"/>
              </w:rPr>
            </w:pPr>
          </w:p>
        </w:tc>
        <w:tc>
          <w:tcPr>
            <w:tcW w:w="640" w:type="dxa"/>
            <w:vAlign w:val="bottom"/>
            <w:tcBorders>
              <w:right w:val="single" w:sz="8" w:color="5673B8"/>
            </w:tcBorders>
            <w:vMerge w:val="continue"/>
          </w:tcPr>
          <w:p>
            <w:pPr>
              <w:spacing w:after="0"/>
              <w:rPr>
                <w:sz w:val="14"/>
                <w:szCs w:val="14"/>
                <w:color w:val="auto"/>
              </w:rPr>
            </w:pPr>
          </w:p>
        </w:tc>
        <w:tc>
          <w:tcPr>
            <w:tcW w:w="380" w:type="dxa"/>
            <w:vAlign w:val="bottom"/>
            <w:tcBorders>
              <w:right w:val="single" w:sz="8" w:color="5673B8"/>
            </w:tcBorders>
            <w:vMerge w:val="continue"/>
          </w:tcPr>
          <w:p>
            <w:pPr>
              <w:spacing w:after="0"/>
              <w:rPr>
                <w:sz w:val="14"/>
                <w:szCs w:val="14"/>
                <w:color w:val="auto"/>
              </w:rPr>
            </w:pPr>
          </w:p>
        </w:tc>
        <w:tc>
          <w:tcPr>
            <w:tcW w:w="680" w:type="dxa"/>
            <w:vAlign w:val="bottom"/>
            <w:tcBorders>
              <w:right w:val="single" w:sz="8" w:color="5673B8"/>
            </w:tcBorders>
            <w:vMerge w:val="continue"/>
          </w:tcPr>
          <w:p>
            <w:pPr>
              <w:spacing w:after="0"/>
              <w:rPr>
                <w:sz w:val="14"/>
                <w:szCs w:val="14"/>
                <w:color w:val="auto"/>
              </w:rPr>
            </w:pPr>
          </w:p>
        </w:tc>
        <w:tc>
          <w:tcPr>
            <w:tcW w:w="620" w:type="dxa"/>
            <w:vAlign w:val="bottom"/>
            <w:tcBorders>
              <w:right w:val="single" w:sz="8" w:color="5673B8"/>
            </w:tcBorders>
          </w:tcPr>
          <w:p>
            <w:pPr>
              <w:spacing w:after="0"/>
              <w:rPr>
                <w:sz w:val="14"/>
                <w:szCs w:val="14"/>
                <w:color w:val="auto"/>
              </w:rPr>
            </w:pPr>
          </w:p>
        </w:tc>
        <w:tc>
          <w:tcPr>
            <w:tcW w:w="740" w:type="dxa"/>
            <w:vAlign w:val="bottom"/>
            <w:tcBorders>
              <w:right w:val="single" w:sz="8" w:color="5673B8"/>
            </w:tcBorders>
            <w:vMerge w:val="continue"/>
          </w:tcPr>
          <w:p>
            <w:pPr>
              <w:spacing w:after="0"/>
              <w:rPr>
                <w:sz w:val="14"/>
                <w:szCs w:val="14"/>
                <w:color w:val="auto"/>
              </w:rPr>
            </w:pPr>
          </w:p>
        </w:tc>
        <w:tc>
          <w:tcPr>
            <w:tcW w:w="460" w:type="dxa"/>
            <w:vAlign w:val="bottom"/>
            <w:tcBorders>
              <w:right w:val="single" w:sz="8" w:color="5673B8"/>
            </w:tcBorders>
            <w:vMerge w:val="continue"/>
          </w:tcPr>
          <w:p>
            <w:pPr>
              <w:spacing w:after="0"/>
              <w:rPr>
                <w:sz w:val="14"/>
                <w:szCs w:val="14"/>
                <w:color w:val="auto"/>
              </w:rPr>
            </w:pPr>
          </w:p>
        </w:tc>
        <w:tc>
          <w:tcPr>
            <w:tcW w:w="440" w:type="dxa"/>
            <w:vAlign w:val="bottom"/>
            <w:tcBorders>
              <w:right w:val="single" w:sz="8" w:color="5673B8"/>
            </w:tcBorders>
            <w:vMerge w:val="continue"/>
          </w:tcPr>
          <w:p>
            <w:pPr>
              <w:spacing w:after="0"/>
              <w:rPr>
                <w:sz w:val="14"/>
                <w:szCs w:val="14"/>
                <w:color w:val="auto"/>
              </w:rPr>
            </w:pPr>
          </w:p>
        </w:tc>
        <w:tc>
          <w:tcPr>
            <w:tcW w:w="900" w:type="dxa"/>
            <w:vAlign w:val="bottom"/>
            <w:tcBorders>
              <w:right w:val="single" w:sz="8" w:color="5673B8"/>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80" w:type="dxa"/>
            <w:vAlign w:val="bottom"/>
          </w:tcPr>
          <w:p>
            <w:pPr>
              <w:ind w:left="460"/>
              <w:spacing w:after="0"/>
              <w:rPr>
                <w:sz w:val="20"/>
                <w:szCs w:val="20"/>
                <w:color w:val="auto"/>
              </w:rPr>
            </w:pPr>
            <w:r>
              <w:rPr>
                <w:rFonts w:ascii="Arial" w:cs="Arial" w:eastAsia="Arial" w:hAnsi="Arial"/>
                <w:sz w:val="14"/>
                <w:szCs w:val="14"/>
                <w:color w:val="auto"/>
              </w:rPr>
              <w:t>succession planning, executive recruitment, oversight</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tcPr>
          <w:p>
            <w:pPr>
              <w:spacing w:after="0"/>
              <w:rPr>
                <w:sz w:val="15"/>
                <w:szCs w:val="15"/>
                <w:color w:val="auto"/>
              </w:rPr>
            </w:pPr>
          </w:p>
        </w:tc>
        <w:tc>
          <w:tcPr>
            <w:tcW w:w="380" w:type="dxa"/>
            <w:vAlign w:val="bottom"/>
            <w:tcBorders>
              <w:right w:val="single" w:sz="8" w:color="5673B8"/>
            </w:tcBorders>
          </w:tcPr>
          <w:p>
            <w:pPr>
              <w:spacing w:after="0"/>
              <w:rPr>
                <w:sz w:val="15"/>
                <w:szCs w:val="15"/>
                <w:color w:val="auto"/>
              </w:rPr>
            </w:pPr>
          </w:p>
        </w:tc>
        <w:tc>
          <w:tcPr>
            <w:tcW w:w="480" w:type="dxa"/>
            <w:vAlign w:val="bottom"/>
            <w:tcBorders>
              <w:right w:val="single" w:sz="8" w:color="5673B8"/>
            </w:tcBorders>
          </w:tcPr>
          <w:p>
            <w:pPr>
              <w:spacing w:after="0"/>
              <w:rPr>
                <w:sz w:val="15"/>
                <w:szCs w:val="15"/>
                <w:color w:val="auto"/>
              </w:rPr>
            </w:pPr>
          </w:p>
        </w:tc>
        <w:tc>
          <w:tcPr>
            <w:tcW w:w="640" w:type="dxa"/>
            <w:vAlign w:val="bottom"/>
            <w:tcBorders>
              <w:right w:val="single" w:sz="8" w:color="5673B8"/>
            </w:tcBorders>
          </w:tcPr>
          <w:p>
            <w:pPr>
              <w:spacing w:after="0"/>
              <w:rPr>
                <w:sz w:val="15"/>
                <w:szCs w:val="15"/>
                <w:color w:val="auto"/>
              </w:rPr>
            </w:pPr>
          </w:p>
        </w:tc>
        <w:tc>
          <w:tcPr>
            <w:tcW w:w="380" w:type="dxa"/>
            <w:vAlign w:val="bottom"/>
            <w:tcBorders>
              <w:right w:val="single" w:sz="8" w:color="5673B8"/>
            </w:tcBorders>
          </w:tcPr>
          <w:p>
            <w:pPr>
              <w:spacing w:after="0"/>
              <w:rPr>
                <w:sz w:val="15"/>
                <w:szCs w:val="15"/>
                <w:color w:val="auto"/>
              </w:rPr>
            </w:pPr>
          </w:p>
        </w:tc>
        <w:tc>
          <w:tcPr>
            <w:tcW w:w="680" w:type="dxa"/>
            <w:vAlign w:val="bottom"/>
            <w:tcBorders>
              <w:right w:val="single" w:sz="8" w:color="5673B8"/>
            </w:tcBorders>
          </w:tcPr>
          <w:p>
            <w:pPr>
              <w:spacing w:after="0"/>
              <w:rPr>
                <w:sz w:val="15"/>
                <w:szCs w:val="15"/>
                <w:color w:val="auto"/>
              </w:rPr>
            </w:pPr>
          </w:p>
        </w:tc>
        <w:tc>
          <w:tcPr>
            <w:tcW w:w="620" w:type="dxa"/>
            <w:vAlign w:val="bottom"/>
            <w:tcBorders>
              <w:right w:val="single" w:sz="8" w:color="5673B8"/>
            </w:tcBorders>
          </w:tcPr>
          <w:p>
            <w:pPr>
              <w:spacing w:after="0"/>
              <w:rPr>
                <w:sz w:val="15"/>
                <w:szCs w:val="15"/>
                <w:color w:val="auto"/>
              </w:rPr>
            </w:pPr>
          </w:p>
        </w:tc>
        <w:tc>
          <w:tcPr>
            <w:tcW w:w="740" w:type="dxa"/>
            <w:vAlign w:val="bottom"/>
            <w:tcBorders>
              <w:right w:val="single" w:sz="8" w:color="5673B8"/>
            </w:tcBorders>
          </w:tcPr>
          <w:p>
            <w:pPr>
              <w:spacing w:after="0"/>
              <w:rPr>
                <w:sz w:val="15"/>
                <w:szCs w:val="15"/>
                <w:color w:val="auto"/>
              </w:rPr>
            </w:pPr>
          </w:p>
        </w:tc>
        <w:tc>
          <w:tcPr>
            <w:tcW w:w="460" w:type="dxa"/>
            <w:vAlign w:val="bottom"/>
            <w:tcBorders>
              <w:right w:val="single" w:sz="8" w:color="5673B8"/>
            </w:tcBorders>
          </w:tcPr>
          <w:p>
            <w:pPr>
              <w:spacing w:after="0"/>
              <w:rPr>
                <w:sz w:val="15"/>
                <w:szCs w:val="15"/>
                <w:color w:val="auto"/>
              </w:rPr>
            </w:pP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tcPr>
          <w:p>
            <w:pPr>
              <w:ind w:left="460"/>
              <w:spacing w:after="0"/>
              <w:rPr>
                <w:sz w:val="20"/>
                <w:szCs w:val="20"/>
                <w:color w:val="auto"/>
              </w:rPr>
            </w:pPr>
            <w:r>
              <w:rPr>
                <w:rFonts w:ascii="Arial" w:cs="Arial" w:eastAsia="Arial" w:hAnsi="Arial"/>
                <w:sz w:val="14"/>
                <w:szCs w:val="14"/>
                <w:color w:val="auto"/>
              </w:rPr>
              <w:t>of corporate culture, workforce matters, and</w:t>
            </w:r>
          </w:p>
        </w:tc>
        <w:tc>
          <w:tcPr>
            <w:tcW w:w="180" w:type="dxa"/>
            <w:vAlign w:val="bottom"/>
            <w:tcBorders>
              <w:right w:val="single" w:sz="8" w:color="5673B8"/>
            </w:tcBorders>
          </w:tcPr>
          <w:p>
            <w:pPr>
              <w:spacing w:after="0"/>
              <w:rPr>
                <w:sz w:val="15"/>
                <w:szCs w:val="15"/>
                <w:color w:val="auto"/>
              </w:rPr>
            </w:pPr>
          </w:p>
        </w:tc>
        <w:tc>
          <w:tcPr>
            <w:tcW w:w="40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tcPr>
          <w:p>
            <w:pPr>
              <w:spacing w:after="0"/>
              <w:rPr>
                <w:sz w:val="15"/>
                <w:szCs w:val="15"/>
                <w:color w:val="auto"/>
              </w:rPr>
            </w:pPr>
          </w:p>
        </w:tc>
        <w:tc>
          <w:tcPr>
            <w:tcW w:w="540" w:type="dxa"/>
            <w:vAlign w:val="bottom"/>
            <w:tcBorders>
              <w:right w:val="single" w:sz="8" w:color="5673B8"/>
            </w:tcBorders>
          </w:tcPr>
          <w:p>
            <w:pPr>
              <w:spacing w:after="0"/>
              <w:rPr>
                <w:sz w:val="15"/>
                <w:szCs w:val="15"/>
                <w:color w:val="auto"/>
              </w:rPr>
            </w:pPr>
          </w:p>
        </w:tc>
        <w:tc>
          <w:tcPr>
            <w:tcW w:w="380" w:type="dxa"/>
            <w:vAlign w:val="bottom"/>
            <w:tcBorders>
              <w:right w:val="single" w:sz="8" w:color="5673B8"/>
            </w:tcBorders>
          </w:tcPr>
          <w:p>
            <w:pPr>
              <w:spacing w:after="0"/>
              <w:rPr>
                <w:sz w:val="15"/>
                <w:szCs w:val="15"/>
                <w:color w:val="auto"/>
              </w:rPr>
            </w:pPr>
          </w:p>
        </w:tc>
        <w:tc>
          <w:tcPr>
            <w:tcW w:w="480" w:type="dxa"/>
            <w:vAlign w:val="bottom"/>
            <w:tcBorders>
              <w:right w:val="single" w:sz="8" w:color="5673B8"/>
            </w:tcBorders>
          </w:tcPr>
          <w:p>
            <w:pPr>
              <w:spacing w:after="0"/>
              <w:rPr>
                <w:sz w:val="15"/>
                <w:szCs w:val="15"/>
                <w:color w:val="auto"/>
              </w:rPr>
            </w:pPr>
          </w:p>
        </w:tc>
        <w:tc>
          <w:tcPr>
            <w:tcW w:w="640" w:type="dxa"/>
            <w:vAlign w:val="bottom"/>
            <w:tcBorders>
              <w:right w:val="single" w:sz="8" w:color="5673B8"/>
            </w:tcBorders>
          </w:tcPr>
          <w:p>
            <w:pPr>
              <w:spacing w:after="0"/>
              <w:rPr>
                <w:sz w:val="15"/>
                <w:szCs w:val="15"/>
                <w:color w:val="auto"/>
              </w:rPr>
            </w:pPr>
          </w:p>
        </w:tc>
        <w:tc>
          <w:tcPr>
            <w:tcW w:w="380" w:type="dxa"/>
            <w:vAlign w:val="bottom"/>
            <w:tcBorders>
              <w:right w:val="single" w:sz="8" w:color="5673B8"/>
            </w:tcBorders>
          </w:tcPr>
          <w:p>
            <w:pPr>
              <w:spacing w:after="0"/>
              <w:rPr>
                <w:sz w:val="15"/>
                <w:szCs w:val="15"/>
                <w:color w:val="auto"/>
              </w:rPr>
            </w:pPr>
          </w:p>
        </w:tc>
        <w:tc>
          <w:tcPr>
            <w:tcW w:w="680" w:type="dxa"/>
            <w:vAlign w:val="bottom"/>
            <w:tcBorders>
              <w:right w:val="single" w:sz="8" w:color="5673B8"/>
            </w:tcBorders>
          </w:tcPr>
          <w:p>
            <w:pPr>
              <w:spacing w:after="0"/>
              <w:rPr>
                <w:sz w:val="15"/>
                <w:szCs w:val="15"/>
                <w:color w:val="auto"/>
              </w:rPr>
            </w:pPr>
          </w:p>
        </w:tc>
        <w:tc>
          <w:tcPr>
            <w:tcW w:w="620" w:type="dxa"/>
            <w:vAlign w:val="bottom"/>
            <w:tcBorders>
              <w:right w:val="single" w:sz="8" w:color="5673B8"/>
            </w:tcBorders>
          </w:tcPr>
          <w:p>
            <w:pPr>
              <w:spacing w:after="0"/>
              <w:rPr>
                <w:sz w:val="15"/>
                <w:szCs w:val="15"/>
                <w:color w:val="auto"/>
              </w:rPr>
            </w:pPr>
          </w:p>
        </w:tc>
        <w:tc>
          <w:tcPr>
            <w:tcW w:w="740" w:type="dxa"/>
            <w:vAlign w:val="bottom"/>
            <w:tcBorders>
              <w:right w:val="single" w:sz="8" w:color="5673B8"/>
            </w:tcBorders>
          </w:tcPr>
          <w:p>
            <w:pPr>
              <w:spacing w:after="0"/>
              <w:rPr>
                <w:sz w:val="15"/>
                <w:szCs w:val="15"/>
                <w:color w:val="auto"/>
              </w:rPr>
            </w:pPr>
          </w:p>
        </w:tc>
        <w:tc>
          <w:tcPr>
            <w:tcW w:w="460" w:type="dxa"/>
            <w:vAlign w:val="bottom"/>
            <w:tcBorders>
              <w:right w:val="single" w:sz="8" w:color="5673B8"/>
            </w:tcBorders>
          </w:tcPr>
          <w:p>
            <w:pPr>
              <w:spacing w:after="0"/>
              <w:rPr>
                <w:sz w:val="15"/>
                <w:szCs w:val="15"/>
                <w:color w:val="auto"/>
              </w:rPr>
            </w:pPr>
          </w:p>
        </w:tc>
        <w:tc>
          <w:tcPr>
            <w:tcW w:w="440" w:type="dxa"/>
            <w:vAlign w:val="bottom"/>
            <w:tcBorders>
              <w:right w:val="single" w:sz="8" w:color="5673B8"/>
            </w:tcBorders>
          </w:tcPr>
          <w:p>
            <w:pPr>
              <w:spacing w:after="0"/>
              <w:rPr>
                <w:sz w:val="15"/>
                <w:szCs w:val="15"/>
                <w:color w:val="auto"/>
              </w:rPr>
            </w:pPr>
          </w:p>
        </w:tc>
        <w:tc>
          <w:tcPr>
            <w:tcW w:w="900" w:type="dxa"/>
            <w:vAlign w:val="bottom"/>
            <w:tcBorders>
              <w:right w:val="single" w:sz="8" w:color="5673B8"/>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460"/>
              <w:spacing w:after="0"/>
              <w:rPr>
                <w:sz w:val="20"/>
                <w:szCs w:val="20"/>
                <w:color w:val="auto"/>
              </w:rPr>
            </w:pPr>
            <w:r>
              <w:rPr>
                <w:rFonts w:ascii="Arial" w:cs="Arial" w:eastAsia="Arial" w:hAnsi="Arial"/>
                <w:sz w:val="14"/>
                <w:szCs w:val="14"/>
                <w:color w:val="auto"/>
              </w:rPr>
              <w:t>compensation</w:t>
            </w:r>
          </w:p>
        </w:tc>
        <w:tc>
          <w:tcPr>
            <w:tcW w:w="180" w:type="dxa"/>
            <w:vAlign w:val="bottom"/>
            <w:tcBorders>
              <w:right w:val="single" w:sz="8" w:color="5673B8"/>
            </w:tcBorders>
          </w:tcPr>
          <w:p>
            <w:pPr>
              <w:spacing w:after="0"/>
              <w:rPr>
                <w:sz w:val="16"/>
                <w:szCs w:val="16"/>
                <w:color w:val="auto"/>
              </w:rPr>
            </w:pPr>
          </w:p>
        </w:tc>
        <w:tc>
          <w:tcPr>
            <w:tcW w:w="40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5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480" w:type="dxa"/>
            <w:vAlign w:val="bottom"/>
            <w:tcBorders>
              <w:right w:val="single" w:sz="8" w:color="5673B8"/>
            </w:tcBorders>
          </w:tcPr>
          <w:p>
            <w:pPr>
              <w:spacing w:after="0"/>
              <w:rPr>
                <w:sz w:val="16"/>
                <w:szCs w:val="16"/>
                <w:color w:val="auto"/>
              </w:rPr>
            </w:pPr>
          </w:p>
        </w:tc>
        <w:tc>
          <w:tcPr>
            <w:tcW w:w="640" w:type="dxa"/>
            <w:vAlign w:val="bottom"/>
            <w:tcBorders>
              <w:right w:val="single" w:sz="8" w:color="5673B8"/>
            </w:tcBorders>
          </w:tcPr>
          <w:p>
            <w:pPr>
              <w:spacing w:after="0"/>
              <w:rPr>
                <w:sz w:val="16"/>
                <w:szCs w:val="16"/>
                <w:color w:val="auto"/>
              </w:rPr>
            </w:pPr>
          </w:p>
        </w:tc>
        <w:tc>
          <w:tcPr>
            <w:tcW w:w="380" w:type="dxa"/>
            <w:vAlign w:val="bottom"/>
            <w:tcBorders>
              <w:right w:val="single" w:sz="8" w:color="5673B8"/>
            </w:tcBorders>
          </w:tcPr>
          <w:p>
            <w:pPr>
              <w:spacing w:after="0"/>
              <w:rPr>
                <w:sz w:val="16"/>
                <w:szCs w:val="16"/>
                <w:color w:val="auto"/>
              </w:rPr>
            </w:pPr>
          </w:p>
        </w:tc>
        <w:tc>
          <w:tcPr>
            <w:tcW w:w="680" w:type="dxa"/>
            <w:vAlign w:val="bottom"/>
            <w:tcBorders>
              <w:right w:val="single" w:sz="8" w:color="5673B8"/>
            </w:tcBorders>
          </w:tcPr>
          <w:p>
            <w:pPr>
              <w:spacing w:after="0"/>
              <w:rPr>
                <w:sz w:val="16"/>
                <w:szCs w:val="16"/>
                <w:color w:val="auto"/>
              </w:rPr>
            </w:pPr>
          </w:p>
        </w:tc>
        <w:tc>
          <w:tcPr>
            <w:tcW w:w="620" w:type="dxa"/>
            <w:vAlign w:val="bottom"/>
            <w:tcBorders>
              <w:right w:val="single" w:sz="8" w:color="5673B8"/>
            </w:tcBorders>
          </w:tcPr>
          <w:p>
            <w:pPr>
              <w:spacing w:after="0"/>
              <w:rPr>
                <w:sz w:val="16"/>
                <w:szCs w:val="16"/>
                <w:color w:val="auto"/>
              </w:rPr>
            </w:pPr>
          </w:p>
        </w:tc>
        <w:tc>
          <w:tcPr>
            <w:tcW w:w="740" w:type="dxa"/>
            <w:vAlign w:val="bottom"/>
            <w:tcBorders>
              <w:right w:val="single" w:sz="8" w:color="5673B8"/>
            </w:tcBorders>
          </w:tcPr>
          <w:p>
            <w:pPr>
              <w:spacing w:after="0"/>
              <w:rPr>
                <w:sz w:val="16"/>
                <w:szCs w:val="16"/>
                <w:color w:val="auto"/>
              </w:rPr>
            </w:pPr>
          </w:p>
        </w:tc>
        <w:tc>
          <w:tcPr>
            <w:tcW w:w="460" w:type="dxa"/>
            <w:vAlign w:val="bottom"/>
            <w:tcBorders>
              <w:right w:val="single" w:sz="8" w:color="5673B8"/>
            </w:tcBorders>
          </w:tcPr>
          <w:p>
            <w:pPr>
              <w:spacing w:after="0"/>
              <w:rPr>
                <w:sz w:val="16"/>
                <w:szCs w:val="16"/>
                <w:color w:val="auto"/>
              </w:rPr>
            </w:pPr>
          </w:p>
        </w:tc>
        <w:tc>
          <w:tcPr>
            <w:tcW w:w="440" w:type="dxa"/>
            <w:vAlign w:val="bottom"/>
            <w:tcBorders>
              <w:right w:val="single" w:sz="8" w:color="5673B8"/>
            </w:tcBorders>
          </w:tcPr>
          <w:p>
            <w:pPr>
              <w:spacing w:after="0"/>
              <w:rPr>
                <w:sz w:val="16"/>
                <w:szCs w:val="16"/>
                <w:color w:val="auto"/>
              </w:rPr>
            </w:pPr>
          </w:p>
        </w:tc>
        <w:tc>
          <w:tcPr>
            <w:tcW w:w="900" w:type="dxa"/>
            <w:vAlign w:val="bottom"/>
            <w:tcBorders>
              <w:right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3880" w:type="dxa"/>
            <w:vAlign w:val="bottom"/>
            <w:tcBorders>
              <w:bottom w:val="single" w:sz="8" w:color="852166"/>
            </w:tcBorders>
          </w:tcPr>
          <w:p>
            <w:pPr>
              <w:spacing w:after="0"/>
              <w:rPr>
                <w:sz w:val="7"/>
                <w:szCs w:val="7"/>
                <w:color w:val="auto"/>
              </w:rPr>
            </w:pPr>
          </w:p>
        </w:tc>
        <w:tc>
          <w:tcPr>
            <w:tcW w:w="180" w:type="dxa"/>
            <w:vAlign w:val="bottom"/>
            <w:tcBorders>
              <w:bottom w:val="single" w:sz="8" w:color="852166"/>
              <w:right w:val="single" w:sz="8" w:color="5673B8"/>
            </w:tcBorders>
          </w:tcPr>
          <w:p>
            <w:pPr>
              <w:spacing w:after="0"/>
              <w:rPr>
                <w:sz w:val="7"/>
                <w:szCs w:val="7"/>
                <w:color w:val="auto"/>
              </w:rPr>
            </w:pPr>
          </w:p>
        </w:tc>
        <w:tc>
          <w:tcPr>
            <w:tcW w:w="400" w:type="dxa"/>
            <w:vAlign w:val="bottom"/>
            <w:tcBorders>
              <w:bottom w:val="single" w:sz="8" w:color="852166"/>
              <w:right w:val="single" w:sz="8" w:color="5673B8"/>
            </w:tcBorders>
          </w:tcPr>
          <w:p>
            <w:pPr>
              <w:spacing w:after="0"/>
              <w:rPr>
                <w:sz w:val="7"/>
                <w:szCs w:val="7"/>
                <w:color w:val="auto"/>
              </w:rPr>
            </w:pPr>
          </w:p>
        </w:tc>
        <w:tc>
          <w:tcPr>
            <w:tcW w:w="540" w:type="dxa"/>
            <w:vAlign w:val="bottom"/>
            <w:tcBorders>
              <w:bottom w:val="single" w:sz="8" w:color="852166"/>
              <w:right w:val="single" w:sz="8" w:color="5673B8"/>
            </w:tcBorders>
          </w:tcPr>
          <w:p>
            <w:pPr>
              <w:spacing w:after="0"/>
              <w:rPr>
                <w:sz w:val="7"/>
                <w:szCs w:val="7"/>
                <w:color w:val="auto"/>
              </w:rPr>
            </w:pPr>
          </w:p>
        </w:tc>
        <w:tc>
          <w:tcPr>
            <w:tcW w:w="540" w:type="dxa"/>
            <w:vAlign w:val="bottom"/>
            <w:tcBorders>
              <w:bottom w:val="single" w:sz="8" w:color="852166"/>
              <w:right w:val="single" w:sz="8" w:color="5673B8"/>
            </w:tcBorders>
          </w:tcPr>
          <w:p>
            <w:pPr>
              <w:spacing w:after="0"/>
              <w:rPr>
                <w:sz w:val="7"/>
                <w:szCs w:val="7"/>
                <w:color w:val="auto"/>
              </w:rPr>
            </w:pPr>
          </w:p>
        </w:tc>
        <w:tc>
          <w:tcPr>
            <w:tcW w:w="380" w:type="dxa"/>
            <w:vAlign w:val="bottom"/>
            <w:tcBorders>
              <w:bottom w:val="single" w:sz="8" w:color="852166"/>
              <w:right w:val="single" w:sz="8" w:color="5673B8"/>
            </w:tcBorders>
          </w:tcPr>
          <w:p>
            <w:pPr>
              <w:spacing w:after="0"/>
              <w:rPr>
                <w:sz w:val="7"/>
                <w:szCs w:val="7"/>
                <w:color w:val="auto"/>
              </w:rPr>
            </w:pPr>
          </w:p>
        </w:tc>
        <w:tc>
          <w:tcPr>
            <w:tcW w:w="480" w:type="dxa"/>
            <w:vAlign w:val="bottom"/>
            <w:tcBorders>
              <w:bottom w:val="single" w:sz="8" w:color="852166"/>
              <w:right w:val="single" w:sz="8" w:color="5673B8"/>
            </w:tcBorders>
          </w:tcPr>
          <w:p>
            <w:pPr>
              <w:spacing w:after="0"/>
              <w:rPr>
                <w:sz w:val="7"/>
                <w:szCs w:val="7"/>
                <w:color w:val="auto"/>
              </w:rPr>
            </w:pPr>
          </w:p>
        </w:tc>
        <w:tc>
          <w:tcPr>
            <w:tcW w:w="640" w:type="dxa"/>
            <w:vAlign w:val="bottom"/>
            <w:tcBorders>
              <w:bottom w:val="single" w:sz="8" w:color="852166"/>
              <w:right w:val="single" w:sz="8" w:color="5673B8"/>
            </w:tcBorders>
          </w:tcPr>
          <w:p>
            <w:pPr>
              <w:spacing w:after="0"/>
              <w:rPr>
                <w:sz w:val="7"/>
                <w:szCs w:val="7"/>
                <w:color w:val="auto"/>
              </w:rPr>
            </w:pPr>
          </w:p>
        </w:tc>
        <w:tc>
          <w:tcPr>
            <w:tcW w:w="380" w:type="dxa"/>
            <w:vAlign w:val="bottom"/>
            <w:tcBorders>
              <w:bottom w:val="single" w:sz="8" w:color="852166"/>
              <w:right w:val="single" w:sz="8" w:color="5673B8"/>
            </w:tcBorders>
          </w:tcPr>
          <w:p>
            <w:pPr>
              <w:spacing w:after="0"/>
              <w:rPr>
                <w:sz w:val="7"/>
                <w:szCs w:val="7"/>
                <w:color w:val="auto"/>
              </w:rPr>
            </w:pPr>
          </w:p>
        </w:tc>
        <w:tc>
          <w:tcPr>
            <w:tcW w:w="680" w:type="dxa"/>
            <w:vAlign w:val="bottom"/>
            <w:tcBorders>
              <w:bottom w:val="single" w:sz="8" w:color="852166"/>
              <w:right w:val="single" w:sz="8" w:color="5673B8"/>
            </w:tcBorders>
          </w:tcPr>
          <w:p>
            <w:pPr>
              <w:spacing w:after="0"/>
              <w:rPr>
                <w:sz w:val="7"/>
                <w:szCs w:val="7"/>
                <w:color w:val="auto"/>
              </w:rPr>
            </w:pPr>
          </w:p>
        </w:tc>
        <w:tc>
          <w:tcPr>
            <w:tcW w:w="620" w:type="dxa"/>
            <w:vAlign w:val="bottom"/>
            <w:tcBorders>
              <w:bottom w:val="single" w:sz="8" w:color="852166"/>
              <w:right w:val="single" w:sz="8" w:color="5673B8"/>
            </w:tcBorders>
          </w:tcPr>
          <w:p>
            <w:pPr>
              <w:spacing w:after="0"/>
              <w:rPr>
                <w:sz w:val="7"/>
                <w:szCs w:val="7"/>
                <w:color w:val="auto"/>
              </w:rPr>
            </w:pPr>
          </w:p>
        </w:tc>
        <w:tc>
          <w:tcPr>
            <w:tcW w:w="740" w:type="dxa"/>
            <w:vAlign w:val="bottom"/>
            <w:tcBorders>
              <w:bottom w:val="single" w:sz="8" w:color="852166"/>
              <w:right w:val="single" w:sz="8" w:color="5673B8"/>
            </w:tcBorders>
          </w:tcPr>
          <w:p>
            <w:pPr>
              <w:spacing w:after="0"/>
              <w:rPr>
                <w:sz w:val="7"/>
                <w:szCs w:val="7"/>
                <w:color w:val="auto"/>
              </w:rPr>
            </w:pPr>
          </w:p>
        </w:tc>
        <w:tc>
          <w:tcPr>
            <w:tcW w:w="460" w:type="dxa"/>
            <w:vAlign w:val="bottom"/>
            <w:tcBorders>
              <w:bottom w:val="single" w:sz="8" w:color="852166"/>
              <w:right w:val="single" w:sz="8" w:color="5673B8"/>
            </w:tcBorders>
          </w:tcPr>
          <w:p>
            <w:pPr>
              <w:spacing w:after="0"/>
              <w:rPr>
                <w:sz w:val="7"/>
                <w:szCs w:val="7"/>
                <w:color w:val="auto"/>
              </w:rPr>
            </w:pPr>
          </w:p>
        </w:tc>
        <w:tc>
          <w:tcPr>
            <w:tcW w:w="440" w:type="dxa"/>
            <w:vAlign w:val="bottom"/>
            <w:tcBorders>
              <w:bottom w:val="single" w:sz="8" w:color="852166"/>
              <w:right w:val="single" w:sz="8" w:color="5673B8"/>
            </w:tcBorders>
          </w:tcPr>
          <w:p>
            <w:pPr>
              <w:spacing w:after="0"/>
              <w:rPr>
                <w:sz w:val="7"/>
                <w:szCs w:val="7"/>
                <w:color w:val="auto"/>
              </w:rPr>
            </w:pPr>
          </w:p>
        </w:tc>
        <w:tc>
          <w:tcPr>
            <w:tcW w:w="900" w:type="dxa"/>
            <w:vAlign w:val="bottom"/>
            <w:tcBorders>
              <w:bottom w:val="single" w:sz="8" w:color="852166"/>
              <w:right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3880" w:type="dxa"/>
            <w:vAlign w:val="bottom"/>
          </w:tcPr>
          <w:p>
            <w:pPr>
              <w:spacing w:after="0"/>
              <w:rPr>
                <w:sz w:val="20"/>
                <w:szCs w:val="20"/>
                <w:color w:val="auto"/>
              </w:rPr>
            </w:pPr>
            <w:r>
              <w:rPr>
                <w:rFonts w:ascii="Arial" w:cs="Arial" w:eastAsia="Arial" w:hAnsi="Arial"/>
                <w:sz w:val="14"/>
                <w:szCs w:val="14"/>
                <w:color w:val="auto"/>
              </w:rPr>
              <w:t>Indicates experience/expertise in subject matter.</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-6329680</wp:posOffset>
            </wp:positionV>
            <wp:extent cx="196850" cy="939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6850" cy="9398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-5875020</wp:posOffset>
            </wp:positionV>
            <wp:extent cx="196850" cy="196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-5420995</wp:posOffset>
            </wp:positionV>
            <wp:extent cx="162560" cy="1974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2560" cy="19748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-4743450</wp:posOffset>
            </wp:positionV>
            <wp:extent cx="196850" cy="179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6850" cy="1797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-4066540</wp:posOffset>
            </wp:positionV>
            <wp:extent cx="196850"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6850" cy="12001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-3500755</wp:posOffset>
            </wp:positionV>
            <wp:extent cx="19685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6850"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-2720340</wp:posOffset>
            </wp:positionV>
            <wp:extent cx="154305" cy="196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4305" cy="19685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-2060575</wp:posOffset>
            </wp:positionV>
            <wp:extent cx="196850" cy="1974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6850" cy="19748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-1605915</wp:posOffset>
            </wp:positionV>
            <wp:extent cx="188595" cy="196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8595" cy="19685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-1040130</wp:posOffset>
            </wp:positionV>
            <wp:extent cx="196850" cy="196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6850" cy="196850"/>
                    </a:xfrm>
                    <a:prstGeom prst="rect">
                      <a:avLst/>
                    </a:prstGeom>
                    <a:noFill/>
                  </pic:spPr>
                </pic:pic>
              </a:graphicData>
            </a:graphic>
          </wp:anchor>
        </w:drawing>
      </w:r>
    </w:p>
    <w:p>
      <w:pPr>
        <w:spacing w:after="0" w:line="4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Ms. O’Riordan notified us that she is not standing for re-election at the 2026 AGM. Her term of office as a director will expire at the 2026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392430</wp:posOffset>
            </wp:positionV>
            <wp:extent cx="1242695" cy="205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6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852166"/>
              </w:rPr>
              <w:t>5</w:t>
            </w:r>
          </w:p>
        </w:tc>
      </w:tr>
      <w:tr>
        <w:trPr>
          <w:trHeight w:val="494"/>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22" w:right="319" w:bottom="1054" w:gutter="0" w:footer="0" w:header="0"/>
        </w:sectPr>
      </w:pPr>
    </w:p>
    <w:bookmarkStart w:id="13" w:name="page14"/>
    <w:bookmarkEnd w:id="13"/>
    <w:p>
      <w:pPr>
        <w:ind w:left="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857250" cy="3003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0" cy="300355"/>
                    </a:xfrm>
                    <a:prstGeom prst="rect">
                      <a:avLst/>
                    </a:prstGeom>
                    <a:noFill/>
                  </pic:spPr>
                </pic:pic>
              </a:graphicData>
            </a:graphic>
          </wp:anchor>
        </w:drawing>
        <w:t>OUR BOARD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Board Tenure</w:t>
      </w:r>
      <w:r>
        <w:rPr>
          <w:rFonts w:ascii="Arial" w:cs="Arial" w:eastAsia="Arial" w:hAnsi="Arial"/>
          <w:sz w:val="25"/>
          <w:szCs w:val="25"/>
          <w:b w:val="1"/>
          <w:bCs w:val="1"/>
          <w:color w:val="001C71"/>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-38100</wp:posOffset>
            </wp:positionV>
            <wp:extent cx="1911350" cy="12344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1135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Anne O'Riordan, who is not standing for re-election at the 2026 AGM. Her term of office as a director will expire at the 2026 AGM.</w:t>
      </w:r>
    </w:p>
    <w:p>
      <w:pPr>
        <w:spacing w:after="0" w:line="181" w:lineRule="exact"/>
        <w:rPr>
          <w:sz w:val="20"/>
          <w:szCs w:val="20"/>
          <w:color w:val="auto"/>
        </w:rPr>
      </w:pPr>
    </w:p>
    <w:p>
      <w:pPr>
        <w:spacing w:after="0"/>
        <w:rPr>
          <w:sz w:val="20"/>
          <w:szCs w:val="20"/>
          <w:color w:val="auto"/>
        </w:rPr>
      </w:pPr>
      <w:r>
        <w:rPr>
          <w:rFonts w:ascii="Arial" w:cs="Arial" w:eastAsia="Arial" w:hAnsi="Arial"/>
          <w:sz w:val="29"/>
          <w:szCs w:val="29"/>
          <w:color w:val="852166"/>
        </w:rPr>
        <w:t>Board Evaluation</w:t>
      </w:r>
    </w:p>
    <w:p>
      <w:pPr>
        <w:spacing w:after="0" w:line="19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Our Board and its committees are committed to conducting a thorough annual self-evaluation. Outlined below is a self-evaluation cycle that we use as a guide. The scope and structure of our annual self-evaluation process was developed in conjunction with our Chairperson, LID, chair of our Nominating Committee, Chief Legal Officer and Company Secretary.</w:t>
      </w:r>
    </w:p>
    <w:p>
      <w:pPr>
        <w:spacing w:after="0" w:line="11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periodically engage an independent third-party advisor experienced in corporate governance matters to facilitate a targeted assessment on certain strategic themes, and bring an outside perspective to, our annual self-evaluation process. Our Board engaged such an advisor in 2025. The third-party advisor ran a workshop with our Board, conducted individual interviews with each director and presented its findings to our Board at an executive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41402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4140200"/>
                    </a:xfrm>
                    <a:prstGeom prst="rect">
                      <a:avLst/>
                    </a:prstGeom>
                    <a:noFill/>
                  </pic:spPr>
                </pic:pic>
              </a:graphicData>
            </a:graphic>
          </wp:anchor>
        </w:drawing>
      </w:r>
    </w:p>
    <w:p>
      <w:pPr>
        <w:spacing w:after="0" w:line="332" w:lineRule="exact"/>
        <w:rPr>
          <w:sz w:val="20"/>
          <w:szCs w:val="20"/>
          <w:color w:val="auto"/>
        </w:rPr>
      </w:pPr>
    </w:p>
    <w:p>
      <w:pPr>
        <w:jc w:val="center"/>
        <w:ind w:left="520" w:right="260"/>
        <w:spacing w:after="0" w:line="354" w:lineRule="auto"/>
        <w:rPr>
          <w:sz w:val="20"/>
          <w:szCs w:val="20"/>
          <w:color w:val="auto"/>
        </w:rPr>
      </w:pPr>
      <w:r>
        <w:rPr>
          <w:rFonts w:ascii="Arial" w:cs="Arial" w:eastAsia="Arial" w:hAnsi="Arial"/>
          <w:sz w:val="14"/>
          <w:szCs w:val="14"/>
          <w:b w:val="1"/>
          <w:bCs w:val="1"/>
          <w:color w:val="001C71"/>
        </w:rPr>
        <w:t>Prior to commencing a self-evaluation cycle, consideration is given to our corporate strategy and the qualifications, skills and experience of our Board required to achieve such strategy</w:t>
      </w:r>
    </w:p>
    <w:p>
      <w:pPr>
        <w:spacing w:after="0" w:line="1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FFFFFF"/>
        </w:rPr>
        <w:t>YEAR 1</w:t>
      </w:r>
    </w:p>
    <w:p>
      <w:pPr>
        <w:sectPr>
          <w:pgSz w:w="11900" w:h="16838" w:orient="portrait"/>
          <w:cols w:equalWidth="0" w:num="1">
            <w:col w:w="11020"/>
          </w:cols>
          <w:pgMar w:left="320" w:top="522"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FFFFFF"/>
        </w:rPr>
        <w:t>YEAR 4</w:t>
      </w:r>
    </w:p>
    <w:p>
      <w:pPr>
        <w:spacing w:after="0" w:line="194" w:lineRule="exact"/>
        <w:rPr>
          <w:sz w:val="20"/>
          <w:szCs w:val="20"/>
          <w:color w:val="auto"/>
        </w:rPr>
      </w:pPr>
    </w:p>
    <w:p>
      <w:pPr>
        <w:ind w:left="600" w:hanging="156"/>
        <w:spacing w:after="0"/>
        <w:tabs>
          <w:tab w:leader="none" w:pos="600" w:val="left"/>
        </w:tabs>
        <w:numPr>
          <w:ilvl w:val="0"/>
          <w:numId w:val="6"/>
        </w:numPr>
        <w:rPr>
          <w:rFonts w:ascii="Arial" w:cs="Arial" w:eastAsia="Arial" w:hAnsi="Arial"/>
          <w:sz w:val="14"/>
          <w:szCs w:val="14"/>
          <w:b w:val="1"/>
          <w:bCs w:val="1"/>
          <w:color w:val="636466"/>
        </w:rPr>
      </w:pPr>
      <w:r>
        <w:rPr>
          <w:rFonts w:ascii="Arial" w:cs="Arial" w:eastAsia="Arial" w:hAnsi="Arial"/>
          <w:sz w:val="14"/>
          <w:szCs w:val="14"/>
          <w:color w:val="auto"/>
        </w:rPr>
        <w:t>1:1 interviews are held with each director</w:t>
      </w:r>
    </w:p>
    <w:p>
      <w:pPr>
        <w:spacing w:after="0" w:line="68" w:lineRule="exact"/>
        <w:rPr>
          <w:rFonts w:ascii="Arial" w:cs="Arial" w:eastAsia="Arial" w:hAnsi="Arial"/>
          <w:sz w:val="14"/>
          <w:szCs w:val="14"/>
          <w:b w:val="1"/>
          <w:bCs w:val="1"/>
          <w:color w:val="636466"/>
        </w:rPr>
      </w:pPr>
    </w:p>
    <w:p>
      <w:pPr>
        <w:ind w:left="600" w:hanging="156"/>
        <w:spacing w:after="0" w:line="301" w:lineRule="auto"/>
        <w:tabs>
          <w:tab w:leader="none" w:pos="596" w:val="left"/>
        </w:tabs>
        <w:numPr>
          <w:ilvl w:val="0"/>
          <w:numId w:val="6"/>
        </w:numPr>
        <w:rPr>
          <w:rFonts w:ascii="Arial" w:cs="Arial" w:eastAsia="Arial" w:hAnsi="Arial"/>
          <w:sz w:val="14"/>
          <w:szCs w:val="14"/>
          <w:b w:val="1"/>
          <w:bCs w:val="1"/>
          <w:color w:val="636466"/>
        </w:rPr>
      </w:pPr>
      <w:r>
        <w:rPr>
          <w:rFonts w:ascii="Arial" w:cs="Arial" w:eastAsia="Arial" w:hAnsi="Arial"/>
          <w:sz w:val="14"/>
          <w:szCs w:val="14"/>
          <w:color w:val="auto"/>
        </w:rPr>
        <w:t>A memo is issued to our Board and its findings are discussed in executive session</w:t>
      </w:r>
    </w:p>
    <w:p>
      <w:pPr>
        <w:spacing w:after="0" w:line="1" w:lineRule="exact"/>
        <w:rPr>
          <w:rFonts w:ascii="Arial" w:cs="Arial" w:eastAsia="Arial" w:hAnsi="Arial"/>
          <w:sz w:val="14"/>
          <w:szCs w:val="14"/>
          <w:b w:val="1"/>
          <w:bCs w:val="1"/>
          <w:color w:val="636466"/>
        </w:rPr>
      </w:pPr>
    </w:p>
    <w:p>
      <w:pPr>
        <w:jc w:val="both"/>
        <w:ind w:left="600" w:right="80" w:hanging="156"/>
        <w:spacing w:after="0" w:line="273" w:lineRule="auto"/>
        <w:tabs>
          <w:tab w:leader="none" w:pos="596" w:val="left"/>
        </w:tabs>
        <w:numPr>
          <w:ilvl w:val="0"/>
          <w:numId w:val="6"/>
        </w:numPr>
        <w:rPr>
          <w:rFonts w:ascii="Arial" w:cs="Arial" w:eastAsia="Arial" w:hAnsi="Arial"/>
          <w:sz w:val="14"/>
          <w:szCs w:val="14"/>
          <w:b w:val="1"/>
          <w:bCs w:val="1"/>
          <w:color w:val="636466"/>
        </w:rPr>
      </w:pPr>
      <w:r>
        <w:rPr>
          <w:rFonts w:ascii="Arial" w:cs="Arial" w:eastAsia="Arial" w:hAnsi="Arial"/>
          <w:sz w:val="14"/>
          <w:szCs w:val="14"/>
          <w:color w:val="auto"/>
        </w:rPr>
        <w:t>Our Nominating Committee reflects on the effectiveness of the cycle and any actions taken and turns its focus to the next cycle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65" w:hanging="165"/>
        <w:spacing w:after="0"/>
        <w:tabs>
          <w:tab w:leader="none" w:pos="165" w:val="left"/>
        </w:tabs>
        <w:numPr>
          <w:ilvl w:val="0"/>
          <w:numId w:val="7"/>
        </w:numPr>
        <w:rPr>
          <w:rFonts w:ascii="Arial" w:cs="Arial" w:eastAsia="Arial" w:hAnsi="Arial"/>
          <w:sz w:val="14"/>
          <w:szCs w:val="14"/>
          <w:b w:val="1"/>
          <w:bCs w:val="1"/>
          <w:color w:val="636466"/>
        </w:rPr>
      </w:pPr>
      <w:r>
        <w:rPr>
          <w:rFonts w:ascii="Arial" w:cs="Arial" w:eastAsia="Arial" w:hAnsi="Arial"/>
          <w:sz w:val="14"/>
          <w:szCs w:val="14"/>
          <w:color w:val="auto"/>
        </w:rPr>
        <w:t>1:1 interviews are held with each director</w:t>
      </w:r>
    </w:p>
    <w:p>
      <w:pPr>
        <w:spacing w:after="0" w:line="68" w:lineRule="exact"/>
        <w:rPr>
          <w:rFonts w:ascii="Arial" w:cs="Arial" w:eastAsia="Arial" w:hAnsi="Arial"/>
          <w:sz w:val="14"/>
          <w:szCs w:val="14"/>
          <w:b w:val="1"/>
          <w:bCs w:val="1"/>
          <w:color w:val="636466"/>
        </w:rPr>
      </w:pPr>
    </w:p>
    <w:p>
      <w:pPr>
        <w:ind w:left="165" w:right="120" w:hanging="165"/>
        <w:spacing w:after="0" w:line="305" w:lineRule="auto"/>
        <w:tabs>
          <w:tab w:leader="none" w:pos="161" w:val="left"/>
        </w:tabs>
        <w:numPr>
          <w:ilvl w:val="0"/>
          <w:numId w:val="7"/>
        </w:numPr>
        <w:rPr>
          <w:rFonts w:ascii="Arial" w:cs="Arial" w:eastAsia="Arial" w:hAnsi="Arial"/>
          <w:sz w:val="14"/>
          <w:szCs w:val="14"/>
          <w:b w:val="1"/>
          <w:bCs w:val="1"/>
          <w:color w:val="636466"/>
        </w:rPr>
      </w:pPr>
      <w:r>
        <w:rPr>
          <w:rFonts w:ascii="Arial" w:cs="Arial" w:eastAsia="Arial" w:hAnsi="Arial"/>
          <w:sz w:val="14"/>
          <w:szCs w:val="14"/>
          <w:color w:val="auto"/>
        </w:rPr>
        <w:t>A memo is issued to our Board and its findings are discussed in executive session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104"/>
        <w:spacing w:after="0"/>
        <w:rPr>
          <w:sz w:val="20"/>
          <w:szCs w:val="20"/>
          <w:color w:val="auto"/>
        </w:rPr>
      </w:pPr>
      <w:r>
        <w:rPr>
          <w:rFonts w:ascii="Arial" w:cs="Arial" w:eastAsia="Arial" w:hAnsi="Arial"/>
          <w:sz w:val="18"/>
          <w:szCs w:val="18"/>
          <w:b w:val="1"/>
          <w:bCs w:val="1"/>
          <w:color w:val="FFFFFF"/>
        </w:rPr>
        <w:t>YEAR 3</w:t>
      </w:r>
    </w:p>
    <w:p>
      <w:pPr>
        <w:spacing w:after="0" w:line="194" w:lineRule="exact"/>
        <w:rPr>
          <w:sz w:val="20"/>
          <w:szCs w:val="20"/>
          <w:color w:val="auto"/>
        </w:rPr>
      </w:pPr>
    </w:p>
    <w:p>
      <w:pPr>
        <w:ind w:left="165" w:right="40" w:hanging="165"/>
        <w:spacing w:after="0" w:line="301" w:lineRule="auto"/>
        <w:tabs>
          <w:tab w:leader="none" w:pos="161" w:val="left"/>
        </w:tabs>
        <w:numPr>
          <w:ilvl w:val="0"/>
          <w:numId w:val="8"/>
        </w:numPr>
        <w:rPr>
          <w:rFonts w:ascii="Arial" w:cs="Arial" w:eastAsia="Arial" w:hAnsi="Arial"/>
          <w:sz w:val="14"/>
          <w:szCs w:val="14"/>
          <w:b w:val="1"/>
          <w:bCs w:val="1"/>
          <w:color w:val="636466"/>
        </w:rPr>
      </w:pPr>
      <w:r>
        <w:rPr>
          <w:rFonts w:ascii="Arial" w:cs="Arial" w:eastAsia="Arial" w:hAnsi="Arial"/>
          <w:sz w:val="14"/>
          <w:szCs w:val="14"/>
          <w:color w:val="auto"/>
        </w:rPr>
        <w:t>External facilitation: targeted assessment on pre-agreed key strategic themes</w:t>
      </w:r>
    </w:p>
    <w:p>
      <w:pPr>
        <w:spacing w:after="0" w:line="1" w:lineRule="exact"/>
        <w:rPr>
          <w:rFonts w:ascii="Arial" w:cs="Arial" w:eastAsia="Arial" w:hAnsi="Arial"/>
          <w:sz w:val="14"/>
          <w:szCs w:val="14"/>
          <w:b w:val="1"/>
          <w:bCs w:val="1"/>
          <w:color w:val="636466"/>
        </w:rPr>
      </w:pPr>
    </w:p>
    <w:p>
      <w:pPr>
        <w:ind w:left="165" w:hanging="165"/>
        <w:spacing w:after="0" w:line="269" w:lineRule="auto"/>
        <w:tabs>
          <w:tab w:leader="none" w:pos="161" w:val="left"/>
        </w:tabs>
        <w:numPr>
          <w:ilvl w:val="0"/>
          <w:numId w:val="8"/>
        </w:numPr>
        <w:rPr>
          <w:rFonts w:ascii="Arial" w:cs="Arial" w:eastAsia="Arial" w:hAnsi="Arial"/>
          <w:sz w:val="14"/>
          <w:szCs w:val="14"/>
          <w:b w:val="1"/>
          <w:bCs w:val="1"/>
          <w:color w:val="636466"/>
        </w:rPr>
      </w:pPr>
      <w:r>
        <w:rPr>
          <w:rFonts w:ascii="Arial" w:cs="Arial" w:eastAsia="Arial" w:hAnsi="Arial"/>
          <w:sz w:val="14"/>
          <w:szCs w:val="14"/>
          <w:color w:val="auto"/>
        </w:rPr>
        <w:t>Third-party runs a workshop with our Board, conducts individual interviews with each director and presents its findings in executive session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FFFFFF"/>
        </w:rPr>
        <w:t>YEAR 2</w:t>
      </w:r>
    </w:p>
    <w:p>
      <w:pPr>
        <w:spacing w:after="0" w:line="194" w:lineRule="exact"/>
        <w:rPr>
          <w:sz w:val="20"/>
          <w:szCs w:val="20"/>
          <w:color w:val="auto"/>
        </w:rPr>
      </w:pPr>
    </w:p>
    <w:p>
      <w:pPr>
        <w:ind w:left="160" w:right="520" w:hanging="160"/>
        <w:spacing w:after="0" w:line="272" w:lineRule="auto"/>
        <w:tabs>
          <w:tab w:leader="none" w:pos="156" w:val="left"/>
        </w:tabs>
        <w:numPr>
          <w:ilvl w:val="0"/>
          <w:numId w:val="9"/>
        </w:numPr>
        <w:rPr>
          <w:rFonts w:ascii="Arial" w:cs="Arial" w:eastAsia="Arial" w:hAnsi="Arial"/>
          <w:sz w:val="14"/>
          <w:szCs w:val="14"/>
          <w:b w:val="1"/>
          <w:bCs w:val="1"/>
          <w:color w:val="636466"/>
        </w:rPr>
      </w:pPr>
      <w:r>
        <w:rPr>
          <w:rFonts w:ascii="Arial" w:cs="Arial" w:eastAsia="Arial" w:hAnsi="Arial"/>
          <w:sz w:val="14"/>
          <w:szCs w:val="14"/>
          <w:color w:val="auto"/>
        </w:rPr>
        <w:t>An internal survey for our Board and each Committee is prepared by our Corporate Governance team and the chair of our Nominating Committee, leveraging the findings from the prior year</w:t>
      </w:r>
    </w:p>
    <w:p>
      <w:pPr>
        <w:spacing w:after="0" w:line="5" w:lineRule="exact"/>
        <w:rPr>
          <w:rFonts w:ascii="Arial" w:cs="Arial" w:eastAsia="Arial" w:hAnsi="Arial"/>
          <w:sz w:val="14"/>
          <w:szCs w:val="14"/>
          <w:b w:val="1"/>
          <w:bCs w:val="1"/>
          <w:color w:val="636466"/>
        </w:rPr>
      </w:pPr>
    </w:p>
    <w:p>
      <w:pPr>
        <w:ind w:left="160" w:right="400" w:hanging="160"/>
        <w:spacing w:after="0" w:line="301" w:lineRule="auto"/>
        <w:tabs>
          <w:tab w:leader="none" w:pos="156" w:val="left"/>
        </w:tabs>
        <w:numPr>
          <w:ilvl w:val="0"/>
          <w:numId w:val="9"/>
        </w:numPr>
        <w:rPr>
          <w:rFonts w:ascii="Arial" w:cs="Arial" w:eastAsia="Arial" w:hAnsi="Arial"/>
          <w:sz w:val="14"/>
          <w:szCs w:val="14"/>
          <w:b w:val="1"/>
          <w:bCs w:val="1"/>
          <w:color w:val="636466"/>
        </w:rPr>
      </w:pPr>
      <w:r>
        <w:rPr>
          <w:rFonts w:ascii="Arial" w:cs="Arial" w:eastAsia="Arial" w:hAnsi="Arial"/>
          <w:sz w:val="14"/>
          <w:szCs w:val="14"/>
          <w:color w:val="auto"/>
        </w:rPr>
        <w:t>Raw survey data is shared with our Chairperson, LID and each committee chair</w:t>
      </w:r>
    </w:p>
    <w:p>
      <w:pPr>
        <w:spacing w:after="0" w:line="1" w:lineRule="exact"/>
        <w:rPr>
          <w:rFonts w:ascii="Arial" w:cs="Arial" w:eastAsia="Arial" w:hAnsi="Arial"/>
          <w:sz w:val="14"/>
          <w:szCs w:val="14"/>
          <w:b w:val="1"/>
          <w:bCs w:val="1"/>
          <w:color w:val="636466"/>
        </w:rPr>
      </w:pPr>
    </w:p>
    <w:p>
      <w:pPr>
        <w:ind w:left="160" w:right="460" w:hanging="160"/>
        <w:spacing w:after="0" w:line="305" w:lineRule="auto"/>
        <w:tabs>
          <w:tab w:leader="none" w:pos="156" w:val="left"/>
        </w:tabs>
        <w:numPr>
          <w:ilvl w:val="0"/>
          <w:numId w:val="9"/>
        </w:numPr>
        <w:rPr>
          <w:rFonts w:ascii="Arial" w:cs="Arial" w:eastAsia="Arial" w:hAnsi="Arial"/>
          <w:sz w:val="14"/>
          <w:szCs w:val="14"/>
          <w:b w:val="1"/>
          <w:bCs w:val="1"/>
          <w:color w:val="636466"/>
        </w:rPr>
      </w:pPr>
      <w:r>
        <w:rPr>
          <w:rFonts w:ascii="Arial" w:cs="Arial" w:eastAsia="Arial" w:hAnsi="Arial"/>
          <w:sz w:val="14"/>
          <w:szCs w:val="14"/>
          <w:color w:val="auto"/>
        </w:rPr>
        <w:t>Summary and key findings are shared with our Board and its Committees</w:t>
      </w:r>
    </w:p>
    <w:p>
      <w:pPr>
        <w:spacing w:after="0" w:line="1957" w:lineRule="exact"/>
        <w:rPr>
          <w:sz w:val="20"/>
          <w:szCs w:val="20"/>
          <w:color w:val="auto"/>
        </w:rPr>
      </w:pPr>
    </w:p>
    <w:p>
      <w:pPr>
        <w:sectPr>
          <w:pgSz w:w="11900" w:h="16838" w:orient="portrait"/>
          <w:cols w:equalWidth="0" w:num="3">
            <w:col w:w="3360" w:space="675"/>
            <w:col w:w="3025" w:space="620"/>
            <w:col w:w="3340"/>
          </w:cols>
          <w:pgMar w:left="320" w:top="522" w:right="559" w:bottom="1440" w:gutter="0" w:footer="0" w:header="0"/>
          <w:type w:val="continuous"/>
        </w:sectPr>
      </w:pPr>
    </w:p>
    <w:p>
      <w:pPr>
        <w:spacing w:after="0" w:line="3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001C71"/>
        </w:rPr>
        <w:t>Our Nominating Committee develops an action plan to address any key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314960</wp:posOffset>
            </wp:positionV>
            <wp:extent cx="1242695"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640" w:hanging="614"/>
        <w:spacing w:after="0"/>
        <w:tabs>
          <w:tab w:leader="none" w:pos="640" w:val="left"/>
        </w:tabs>
        <w:numPr>
          <w:ilvl w:val="0"/>
          <w:numId w:val="10"/>
        </w:numPr>
        <w:rPr>
          <w:rFonts w:ascii="Arial" w:cs="Arial" w:eastAsia="Arial" w:hAnsi="Arial"/>
          <w:sz w:val="18"/>
          <w:szCs w:val="18"/>
          <w:b w:val="1"/>
          <w:bCs w:val="1"/>
          <w:color w:val="852166"/>
        </w:rPr>
      </w:pP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522" w:right="559" w:bottom="1440" w:gutter="0" w:footer="0" w:header="0"/>
          <w:type w:val="continuous"/>
        </w:sectPr>
      </w:pPr>
    </w:p>
    <w:bookmarkStart w:id="14" w:name="page15"/>
    <w:bookmarkEnd w:id="14"/>
    <w:p>
      <w:pPr>
        <w:ind w:left="102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6483350</wp:posOffset>
            </wp:positionH>
            <wp:positionV relativeFrom="page">
              <wp:posOffset>208915</wp:posOffset>
            </wp:positionV>
            <wp:extent cx="857250" cy="3003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0" cy="300355"/>
                    </a:xfrm>
                    <a:prstGeom prst="rect">
                      <a:avLst/>
                    </a:prstGeom>
                    <a:noFill/>
                  </pic:spPr>
                </pic:pic>
              </a:graphicData>
            </a:graphic>
          </wp:anchor>
        </w:drawing>
        <w:t>OUR BOARD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Board Refreshment</w:t>
      </w:r>
    </w:p>
    <w:p>
      <w:pPr>
        <w:spacing w:after="0" w:line="19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While we believe it is critical that our Board has the right mix of qualifications, skills and experience, we also recognize the benefit and importance of fresh perspectives and an orderly approach to board succession planning. Our Nominating Committee regularly reviews the composition of our Board and assesses the qualifications, skills and experience of our directors to ensure the composition of our Board continues to support our evolving strategy and the long-term interests of shareholders. In assessing whether to refresh our Board with new directors, the Nominating Committee also considers the tenure, capacity and contributions of the incumbent directors. Our board believes that a mix of long-, medium- and short-tenured directors promotes an appropriate balance of institutional knowledge and continuing with new skills and perspectives.</w:t>
      </w:r>
    </w:p>
    <w:p>
      <w:pPr>
        <w:spacing w:after="0" w:line="12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Our Board has an active Board refreshment program and has engaged in significant Board refreshment activities since 2024, considering candidates suggested by our Board and its committee members, senior management and external search firms, in order to further strengthen our Board’s expertise in targeted areas of importance to our Company’s strategy. The following directors have been added to our Board since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135255</wp:posOffset>
            </wp:positionV>
            <wp:extent cx="822960" cy="8229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135255</wp:posOffset>
            </wp:positionV>
            <wp:extent cx="822960" cy="8229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135255</wp:posOffset>
            </wp:positionV>
            <wp:extent cx="822960" cy="8229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135255</wp:posOffset>
            </wp:positionV>
            <wp:extent cx="822960" cy="8229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1C71"/>
        </w:rPr>
        <w:t>Patrick Kennedy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001C71"/>
        </w:rPr>
        <w:t>Laura J. Hamill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001C71"/>
        </w:rPr>
        <w:t>Renee D. Gala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001C71"/>
        </w:rPr>
        <w:t>Ted W. Love, M.D.</w:t>
      </w:r>
    </w:p>
    <w:p>
      <w:pPr>
        <w:spacing w:after="0" w:line="79" w:lineRule="exact"/>
        <w:rPr>
          <w:sz w:val="20"/>
          <w:szCs w:val="20"/>
          <w:color w:val="auto"/>
        </w:rPr>
      </w:pPr>
    </w:p>
    <w:p>
      <w:pPr>
        <w:sectPr>
          <w:pgSz w:w="11900" w:h="16838" w:orient="portrait"/>
          <w:cols w:equalWidth="0" w:num="4">
            <w:col w:w="2800" w:space="720"/>
            <w:col w:w="2080" w:space="720"/>
            <w:col w:w="1920" w:space="720"/>
            <w:col w:w="2280"/>
          </w:cols>
          <w:pgMar w:left="320" w:top="522" w:right="339" w:bottom="1440" w:gutter="0" w:footer="0" w:header="0"/>
          <w:type w:val="continuous"/>
        </w:sectPr>
      </w:pPr>
    </w:p>
    <w:p>
      <w:pPr>
        <w:ind w:left="960"/>
        <w:spacing w:after="0"/>
        <w:rPr>
          <w:sz w:val="20"/>
          <w:szCs w:val="20"/>
          <w:color w:val="auto"/>
        </w:rPr>
      </w:pPr>
      <w:r>
        <w:rPr>
          <w:rFonts w:ascii="Arial" w:cs="Arial" w:eastAsia="Arial" w:hAnsi="Arial"/>
          <w:sz w:val="16"/>
          <w:szCs w:val="16"/>
          <w:color w:val="001C71"/>
        </w:rPr>
        <w:t>March 2024</w:t>
      </w:r>
    </w:p>
    <w:p>
      <w:pPr>
        <w:spacing w:after="0" w:line="20" w:lineRule="exact"/>
        <w:rPr>
          <w:sz w:val="20"/>
          <w:szCs w:val="20"/>
          <w:color w:val="auto"/>
        </w:rPr>
      </w:pPr>
      <w:r>
        <w:rPr>
          <w:sz w:val="20"/>
          <w:szCs w:val="20"/>
          <w:color w:val="auto"/>
        </w:rPr>
        <w:br w:type="column"/>
      </w:r>
    </w:p>
    <w:p>
      <w:pPr>
        <w:jc w:val="center"/>
        <w:ind w:right="1260"/>
        <w:spacing w:after="0"/>
        <w:rPr>
          <w:sz w:val="20"/>
          <w:szCs w:val="20"/>
          <w:color w:val="auto"/>
        </w:rPr>
      </w:pPr>
      <w:r>
        <w:rPr>
          <w:rFonts w:ascii="Arial" w:cs="Arial" w:eastAsia="Arial" w:hAnsi="Arial"/>
          <w:sz w:val="16"/>
          <w:szCs w:val="16"/>
          <w:color w:val="001C71"/>
        </w:rPr>
        <w:t>July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001C71"/>
        </w:rPr>
        <w:t>August 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001C71"/>
        </w:rPr>
        <w:t>December 2025</w:t>
      </w:r>
    </w:p>
    <w:p>
      <w:pPr>
        <w:spacing w:after="0" w:line="200" w:lineRule="exact"/>
        <w:rPr>
          <w:sz w:val="20"/>
          <w:szCs w:val="20"/>
          <w:color w:val="auto"/>
        </w:rPr>
      </w:pPr>
    </w:p>
    <w:p>
      <w:pPr>
        <w:sectPr>
          <w:pgSz w:w="11900" w:h="16838" w:orient="portrait"/>
          <w:cols w:equalWidth="0" w:num="4">
            <w:col w:w="3080" w:space="720"/>
            <w:col w:w="1960" w:space="720"/>
            <w:col w:w="1940" w:space="720"/>
            <w:col w:w="2100"/>
          </w:cols>
          <w:pgMar w:left="320" w:top="522" w:right="339" w:bottom="1440" w:gutter="0" w:footer="0" w:header="0"/>
          <w:type w:val="continuous"/>
        </w:sectPr>
      </w:pPr>
    </w:p>
    <w:p>
      <w:pPr>
        <w:spacing w:after="0" w:line="14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All nominees for election to our Board, including new candidates and nominees for re-election, shall be approved by a majority of our Board upon recommendation of our Nominating Committee. Our Board delegates the responsibility for identifying, reviewing and evaluating new directors and nominees for re-election and related activities to our Nominating Committee (including conducting appropriate and necessary inquiries into the backgrounds and qualifications of possible candidates), with the expectation that other members of our Board and management will take part in the process as appropriate. Each director and nominee for director should possess the following minimum qualifications: (i) the highest personal integrity and ethics; (ii) broad experience at the policy-making level in business, government, education, science or public interest entities; (iii) a commitment to enhancing shareholder value and our Company’s long-term growth; and (iv) sufficient time to carry out his or her duties. An invitation to join our Board should be extended by our Chairperson or our LID on behalf of our Board.</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color w:val="852166"/>
        </w:rPr>
        <w:t>Director Re-Nominations</w:t>
      </w:r>
    </w:p>
    <w:p>
      <w:pPr>
        <w:spacing w:after="0" w:line="198"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In determining whether to recommend a re-nomination of an incumbent director for election at the next AGM, our Nominating Committee also considers these additional factors:</w:t>
      </w:r>
    </w:p>
    <w:p>
      <w:pPr>
        <w:spacing w:after="0" w:line="102" w:lineRule="exact"/>
        <w:rPr>
          <w:sz w:val="20"/>
          <w:szCs w:val="20"/>
          <w:color w:val="auto"/>
        </w:rPr>
      </w:pPr>
    </w:p>
    <w:p>
      <w:pPr>
        <w:ind w:left="320" w:hanging="231"/>
        <w:spacing w:after="0"/>
        <w:tabs>
          <w:tab w:leader="none" w:pos="320" w:val="left"/>
        </w:tabs>
        <w:numPr>
          <w:ilvl w:val="0"/>
          <w:numId w:val="11"/>
        </w:numPr>
        <w:rPr>
          <w:rFonts w:ascii="Arial" w:cs="Arial" w:eastAsia="Arial" w:hAnsi="Arial"/>
          <w:sz w:val="16"/>
          <w:szCs w:val="16"/>
          <w:b w:val="1"/>
          <w:bCs w:val="1"/>
          <w:color w:val="001C71"/>
        </w:rPr>
      </w:pPr>
      <w:r>
        <w:rPr>
          <w:rFonts w:ascii="Arial" w:cs="Arial" w:eastAsia="Arial" w:hAnsi="Arial"/>
          <w:sz w:val="16"/>
          <w:szCs w:val="16"/>
          <w:color w:val="auto"/>
        </w:rPr>
        <w:t>the importance of board refreshment;</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11"/>
        </w:numPr>
        <w:rPr>
          <w:rFonts w:ascii="Arial" w:cs="Arial" w:eastAsia="Arial" w:hAnsi="Arial"/>
          <w:sz w:val="16"/>
          <w:szCs w:val="16"/>
          <w:b w:val="1"/>
          <w:bCs w:val="1"/>
          <w:color w:val="001C71"/>
        </w:rPr>
      </w:pPr>
      <w:r>
        <w:rPr>
          <w:rFonts w:ascii="Arial" w:cs="Arial" w:eastAsia="Arial" w:hAnsi="Arial"/>
          <w:sz w:val="16"/>
          <w:szCs w:val="16"/>
          <w:color w:val="auto"/>
        </w:rPr>
        <w:t>the extent to which the director’s skills, experience and qualifications continue to contribute to the Board’s effectiveness;</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11"/>
        </w:numPr>
        <w:rPr>
          <w:rFonts w:ascii="Arial" w:cs="Arial" w:eastAsia="Arial" w:hAnsi="Arial"/>
          <w:sz w:val="16"/>
          <w:szCs w:val="16"/>
          <w:b w:val="1"/>
          <w:bCs w:val="1"/>
          <w:color w:val="001C71"/>
        </w:rPr>
      </w:pPr>
      <w:r>
        <w:rPr>
          <w:rFonts w:ascii="Arial" w:cs="Arial" w:eastAsia="Arial" w:hAnsi="Arial"/>
          <w:sz w:val="16"/>
          <w:szCs w:val="16"/>
          <w:color w:val="auto"/>
        </w:rPr>
        <w:t>the results of our Board’s self-evaluation process;</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11"/>
        </w:numPr>
        <w:rPr>
          <w:rFonts w:ascii="Arial" w:cs="Arial" w:eastAsia="Arial" w:hAnsi="Arial"/>
          <w:sz w:val="16"/>
          <w:szCs w:val="16"/>
          <w:b w:val="1"/>
          <w:bCs w:val="1"/>
          <w:color w:val="001C71"/>
        </w:rPr>
      </w:pPr>
      <w:r>
        <w:rPr>
          <w:rFonts w:ascii="Arial" w:cs="Arial" w:eastAsia="Arial" w:hAnsi="Arial"/>
          <w:sz w:val="16"/>
          <w:szCs w:val="16"/>
          <w:color w:val="auto"/>
        </w:rPr>
        <w:t>the director’s performance quality;</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11"/>
        </w:numPr>
        <w:rPr>
          <w:rFonts w:ascii="Arial" w:cs="Arial" w:eastAsia="Arial" w:hAnsi="Arial"/>
          <w:sz w:val="16"/>
          <w:szCs w:val="16"/>
          <w:b w:val="1"/>
          <w:bCs w:val="1"/>
          <w:color w:val="001C71"/>
        </w:rPr>
      </w:pPr>
      <w:r>
        <w:rPr>
          <w:rFonts w:ascii="Arial" w:cs="Arial" w:eastAsia="Arial" w:hAnsi="Arial"/>
          <w:sz w:val="16"/>
          <w:szCs w:val="16"/>
          <w:color w:val="auto"/>
        </w:rPr>
        <w:t>the other time commitments of directors;</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11"/>
        </w:numPr>
        <w:rPr>
          <w:rFonts w:ascii="Arial" w:cs="Arial" w:eastAsia="Arial" w:hAnsi="Arial"/>
          <w:sz w:val="16"/>
          <w:szCs w:val="16"/>
          <w:b w:val="1"/>
          <w:bCs w:val="1"/>
          <w:color w:val="001C71"/>
        </w:rPr>
      </w:pPr>
      <w:r>
        <w:rPr>
          <w:rFonts w:ascii="Arial" w:cs="Arial" w:eastAsia="Arial" w:hAnsi="Arial"/>
          <w:sz w:val="16"/>
          <w:szCs w:val="16"/>
          <w:color w:val="auto"/>
        </w:rPr>
        <w:t>any relationships or transactions that might affect the director’s independence;</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11"/>
        </w:numPr>
        <w:rPr>
          <w:rFonts w:ascii="Arial" w:cs="Arial" w:eastAsia="Arial" w:hAnsi="Arial"/>
          <w:sz w:val="16"/>
          <w:szCs w:val="16"/>
          <w:b w:val="1"/>
          <w:bCs w:val="1"/>
          <w:color w:val="001C71"/>
        </w:rPr>
      </w:pPr>
      <w:r>
        <w:rPr>
          <w:rFonts w:ascii="Arial" w:cs="Arial" w:eastAsia="Arial" w:hAnsi="Arial"/>
          <w:sz w:val="16"/>
          <w:szCs w:val="16"/>
          <w:color w:val="auto"/>
        </w:rPr>
        <w:t>attendance and level of participation at Board and committee meetings and the AGM; and</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11"/>
        </w:numPr>
        <w:rPr>
          <w:rFonts w:ascii="Arial" w:cs="Arial" w:eastAsia="Arial" w:hAnsi="Arial"/>
          <w:sz w:val="16"/>
          <w:szCs w:val="16"/>
          <w:b w:val="1"/>
          <w:bCs w:val="1"/>
          <w:color w:val="001C71"/>
        </w:rPr>
      </w:pPr>
      <w:r>
        <w:rPr>
          <w:rFonts w:ascii="Arial" w:cs="Arial" w:eastAsia="Arial" w:hAnsi="Arial"/>
          <w:sz w:val="16"/>
          <w:szCs w:val="16"/>
          <w:color w:val="auto"/>
        </w:rPr>
        <w:t>shareholder feedback, including the support received at the last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183515</wp:posOffset>
            </wp:positionV>
            <wp:extent cx="1242695" cy="20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6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852166"/>
              </w:rPr>
              <w:t>7</w:t>
            </w:r>
          </w:p>
        </w:tc>
      </w:tr>
      <w:tr>
        <w:trPr>
          <w:trHeight w:val="494"/>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15" w:name="page16"/>
    <w:bookmarkEnd w:id="15"/>
    <w:p>
      <w:pPr>
        <w:ind w:left="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857250" cy="3003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0" cy="300355"/>
                    </a:xfrm>
                    <a:prstGeom prst="rect">
                      <a:avLst/>
                    </a:prstGeom>
                    <a:noFill/>
                  </pic:spPr>
                </pic:pic>
              </a:graphicData>
            </a:graphic>
          </wp:anchor>
        </w:drawing>
        <w:t>OUR BOARD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Director Term Limits and Mandatory Retirement Age</w:t>
      </w:r>
    </w:p>
    <w:p>
      <w:pPr>
        <w:spacing w:after="0" w:line="19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Board does not believe that establishing term limits or a mandatory retirement age would be in the best interests of our Company or its shareholders as a mandatory retirement age may result in losing the contribution of directors who over time have developed increasing insight into our Company and its operations and provide a valuable contribution to our Company and our Board. As an alternative to term limits and a mandatory retirement age, our Board and Nominating Committee strives to ensure that we maintain our commitment to board refreshment and enhancing effectiveness, and that the composition of our Board reflects the needs of our Company.</w:t>
      </w:r>
    </w:p>
    <w:p>
      <w:pPr>
        <w:spacing w:after="0" w:line="164" w:lineRule="exact"/>
        <w:rPr>
          <w:sz w:val="20"/>
          <w:szCs w:val="20"/>
          <w:color w:val="auto"/>
        </w:rPr>
      </w:pPr>
    </w:p>
    <w:p>
      <w:pPr>
        <w:spacing w:after="0"/>
        <w:rPr>
          <w:sz w:val="20"/>
          <w:szCs w:val="20"/>
          <w:color w:val="auto"/>
        </w:rPr>
      </w:pPr>
      <w:r>
        <w:rPr>
          <w:rFonts w:ascii="Arial" w:cs="Arial" w:eastAsia="Arial" w:hAnsi="Arial"/>
          <w:sz w:val="29"/>
          <w:szCs w:val="29"/>
          <w:color w:val="852166"/>
        </w:rPr>
        <w:t>Process for Shareholders to Recommend Director Nominees</w:t>
      </w:r>
    </w:p>
    <w:p>
      <w:pPr>
        <w:spacing w:after="0" w:line="19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Nominating Committee considers director candidates recommended by shareholders on a case-by-case basis, as appropriate. Shareholders wishing to recommend individuals for consideration by our Nominating Committee may do so by delivering a written recommendation to our Company Secretary at Fifth Floor, Waterloo Exchange, Waterloo Road, Dublin 4, Ireland with the candidate’s name, biographical data and qualifications and a document indicating the candidate’s willingness to serve if elected. Our Nominating Committee does not intend to alter the manner in which it evaluates candidates based on whether the candidate was recommended by a shareholder or not. To date, our Nominating Committee has not received any such nominations for our 2026 AGM, nor has it rejected a director nominee from a shareholder or shareholders.</w:t>
      </w:r>
    </w:p>
    <w:p>
      <w:pPr>
        <w:spacing w:after="0" w:line="165" w:lineRule="exact"/>
        <w:rPr>
          <w:sz w:val="20"/>
          <w:szCs w:val="20"/>
          <w:color w:val="auto"/>
        </w:rPr>
      </w:pPr>
    </w:p>
    <w:p>
      <w:pPr>
        <w:spacing w:after="0"/>
        <w:rPr>
          <w:sz w:val="20"/>
          <w:szCs w:val="20"/>
          <w:color w:val="auto"/>
        </w:rPr>
      </w:pPr>
      <w:r>
        <w:rPr>
          <w:rFonts w:ascii="Arial" w:cs="Arial" w:eastAsia="Arial" w:hAnsi="Arial"/>
          <w:sz w:val="29"/>
          <w:szCs w:val="29"/>
          <w:color w:val="852166"/>
        </w:rPr>
        <w:t>Director Commitments</w:t>
      </w:r>
    </w:p>
    <w:p>
      <w:pPr>
        <w:spacing w:after="0" w:line="18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Our Corporate Governance Guidelines provide that our directors may not serve on more than five public company boards of directors (including our Board), and directors who are chief executive officers of a public company, may not serve on the boards of more than three public company boards of directors (including our Board). All our directors are currently in compliance with our Corporate Governance Guidelines.</w:t>
      </w:r>
    </w:p>
    <w:p>
      <w:pPr>
        <w:spacing w:after="0" w:line="1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Board, acting alone or through our Nominating Committee, reviews whether each director continues to have sufficient time and attention to meet the responsibilities of Board membership, which includes an annual review of the director’s service on boards and board committees of other companies, and the continued appropriateness of the director’s Board membership under the specific circumstances. We monitor our directors’ time commitments throughout the year. Directors are also required to seek prior approval from our Chairperson, LID and chair of our Nominating Committee before accepting an invitation to serve on any additional board of directors. In addition, service on boards and board committees of other companies should be consistent with our Company’s conflict of interest policies.</w:t>
      </w:r>
    </w:p>
    <w:p>
      <w:pPr>
        <w:spacing w:after="0" w:line="129"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Our Nominating Committee reviews our overboarding policy as part of its annual review of our Corporate Governance Guidelines. We also review the overboarding policies of our institutional shareholders on an ongoing basis, as appropriate, and discuss such policies during shareholder engagements.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416560</wp:posOffset>
            </wp:positionV>
            <wp:extent cx="1242695" cy="205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8</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636466"/>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108839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53"/>
          <w:szCs w:val="53"/>
          <w:b w:val="1"/>
          <w:bCs w:val="1"/>
          <w:color w:val="001C71"/>
        </w:rPr>
        <w:t>Election of Directors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After evaluating the above factors and any additional relevant factors, our Nominating Committee recommended and our Board approved the following three Class III director nominees for election at our 2026 AGM: </w:t>
      </w:r>
      <w:r>
        <w:rPr>
          <w:rFonts w:ascii="Arial" w:cs="Arial" w:eastAsia="Arial" w:hAnsi="Arial"/>
          <w:sz w:val="16"/>
          <w:szCs w:val="16"/>
          <w:b w:val="1"/>
          <w:bCs w:val="1"/>
          <w:color w:val="001C71"/>
        </w:rPr>
        <w:t>Bruce C. Cozadd</w:t>
      </w:r>
      <w:r>
        <w:rPr>
          <w:rFonts w:ascii="Arial" w:cs="Arial" w:eastAsia="Arial" w:hAnsi="Arial"/>
          <w:sz w:val="16"/>
          <w:szCs w:val="16"/>
          <w:color w:val="auto"/>
        </w:rPr>
        <w:t xml:space="preserve">, </w:t>
      </w:r>
      <w:r>
        <w:rPr>
          <w:rFonts w:ascii="Arial" w:cs="Arial" w:eastAsia="Arial" w:hAnsi="Arial"/>
          <w:sz w:val="16"/>
          <w:szCs w:val="16"/>
          <w:b w:val="1"/>
          <w:bCs w:val="1"/>
          <w:color w:val="001C71"/>
        </w:rPr>
        <w:t>Heather Ann McSharry</w:t>
      </w:r>
      <w:r>
        <w:rPr>
          <w:rFonts w:ascii="Arial" w:cs="Arial" w:eastAsia="Arial" w:hAnsi="Arial"/>
          <w:sz w:val="16"/>
          <w:szCs w:val="16"/>
          <w:color w:val="auto"/>
        </w:rPr>
        <w:t xml:space="preserve"> and </w:t>
      </w:r>
      <w:r>
        <w:rPr>
          <w:rFonts w:ascii="Arial" w:cs="Arial" w:eastAsia="Arial" w:hAnsi="Arial"/>
          <w:sz w:val="16"/>
          <w:szCs w:val="16"/>
          <w:b w:val="1"/>
          <w:bCs w:val="1"/>
          <w:color w:val="001C71"/>
        </w:rPr>
        <w:t>Rick E Winningham</w:t>
      </w:r>
      <w:r>
        <w:rPr>
          <w:rFonts w:ascii="Arial" w:cs="Arial" w:eastAsia="Arial" w:hAnsi="Arial"/>
          <w:sz w:val="16"/>
          <w:szCs w:val="16"/>
          <w:color w:val="auto"/>
        </w:rPr>
        <w:t>. As required under Irish law and our Constitution, the resolution in respect of this proposal is an ordinary resolution that requires the affirmative vote of a simple majority of the votes cast with respect to each director nominee. If elected, each director will hold office for a three-year term, until the 2029 AGM and until his or her successor has been elected and qualified, or, if sooner, until his or her death, resignation, retirement, disqualification or removal.</w:t>
      </w:r>
    </w:p>
    <w:p>
      <w:pPr>
        <w:spacing w:after="0" w:line="116"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Each nominee listed below is currently a director of our Company and was previously elected by our shareholders at our 2023 AGM.</w:t>
      </w:r>
    </w:p>
    <w:p>
      <w:pPr>
        <w:spacing w:after="0" w:line="10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Our Board currently has 13 members and there are no vacancies. On May 25, 2026, Anne O’Riordan notified us that she would not stand for re-election to our Board upon the completion of her current term. Ms. O’Riordan is a Class III director whose current term expires at our 2026 AGM. As a result, our Board will reduce to 12 members effective immediately prior to the conclusion of our 2026 AGM. Consistent with the Board’s commitment to ongoing board refreshment and board effectiveness, the Board will continue to evaluate its composition to facilitate orderly succession.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636466"/>
        </w:rPr>
        <w:t>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-701675</wp:posOffset>
            </wp:positionV>
            <wp:extent cx="1654175" cy="22459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54175" cy="22459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636466"/>
        </w:rPr>
        <w:t>RECOMMENDS A VOTE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 xml:space="preserve">“FOR” </w:t>
      </w:r>
      <w:r>
        <w:rPr>
          <w:rFonts w:ascii="Arial" w:cs="Arial" w:eastAsia="Arial" w:hAnsi="Arial"/>
          <w:sz w:val="18"/>
          <w:szCs w:val="18"/>
          <w:b w:val="1"/>
          <w:bCs w:val="1"/>
          <w:color w:val="636466"/>
        </w:rPr>
        <w:t>THE ELECTION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636466"/>
        </w:rPr>
        <w:t>EACH DIRECTOR NOMINEE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636466"/>
        </w:rPr>
        <w:t>NAMED BELOW:</w:t>
      </w:r>
    </w:p>
    <w:p>
      <w:pPr>
        <w:spacing w:after="0" w:line="158" w:lineRule="exact"/>
        <w:rPr>
          <w:sz w:val="20"/>
          <w:szCs w:val="20"/>
          <w:color w:val="auto"/>
        </w:rPr>
      </w:pPr>
    </w:p>
    <w:p>
      <w:pPr>
        <w:ind w:left="320" w:hanging="239"/>
        <w:spacing w:after="0"/>
        <w:tabs>
          <w:tab w:leader="none" w:pos="320" w:val="left"/>
        </w:tabs>
        <w:numPr>
          <w:ilvl w:val="0"/>
          <w:numId w:val="12"/>
        </w:numPr>
        <w:rPr>
          <w:rFonts w:ascii="Arial" w:cs="Arial" w:eastAsia="Arial" w:hAnsi="Arial"/>
          <w:sz w:val="18"/>
          <w:szCs w:val="18"/>
          <w:b w:val="1"/>
          <w:bCs w:val="1"/>
          <w:color w:val="636466"/>
        </w:rPr>
      </w:pPr>
      <w:r>
        <w:rPr>
          <w:rFonts w:ascii="Arial" w:cs="Arial" w:eastAsia="Arial" w:hAnsi="Arial"/>
          <w:sz w:val="18"/>
          <w:szCs w:val="18"/>
          <w:b w:val="1"/>
          <w:bCs w:val="1"/>
          <w:color w:val="636466"/>
        </w:rPr>
        <w:t>Bruce C. Cozadd</w:t>
      </w:r>
    </w:p>
    <w:p>
      <w:pPr>
        <w:spacing w:after="0" w:line="63" w:lineRule="exact"/>
        <w:rPr>
          <w:rFonts w:ascii="Arial" w:cs="Arial" w:eastAsia="Arial" w:hAnsi="Arial"/>
          <w:sz w:val="18"/>
          <w:szCs w:val="18"/>
          <w:b w:val="1"/>
          <w:bCs w:val="1"/>
          <w:color w:val="636466"/>
        </w:rPr>
      </w:pPr>
    </w:p>
    <w:p>
      <w:pPr>
        <w:ind w:left="320" w:hanging="239"/>
        <w:spacing w:after="0"/>
        <w:tabs>
          <w:tab w:leader="none" w:pos="320" w:val="left"/>
        </w:tabs>
        <w:numPr>
          <w:ilvl w:val="0"/>
          <w:numId w:val="12"/>
        </w:numPr>
        <w:rPr>
          <w:rFonts w:ascii="Arial" w:cs="Arial" w:eastAsia="Arial" w:hAnsi="Arial"/>
          <w:sz w:val="18"/>
          <w:szCs w:val="18"/>
          <w:b w:val="1"/>
          <w:bCs w:val="1"/>
          <w:color w:val="636466"/>
        </w:rPr>
      </w:pPr>
      <w:r>
        <w:rPr>
          <w:rFonts w:ascii="Arial" w:cs="Arial" w:eastAsia="Arial" w:hAnsi="Arial"/>
          <w:sz w:val="18"/>
          <w:szCs w:val="18"/>
          <w:b w:val="1"/>
          <w:bCs w:val="1"/>
          <w:color w:val="636466"/>
        </w:rPr>
        <w:t>Heather Ann McSharry</w:t>
      </w:r>
    </w:p>
    <w:p>
      <w:pPr>
        <w:spacing w:after="0" w:line="49" w:lineRule="exact"/>
        <w:rPr>
          <w:rFonts w:ascii="Arial" w:cs="Arial" w:eastAsia="Arial" w:hAnsi="Arial"/>
          <w:sz w:val="18"/>
          <w:szCs w:val="18"/>
          <w:b w:val="1"/>
          <w:bCs w:val="1"/>
          <w:color w:val="636466"/>
        </w:rPr>
      </w:pPr>
    </w:p>
    <w:p>
      <w:pPr>
        <w:ind w:left="320" w:hanging="239"/>
        <w:spacing w:after="0"/>
        <w:tabs>
          <w:tab w:leader="none" w:pos="320" w:val="left"/>
        </w:tabs>
        <w:numPr>
          <w:ilvl w:val="0"/>
          <w:numId w:val="12"/>
        </w:numPr>
        <w:rPr>
          <w:rFonts w:ascii="Arial" w:cs="Arial" w:eastAsia="Arial" w:hAnsi="Arial"/>
          <w:sz w:val="18"/>
          <w:szCs w:val="18"/>
          <w:b w:val="1"/>
          <w:bCs w:val="1"/>
          <w:color w:val="636466"/>
        </w:rPr>
      </w:pPr>
      <w:r>
        <w:rPr>
          <w:rFonts w:ascii="Arial" w:cs="Arial" w:eastAsia="Arial" w:hAnsi="Arial"/>
          <w:sz w:val="18"/>
          <w:szCs w:val="18"/>
          <w:b w:val="1"/>
          <w:bCs w:val="1"/>
          <w:color w:val="636466"/>
        </w:rPr>
        <w:t>Rick E Winningham</w:t>
      </w:r>
    </w:p>
    <w:p>
      <w:pPr>
        <w:spacing w:after="0" w:line="851" w:lineRule="exact"/>
        <w:rPr>
          <w:sz w:val="20"/>
          <w:szCs w:val="20"/>
          <w:color w:val="auto"/>
        </w:rPr>
      </w:pPr>
    </w:p>
    <w:p>
      <w:pPr>
        <w:sectPr>
          <w:pgSz w:w="11900" w:h="16838" w:orient="portrait"/>
          <w:cols w:equalWidth="0" w:num="2">
            <w:col w:w="7360" w:space="320"/>
            <w:col w:w="3560"/>
          </w:cols>
          <w:pgMar w:left="320" w:top="1097" w:right="339" w:bottom="1440" w:gutter="0" w:footer="0" w:header="0"/>
          <w:type w:val="continuous"/>
        </w:sectPr>
      </w:pPr>
    </w:p>
    <w:p>
      <w:pPr>
        <w:jc w:val="both"/>
        <w:ind w:right="220"/>
        <w:spacing w:after="0" w:line="301" w:lineRule="auto"/>
        <w:rPr>
          <w:sz w:val="20"/>
          <w:szCs w:val="20"/>
          <w:color w:val="auto"/>
        </w:rPr>
      </w:pPr>
      <w:r>
        <w:rPr>
          <w:rFonts w:ascii="Arial" w:cs="Arial" w:eastAsia="Arial" w:hAnsi="Arial"/>
          <w:sz w:val="16"/>
          <w:szCs w:val="16"/>
          <w:color w:val="auto"/>
        </w:rPr>
        <w:t>Each nominee has consented to being named as a nominee in our proxy statement and has agreed to serve if elected. We have no reason to believe that any nominee will be unable to serve. If any nominee becomes unavailable for election as a result of an unexpected occurrence, the proxy holders will vote your proxy for the election of any substitute nominee as may be proposed by our Nominating Committee.</w:t>
      </w:r>
    </w:p>
    <w:p>
      <w:pPr>
        <w:spacing w:after="0" w:line="1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our Constitution, if, at any AGM, the number of directors is reduced below the minimum prescribed by our Board pursuant to our Constitution due to the failure of any director nominee to receive the affirmative vote of a majority of the votes cast, then in those circumstances, the nominee or nominees who receive the highest number of votes in favor of election will be elected in order to maintain such prescribed minimum number of directors. Each such director would remain a director (subject to the provisions of the 2014 Act and our Constitution) only until the conclusion of the next AGM unless he or she is re-elected at such time.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includes a brief biography of each director nominee and each of our other directors as of 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381000</wp:posOffset>
            </wp:positionV>
            <wp:extent cx="1242695" cy="205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6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852166"/>
              </w:rPr>
              <w:t>9</w:t>
            </w:r>
          </w:p>
        </w:tc>
      </w:tr>
      <w:tr>
        <w:trPr>
          <w:trHeight w:val="481"/>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7" w:name="page18"/>
    <w:bookmarkEnd w:id="17"/>
    <w:p>
      <w:pPr>
        <w:ind w:left="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891540" cy="3003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91540" cy="300355"/>
                    </a:xfrm>
                    <a:prstGeom prst="rect">
                      <a:avLst/>
                    </a:prstGeom>
                    <a:noFill/>
                  </pic:spPr>
                </pic:pic>
              </a:graphicData>
            </a:graphic>
          </wp:anchor>
        </w:drawing>
        <w:t>PROPOSAL 1</w:t>
      </w:r>
    </w:p>
    <w:p>
      <w:pPr>
        <w:sectPr>
          <w:pgSz w:w="11900" w:h="16838" w:orient="portrait"/>
          <w:cols w:equalWidth="0" w:num="1">
            <w:col w:w="10139"/>
          </w:cols>
          <w:pgMar w:left="320" w:top="5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8"/>
          <w:szCs w:val="28"/>
          <w:color w:val="852166"/>
        </w:rPr>
        <w:t>Our 2026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193040</wp:posOffset>
            </wp:positionV>
            <wp:extent cx="1697355" cy="33686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97355"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300"/>
        <w:spacing w:after="0"/>
        <w:rPr>
          <w:sz w:val="20"/>
          <w:szCs w:val="20"/>
          <w:color w:val="auto"/>
        </w:rPr>
      </w:pPr>
      <w:r>
        <w:rPr>
          <w:rFonts w:ascii="Arial" w:cs="Arial" w:eastAsia="Arial" w:hAnsi="Arial"/>
          <w:sz w:val="25"/>
          <w:szCs w:val="25"/>
          <w:b w:val="1"/>
          <w:bCs w:val="1"/>
          <w:color w:val="001C71"/>
        </w:rPr>
        <w:t>Bruce C. Cozadd</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852166"/>
        </w:rPr>
        <w:t>CHAIRPERSON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62</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2003*</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COMMITTEES: </w:t>
      </w:r>
      <w:r>
        <w:rPr>
          <w:rFonts w:ascii="Arial" w:cs="Arial" w:eastAsia="Arial" w:hAnsi="Arial"/>
          <w:sz w:val="14"/>
          <w:szCs w:val="14"/>
          <w:color w:val="636466"/>
        </w:rPr>
        <w:t>None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OTHER CURRENT PUBLIC</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BOARDS: </w:t>
      </w:r>
      <w:r>
        <w:rPr>
          <w:rFonts w:ascii="Arial" w:cs="Arial" w:eastAsia="Arial" w:hAnsi="Arial"/>
          <w:sz w:val="14"/>
          <w:szCs w:val="14"/>
          <w:color w:val="636466"/>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99"/>
        <w:spacing w:after="0" w:line="279" w:lineRule="auto"/>
        <w:rPr>
          <w:sz w:val="20"/>
          <w:szCs w:val="20"/>
          <w:color w:val="auto"/>
        </w:rPr>
      </w:pPr>
      <w:r>
        <w:rPr>
          <w:rFonts w:ascii="Arial" w:cs="Arial" w:eastAsia="Arial" w:hAnsi="Arial"/>
          <w:sz w:val="14"/>
          <w:szCs w:val="14"/>
          <w:color w:val="auto"/>
        </w:rPr>
        <w:t>Bruce C. Cozadd serves as our Chairperson and previously served as our CEO from the closing of the Azur Merger in January 2012 until August 11, 2025, following which he served in a transition role through September 14, 2025, and subsequently retired. Following his retirement, Mr. Cozadd continues to serve as our Chairperson, providing us with ongoing leadership and strategic guidance. Mr. Cozadd co-founded Jazz Pharmaceuticals, Inc. and served from 2003 until 2009, as Jazz Pharmaceuticals, Inc.’s Executive Chairperson and as a member of its board of directors and, from 2009 until the Azur Merger, served as CEO. From 1991 until 2001, he held various positions with ALZA Corporation, a pharmaceutical company acquired by Johnson &amp; Johnson, including as Executive Vice President and COO, with responsibility for R&amp;D, manufacturing and sales and marketing. Previously at ALZA Corporation, he held the roles of CFO and Vice President, Corporate Planning and Analysis. From February 2022 until May 2025, Mr. Cozadd served on the board of directors, and as Chairperson from February 2023 until May 2025, of ACELYRIN, Inc., a late-stage clinical biopharma company that merged with Alumis Inc. in May 2025. He also serves on the board of The Nueva School. He holds a B.S. from Yale University and an M.B.A. from the Stanford Graduate School of Business.</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NOMINATION:</w:t>
      </w:r>
    </w:p>
    <w:p>
      <w:pPr>
        <w:spacing w:after="0" w:line="69" w:lineRule="exact"/>
        <w:rPr>
          <w:sz w:val="20"/>
          <w:szCs w:val="20"/>
          <w:color w:val="auto"/>
        </w:rPr>
      </w:pPr>
    </w:p>
    <w:p>
      <w:pPr>
        <w:jc w:val="both"/>
        <w:ind w:right="199"/>
        <w:spacing w:after="0" w:line="289" w:lineRule="auto"/>
        <w:rPr>
          <w:sz w:val="20"/>
          <w:szCs w:val="20"/>
          <w:color w:val="auto"/>
        </w:rPr>
      </w:pPr>
      <w:r>
        <w:rPr>
          <w:rFonts w:ascii="Arial" w:cs="Arial" w:eastAsia="Arial" w:hAnsi="Arial"/>
          <w:sz w:val="14"/>
          <w:szCs w:val="14"/>
          <w:color w:val="auto"/>
        </w:rPr>
        <w:t>Mr. Cozadd’s extensive leadership experience having served as co-founder and our CEO for over 15 years, brings to our Board a deep and comprehensive knowledge of our business, as well as shareholder-focused insight into effectively executing our strategy and business plans to maximize shareholder value.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143510</wp:posOffset>
            </wp:positionV>
            <wp:extent cx="205740" cy="1028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92075</wp:posOffset>
            </wp:positionV>
            <wp:extent cx="205740" cy="1974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05740" cy="197485"/>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92075</wp:posOffset>
            </wp:positionV>
            <wp:extent cx="171450" cy="205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100965</wp:posOffset>
            </wp:positionV>
            <wp:extent cx="205740"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5740" cy="17970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135255</wp:posOffset>
            </wp:positionV>
            <wp:extent cx="205740" cy="1200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5740" cy="120015"/>
                    </a:xfrm>
                    <a:prstGeom prst="rect">
                      <a:avLst/>
                    </a:prstGeom>
                    <a:noFill/>
                  </pic:spPr>
                </pic:pic>
              </a:graphicData>
            </a:graphic>
          </wp:anchor>
        </w:drawing>
        <w:drawing>
          <wp:anchor simplePos="0" relativeHeight="251657728" behindDoc="1" locked="0" layoutInCell="0" allowOverlap="1">
            <wp:simplePos x="0" y="0"/>
            <wp:positionH relativeFrom="column">
              <wp:posOffset>1918335</wp:posOffset>
            </wp:positionH>
            <wp:positionV relativeFrom="paragraph">
              <wp:posOffset>109220</wp:posOffset>
            </wp:positionV>
            <wp:extent cx="205740"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5740" cy="16319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92075</wp:posOffset>
            </wp:positionV>
            <wp:extent cx="205740" cy="20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92075</wp:posOffset>
            </wp:positionV>
            <wp:extent cx="196850" cy="2057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92075</wp:posOffset>
            </wp:positionV>
            <wp:extent cx="196850"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340"/>
            <w:col w:w="6119"/>
          </w:cols>
          <w:pgMar w:left="320" w:top="522" w:right="1440"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 Includes service on the board of directors of Jazz Pharmaceuticals, Inc., our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478155</wp:posOffset>
            </wp:positionV>
            <wp:extent cx="1697355" cy="36347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97355" cy="3634740"/>
                    </a:xfrm>
                    <a:prstGeom prst="rect">
                      <a:avLst/>
                    </a:prstGeom>
                    <a:noFill/>
                  </pic:spPr>
                </pic:pic>
              </a:graphicData>
            </a:graphic>
          </wp:anchor>
        </w:drawing>
      </w:r>
    </w:p>
    <w:p>
      <w:pPr>
        <w:sectPr>
          <w:pgSz w:w="11900" w:h="16838" w:orient="portrait"/>
          <w:cols w:equalWidth="0" w:num="1">
            <w:col w:w="10139"/>
          </w:cols>
          <w:pgMar w:left="320" w:top="5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300"/>
        <w:spacing w:after="0"/>
        <w:rPr>
          <w:sz w:val="20"/>
          <w:szCs w:val="20"/>
          <w:color w:val="auto"/>
        </w:rPr>
      </w:pPr>
      <w:r>
        <w:rPr>
          <w:rFonts w:ascii="Arial" w:cs="Arial" w:eastAsia="Arial" w:hAnsi="Arial"/>
          <w:sz w:val="25"/>
          <w:szCs w:val="25"/>
          <w:b w:val="1"/>
          <w:bCs w:val="1"/>
          <w:color w:val="001C71"/>
        </w:rPr>
        <w:t>Heather Ann</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25"/>
          <w:szCs w:val="25"/>
          <w:b w:val="1"/>
          <w:bCs w:val="1"/>
          <w:color w:val="001C71"/>
        </w:rPr>
        <w:t>McSharry</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852166"/>
        </w:rPr>
        <w:t>INDEPENDENT DIRECTOR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64</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2013</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COMMITTEES:</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Nominating Committee (Chair)</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Audit Committee</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Transaction Committee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OTHER CURRENT PUBLIC</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BOARDS:</w:t>
      </w:r>
    </w:p>
    <w:p>
      <w:pPr>
        <w:spacing w:after="0" w:line="75"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International Airlines Group, 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119"/>
        <w:spacing w:after="0" w:line="282" w:lineRule="auto"/>
        <w:rPr>
          <w:sz w:val="20"/>
          <w:szCs w:val="20"/>
          <w:color w:val="auto"/>
        </w:rPr>
      </w:pPr>
      <w:r>
        <w:rPr>
          <w:rFonts w:ascii="Arial" w:cs="Arial" w:eastAsia="Arial" w:hAnsi="Arial"/>
          <w:sz w:val="14"/>
          <w:szCs w:val="14"/>
          <w:color w:val="auto"/>
        </w:rPr>
        <w:t>Heather Ann McSharry has served as a member of our Board since May 2013 and was appointed as chair of our Nominating Committee in August 2017. Ms. McSharry has served as a non-executive director on the board of directors of International Consolidated Airlines Group, S.A. since 2020 and as Senior Independent Director of International Consolidated Airlines Group, S.A. since June 2022. From 2006 to 2009, Ms. McSharry was Managing Director Ireland of Reckitt Benckiser, a multinational health, home and hygiene consumer products company. From 1989 to 2006, she held various positions at Boots Healthcare, a global consumer healthcare company, most recently as Managing Director of Boots Healthcare Ireland Limited. Ms. McSharry served on the boards of directors of the Bank of Ireland from 2007 to 2011, the Industrial Development Agency in Ireland from 2010 to 2014, Uniphar plc from 2019 to 2020, CRH plc from 2012 to 2021 and Greencore Group plc from 2013 to 2021. Ms. McSharry holds a BComm and a MBS degree from University College Dublin.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NOMINATION:</w:t>
      </w:r>
    </w:p>
    <w:p>
      <w:pPr>
        <w:spacing w:after="0" w:line="82" w:lineRule="exact"/>
        <w:rPr>
          <w:sz w:val="20"/>
          <w:szCs w:val="20"/>
          <w:color w:val="auto"/>
        </w:rPr>
      </w:pPr>
    </w:p>
    <w:p>
      <w:pPr>
        <w:ind w:right="419"/>
        <w:spacing w:after="0" w:line="293" w:lineRule="auto"/>
        <w:rPr>
          <w:sz w:val="20"/>
          <w:szCs w:val="20"/>
          <w:color w:val="auto"/>
        </w:rPr>
      </w:pPr>
      <w:r>
        <w:rPr>
          <w:rFonts w:ascii="Arial" w:cs="Arial" w:eastAsia="Arial" w:hAnsi="Arial"/>
          <w:sz w:val="14"/>
          <w:szCs w:val="14"/>
          <w:color w:val="auto"/>
        </w:rPr>
        <w:t>Ms. McSharry brings to our Board over 30 years of experience in multiple international industries, as well as expertise in crisis management, risk oversight and financial services relevant to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160655</wp:posOffset>
            </wp:positionV>
            <wp:extent cx="205740" cy="1028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109220</wp:posOffset>
            </wp:positionV>
            <wp:extent cx="205740" cy="196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109220</wp:posOffset>
            </wp:positionV>
            <wp:extent cx="171450" cy="205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118110</wp:posOffset>
            </wp:positionV>
            <wp:extent cx="205740"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5740" cy="17970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152400</wp:posOffset>
            </wp:positionV>
            <wp:extent cx="205740" cy="1200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5740" cy="120015"/>
                    </a:xfrm>
                    <a:prstGeom prst="rect">
                      <a:avLst/>
                    </a:prstGeom>
                    <a:noFill/>
                  </pic:spPr>
                </pic:pic>
              </a:graphicData>
            </a:graphic>
          </wp:anchor>
        </w:drawing>
        <w:drawing>
          <wp:anchor simplePos="0" relativeHeight="251657728" behindDoc="1" locked="0" layoutInCell="0" allowOverlap="1">
            <wp:simplePos x="0" y="0"/>
            <wp:positionH relativeFrom="column">
              <wp:posOffset>1918335</wp:posOffset>
            </wp:positionH>
            <wp:positionV relativeFrom="paragraph">
              <wp:posOffset>126365</wp:posOffset>
            </wp:positionV>
            <wp:extent cx="205740" cy="162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5740" cy="162560"/>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109220</wp:posOffset>
            </wp:positionV>
            <wp:extent cx="205740" cy="2057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109220</wp:posOffset>
            </wp:positionV>
            <wp:extent cx="196850"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109220</wp:posOffset>
            </wp:positionV>
            <wp:extent cx="196850" cy="2057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3333115</wp:posOffset>
            </wp:positionH>
            <wp:positionV relativeFrom="paragraph">
              <wp:posOffset>1472565</wp:posOffset>
            </wp:positionV>
            <wp:extent cx="1242695" cy="2057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1509" w:lineRule="exact"/>
        <w:rPr>
          <w:sz w:val="20"/>
          <w:szCs w:val="20"/>
          <w:color w:val="auto"/>
        </w:rPr>
      </w:pPr>
    </w:p>
    <w:p>
      <w:pPr>
        <w:sectPr>
          <w:pgSz w:w="11900" w:h="16838" w:orient="portrait"/>
          <w:cols w:equalWidth="0" w:num="2">
            <w:col w:w="3400" w:space="620"/>
            <w:col w:w="6119"/>
          </w:cols>
          <w:pgMar w:left="320" w:top="5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40" w:hanging="614"/>
        <w:spacing w:after="0"/>
        <w:tabs>
          <w:tab w:leader="none" w:pos="640" w:val="left"/>
        </w:tabs>
        <w:numPr>
          <w:ilvl w:val="0"/>
          <w:numId w:val="13"/>
        </w:numPr>
        <w:rPr>
          <w:rFonts w:ascii="Arial" w:cs="Arial" w:eastAsia="Arial" w:hAnsi="Arial"/>
          <w:sz w:val="18"/>
          <w:szCs w:val="18"/>
          <w:b w:val="1"/>
          <w:bCs w:val="1"/>
          <w:color w:val="852166"/>
        </w:rPr>
      </w:pP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22" w:right="1440"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963295</wp:posOffset>
            </wp:positionV>
            <wp:extent cx="1697355" cy="42945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97355" cy="4294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00"/>
        <w:spacing w:after="0"/>
        <w:rPr>
          <w:sz w:val="20"/>
          <w:szCs w:val="20"/>
          <w:color w:val="auto"/>
        </w:rPr>
      </w:pPr>
      <w:r>
        <w:rPr>
          <w:rFonts w:ascii="Arial" w:cs="Arial" w:eastAsia="Arial" w:hAnsi="Arial"/>
          <w:sz w:val="25"/>
          <w:szCs w:val="25"/>
          <w:b w:val="1"/>
          <w:bCs w:val="1"/>
          <w:color w:val="001C71"/>
        </w:rPr>
        <w:t>Rick E</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25"/>
          <w:szCs w:val="25"/>
          <w:b w:val="1"/>
          <w:bCs w:val="1"/>
          <w:color w:val="001C71"/>
        </w:rPr>
        <w:t>Winningham</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852166"/>
        </w:rPr>
        <w:t>INDEPENDENT DIRECTOR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66</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2010*</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COMMITTEES:</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Nominating Committee</w:t>
      </w:r>
    </w:p>
    <w:p>
      <w:pPr>
        <w:spacing w:after="0" w:line="96"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SMC</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OTHER CURRENT PUBLIC</w:t>
      </w:r>
    </w:p>
    <w:p>
      <w:pPr>
        <w:spacing w:after="0" w:line="42"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BOARDS:</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Theravance BioPharma, Inc.</w:t>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4"/>
          <w:szCs w:val="14"/>
          <w:b w:val="1"/>
          <w:bCs w:val="1"/>
          <w:color w:val="FFFFFF"/>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-224155</wp:posOffset>
            </wp:positionV>
            <wp:extent cx="891540" cy="3003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915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1100"/>
        <w:spacing w:after="0" w:line="278" w:lineRule="auto"/>
        <w:rPr>
          <w:sz w:val="20"/>
          <w:szCs w:val="20"/>
          <w:color w:val="auto"/>
        </w:rPr>
      </w:pPr>
      <w:r>
        <w:rPr>
          <w:rFonts w:ascii="Arial" w:cs="Arial" w:eastAsia="Arial" w:hAnsi="Arial"/>
          <w:sz w:val="14"/>
          <w:szCs w:val="14"/>
          <w:color w:val="auto"/>
        </w:rPr>
        <w:t>Rick E Winningham served as a member of our Board since the closing of the Azur Merger in January 2012 and was a director of Jazz Pharmaceuticals, Inc. from 2010 until the closing of the Azur Merger. In May 2014, Mr. Winningham was appointed as LID of our Board. Mr. Winningham serves on the board of directors of Theravance Biopharma, Inc., a biopharmaceutical company, having served as its Chairperson from July 2013 to October 2024. He has served as CEO of Theravance Biopharma, Inc. since its spin-off from Theravance, Inc. (now Innoviva, Inc.) in June 2014. From October 2001 to August 2014, Mr. Winningham served as CEO of Theravance, Inc., where he also served as Chairperson of the board of directors from April 2010 to October 2014. From 1997 to 2001, he served as President of Bristol-Myers Squibb Oncology/Immunology Therapeutics Network and, from 2000 to 2001, as President of Global Marketing. Mr. Winningham is a member of Biotechnology Innovation Organization’s board of directors. He is also cofounder of and strategic advisor to Praxis Bioresearch. He has served as a member of the board of directors of Rivus Pharmaceuticals, Inc., a clinical-stage biopharmaceutical company, since February 2024. He previously served as a member of the board of directors of Retrotope, Inc., a private biotechnology company focused on cell degeneration, from February 2021 to January 2022 and OncoMed Pharmaceuticals, Inc. from June 2015 until the company’s merger with Mereo BioPharma Group plc in April 2019. He also served as a member of the board of directors of the California Healthcare Institute from November 2011 to March 2015 and served as its Chairperson from January 2014 until the California Healthcare Institute merged with Bay Area Bioscience Association to become the California Life Sciences Association in March 2015. Mr. Winningham served on the board of directors of California Life Sciences Association from March 2015 to July 2023, and served as its Chairperson from March 2015 until November 2015. Mr. Winningham holds an M.B.A. from Texas Christian University and a B.S. from Southern Illinois University.</w:t>
      </w: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NOMINATION:</w:t>
      </w:r>
    </w:p>
    <w:p>
      <w:pPr>
        <w:spacing w:after="0" w:line="69" w:lineRule="exact"/>
        <w:rPr>
          <w:sz w:val="20"/>
          <w:szCs w:val="20"/>
          <w:color w:val="auto"/>
        </w:rPr>
      </w:pPr>
    </w:p>
    <w:p>
      <w:pPr>
        <w:ind w:right="1340"/>
        <w:spacing w:after="0" w:line="289" w:lineRule="auto"/>
        <w:rPr>
          <w:sz w:val="20"/>
          <w:szCs w:val="20"/>
          <w:color w:val="auto"/>
        </w:rPr>
      </w:pPr>
      <w:r>
        <w:rPr>
          <w:rFonts w:ascii="Arial" w:cs="Arial" w:eastAsia="Arial" w:hAnsi="Arial"/>
          <w:sz w:val="14"/>
          <w:szCs w:val="14"/>
          <w:color w:val="auto"/>
        </w:rPr>
        <w:t>Mr. Winningham brings to our Board experience in senior management positions in the pharmaceuticals industry providing significant industry knowledge and operational and management expertise, along with a deep knowledge of global marketing, commercialization and market access.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135255</wp:posOffset>
            </wp:positionV>
            <wp:extent cx="205740" cy="1028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469900</wp:posOffset>
            </wp:positionH>
            <wp:positionV relativeFrom="paragraph">
              <wp:posOffset>66675</wp:posOffset>
            </wp:positionV>
            <wp:extent cx="205740" cy="1968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864235</wp:posOffset>
            </wp:positionH>
            <wp:positionV relativeFrom="paragraph">
              <wp:posOffset>66675</wp:posOffset>
            </wp:positionV>
            <wp:extent cx="171450" cy="2057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66675</wp:posOffset>
            </wp:positionV>
            <wp:extent cx="205740" cy="1803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5740" cy="180340"/>
                    </a:xfrm>
                    <a:prstGeom prst="rect">
                      <a:avLst/>
                    </a:prstGeom>
                    <a:noFill/>
                  </pic:spPr>
                </pic:pic>
              </a:graphicData>
            </a:graphic>
          </wp:anchor>
        </w:drawing>
        <w:drawing>
          <wp:anchor simplePos="0" relativeHeight="251657728" behindDoc="1" locked="0" layoutInCell="0" allowOverlap="1">
            <wp:simplePos x="0" y="0"/>
            <wp:positionH relativeFrom="column">
              <wp:posOffset>1618615</wp:posOffset>
            </wp:positionH>
            <wp:positionV relativeFrom="paragraph">
              <wp:posOffset>126365</wp:posOffset>
            </wp:positionV>
            <wp:extent cx="205740" cy="1200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05740" cy="12001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66675</wp:posOffset>
            </wp:positionV>
            <wp:extent cx="20574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05740" cy="16319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66675</wp:posOffset>
            </wp:positionV>
            <wp:extent cx="162560" cy="205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2560" cy="205740"/>
                    </a:xfrm>
                    <a:prstGeom prst="rect">
                      <a:avLst/>
                    </a:prstGeom>
                    <a:noFill/>
                  </pic:spPr>
                </pic:pic>
              </a:graphicData>
            </a:graphic>
          </wp:anchor>
        </w:drawing>
        <w:drawing>
          <wp:anchor simplePos="0" relativeHeight="251657728" behindDoc="1" locked="0" layoutInCell="0" allowOverlap="1">
            <wp:simplePos x="0" y="0"/>
            <wp:positionH relativeFrom="column">
              <wp:posOffset>2767330</wp:posOffset>
            </wp:positionH>
            <wp:positionV relativeFrom="paragraph">
              <wp:posOffset>66675</wp:posOffset>
            </wp:positionV>
            <wp:extent cx="205740" cy="2057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66675</wp:posOffset>
            </wp:positionV>
            <wp:extent cx="196850"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66675</wp:posOffset>
            </wp:positionV>
            <wp:extent cx="197485" cy="205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748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720"/>
            <w:col w:w="7220"/>
          </w:cols>
          <w:pgMar w:left="320" w:top="522"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 Includes service on the board of directors of Jazz Pharmaceuticals, Inc., our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1737995</wp:posOffset>
            </wp:positionV>
            <wp:extent cx="7132320" cy="6089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636466"/>
        </w:rPr>
        <w:t xml:space="preserve">OUR BOARD RECOMMENDS A VOTE </w:t>
      </w:r>
      <w:r>
        <w:rPr>
          <w:rFonts w:ascii="Arial" w:cs="Arial" w:eastAsia="Arial" w:hAnsi="Arial"/>
          <w:sz w:val="18"/>
          <w:szCs w:val="18"/>
          <w:b w:val="1"/>
          <w:bCs w:val="1"/>
          <w:color w:val="852166"/>
        </w:rPr>
        <w:t>“FOR”</w:t>
      </w:r>
      <w:r>
        <w:rPr>
          <w:rFonts w:ascii="Arial" w:cs="Arial" w:eastAsia="Arial" w:hAnsi="Arial"/>
          <w:sz w:val="18"/>
          <w:szCs w:val="18"/>
          <w:b w:val="1"/>
          <w:bCs w:val="1"/>
          <w:color w:val="636466"/>
        </w:rPr>
        <w:t xml:space="preserve"> EACH DIRECTOR NOMINEE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635000</wp:posOffset>
            </wp:positionV>
            <wp:extent cx="1242695"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11</w:t>
            </w:r>
          </w:p>
        </w:tc>
      </w:tr>
      <w:tr>
        <w:trPr>
          <w:trHeight w:val="494"/>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19" w:name="page20"/>
    <w:bookmarkEnd w:id="19"/>
    <w:p>
      <w:pPr>
        <w:ind w:left="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891540" cy="3003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91540" cy="300355"/>
                    </a:xfrm>
                    <a:prstGeom prst="rect">
                      <a:avLst/>
                    </a:prstGeom>
                    <a:noFill/>
                  </pic:spPr>
                </pic:pic>
              </a:graphicData>
            </a:graphic>
          </wp:anchor>
        </w:drawing>
        <w:t>PROPOSAL 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8"/>
          <w:szCs w:val="28"/>
          <w:color w:val="852166"/>
        </w:rPr>
        <w:t>Directors Continuing in Office</w:t>
      </w:r>
      <w:r>
        <w:rPr>
          <w:rFonts w:ascii="Arial" w:cs="Arial" w:eastAsia="Arial" w:hAnsi="Arial"/>
          <w:sz w:val="36"/>
          <w:szCs w:val="36"/>
          <w:color w:val="852166"/>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134620</wp:posOffset>
            </wp:positionV>
            <wp:extent cx="1714500" cy="3865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4500" cy="3865880"/>
                    </a:xfrm>
                    <a:prstGeom prst="rect">
                      <a:avLst/>
                    </a:prstGeom>
                    <a:noFill/>
                  </pic:spPr>
                </pic:pic>
              </a:graphicData>
            </a:graphic>
          </wp:anchor>
        </w:drawing>
      </w:r>
    </w:p>
    <w:p>
      <w:pPr>
        <w:sectPr>
          <w:pgSz w:w="11900" w:h="16838" w:orient="portrait"/>
          <w:cols w:equalWidth="0" w:num="1">
            <w:col w:w="11180"/>
          </w:cols>
          <w:pgMar w:left="320" w:top="5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00"/>
        <w:spacing w:after="0"/>
        <w:rPr>
          <w:sz w:val="20"/>
          <w:szCs w:val="20"/>
          <w:color w:val="auto"/>
        </w:rPr>
      </w:pPr>
      <w:r>
        <w:rPr>
          <w:rFonts w:ascii="Arial" w:cs="Arial" w:eastAsia="Arial" w:hAnsi="Arial"/>
          <w:sz w:val="25"/>
          <w:szCs w:val="25"/>
          <w:b w:val="1"/>
          <w:bCs w:val="1"/>
          <w:color w:val="001C71"/>
        </w:rPr>
        <w:t>Jennifer E. Cook</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852166"/>
        </w:rPr>
        <w:t>INDEPENDENT DIRECTOR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60</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2020</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DIRECTOR CLASS: </w:t>
      </w:r>
      <w:r>
        <w:rPr>
          <w:rFonts w:ascii="Arial" w:cs="Arial" w:eastAsia="Arial" w:hAnsi="Arial"/>
          <w:sz w:val="14"/>
          <w:szCs w:val="14"/>
          <w:color w:val="636466"/>
        </w:rPr>
        <w:t>II</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TERM EXPIRATION: </w:t>
      </w:r>
      <w:r>
        <w:rPr>
          <w:rFonts w:ascii="Arial" w:cs="Arial" w:eastAsia="Arial" w:hAnsi="Arial"/>
          <w:sz w:val="14"/>
          <w:szCs w:val="14"/>
          <w:color w:val="636466"/>
        </w:rPr>
        <w:t>2028</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COMMITTEES:</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Compensation Committee (Chair)</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SMC</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OTHER CURRENT PUBLIC</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BOARDS:</w:t>
      </w:r>
    </w:p>
    <w:p>
      <w:pPr>
        <w:spacing w:after="0" w:line="88"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BridgeBio Pharma, Inc.</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Denali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3872865</wp:posOffset>
            </wp:positionV>
            <wp:extent cx="28200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82" w:lineRule="exact"/>
        <w:rPr>
          <w:sz w:val="20"/>
          <w:szCs w:val="20"/>
          <w:color w:val="auto"/>
        </w:rPr>
      </w:pPr>
    </w:p>
    <w:p>
      <w:pPr>
        <w:ind w:right="1060"/>
        <w:spacing w:after="0" w:line="287" w:lineRule="auto"/>
        <w:rPr>
          <w:sz w:val="20"/>
          <w:szCs w:val="20"/>
          <w:color w:val="auto"/>
        </w:rPr>
      </w:pPr>
      <w:r>
        <w:rPr>
          <w:rFonts w:ascii="Arial" w:cs="Arial" w:eastAsia="Arial" w:hAnsi="Arial"/>
          <w:sz w:val="14"/>
          <w:szCs w:val="14"/>
          <w:color w:val="auto"/>
        </w:rPr>
        <w:t>Jennifer E. Cook has served as a member of our Board since December 2020 and was appointed chair of our Compensation Committee in April 2022. Ms. Cook serves as a non-executive director on the boards of directors of two other publicly-held companies, Denali Therapeutics Inc. and BridgeBio Pharma, Inc., both biotechnology companies. Ms. Cook founded Jennifer Cook Consulting, a consulting company, and has served as Principal since July 2019. From January 2018 to June 2019, Ms. Cook was the CEO at GRAIL, Inc., a privately-held early cancer detection diagnostic company. Prior to that, Ms. Cook worked at Roche Pharmaceuticals/Genentech, a global biotechnology company, for 25 years, where she held a number of senior management positions covering the full lifecycle of product development and commercialization. From 2010 to 2013, she oversaw Genentech’s U.S. Immunology and Ophthalmology Business Unit, and from 2013 to 2016, she led Roche’s European commercial business. She also served as Roche’s Global Head of Clinical Operations throughout 2017. In 2016, Ms. Cook was recognized as Woman of the Year by the Healthcare Businesswoman’s Association. Ms. Cook holds a B.A. in Human Biology and a M.S. in Biology from Stanford University and an M.B.A. from the Haas School of Business at University of California, Berkeley.</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SERVICE ON OUR BOARD:</w:t>
      </w:r>
    </w:p>
    <w:p>
      <w:pPr>
        <w:spacing w:after="0" w:line="82" w:lineRule="exact"/>
        <w:rPr>
          <w:sz w:val="20"/>
          <w:szCs w:val="20"/>
          <w:color w:val="auto"/>
        </w:rPr>
      </w:pPr>
    </w:p>
    <w:p>
      <w:pPr>
        <w:ind w:right="1060"/>
        <w:spacing w:after="0" w:line="303" w:lineRule="auto"/>
        <w:rPr>
          <w:sz w:val="20"/>
          <w:szCs w:val="20"/>
          <w:color w:val="auto"/>
        </w:rPr>
      </w:pPr>
      <w:r>
        <w:rPr>
          <w:rFonts w:ascii="Arial" w:cs="Arial" w:eastAsia="Arial" w:hAnsi="Arial"/>
          <w:sz w:val="14"/>
          <w:szCs w:val="14"/>
          <w:color w:val="auto"/>
        </w:rPr>
        <w:t>Ms. Cook brings to our Board over 30 years of biopharmaceutical experience with significant C-suite, global product development and commercialization expertise, with a focus on transformative growth.</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212090</wp:posOffset>
            </wp:positionV>
            <wp:extent cx="205740" cy="1028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160655</wp:posOffset>
            </wp:positionV>
            <wp:extent cx="205740" cy="196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160655</wp:posOffset>
            </wp:positionV>
            <wp:extent cx="171450" cy="2057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1236980</wp:posOffset>
            </wp:positionH>
            <wp:positionV relativeFrom="paragraph">
              <wp:posOffset>169545</wp:posOffset>
            </wp:positionV>
            <wp:extent cx="205740"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5740" cy="179705"/>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177800</wp:posOffset>
            </wp:positionV>
            <wp:extent cx="205740" cy="163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05740" cy="16319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160655</wp:posOffset>
            </wp:positionV>
            <wp:extent cx="162560" cy="2057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2560" cy="205740"/>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160655</wp:posOffset>
            </wp:positionV>
            <wp:extent cx="205740" cy="2057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2814320</wp:posOffset>
            </wp:positionH>
            <wp:positionV relativeFrom="paragraph">
              <wp:posOffset>160655</wp:posOffset>
            </wp:positionV>
            <wp:extent cx="196850" cy="2057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p>
      <w:pPr>
        <w:spacing w:after="0" w:line="1036" w:lineRule="exact"/>
        <w:rPr>
          <w:sz w:val="20"/>
          <w:szCs w:val="20"/>
          <w:color w:val="auto"/>
        </w:rPr>
      </w:pPr>
    </w:p>
    <w:p>
      <w:pPr>
        <w:sectPr>
          <w:pgSz w:w="11900" w:h="16838" w:orient="portrait"/>
          <w:cols w:equalWidth="0" w:num="2">
            <w:col w:w="3460" w:space="580"/>
            <w:col w:w="7140"/>
          </w:cols>
          <w:pgMar w:left="320" w:top="522"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60" w:hanging="334"/>
        <w:spacing w:after="0" w:line="318" w:lineRule="auto"/>
        <w:tabs>
          <w:tab w:leader="none" w:pos="3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Continuing directors does not include Anne O</w:t>
      </w:r>
      <w:r>
        <w:rPr>
          <w:rFonts w:ascii="Arial" w:cs="Arial" w:eastAsia="Arial" w:hAnsi="Arial"/>
          <w:sz w:val="16"/>
          <w:szCs w:val="16"/>
          <w:color w:val="auto"/>
        </w:rPr>
        <w:t>’</w:t>
      </w:r>
      <w:r>
        <w:rPr>
          <w:rFonts w:ascii="Arial" w:cs="Arial" w:eastAsia="Arial" w:hAnsi="Arial"/>
          <w:sz w:val="14"/>
          <w:szCs w:val="14"/>
          <w:color w:val="auto"/>
        </w:rPr>
        <w:t>Riordan who notified us that she is not standing for re-election at the 2026 AGM. Her term of office as a director will expire at the 2026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267335</wp:posOffset>
            </wp:positionV>
            <wp:extent cx="1242695" cy="205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12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2" w:right="39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963295</wp:posOffset>
            </wp:positionV>
            <wp:extent cx="1697355" cy="41744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97355" cy="417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5"/>
          <w:szCs w:val="25"/>
          <w:b w:val="1"/>
          <w:bCs w:val="1"/>
          <w:color w:val="001C71"/>
        </w:rPr>
        <w:t>Patrick G. Enright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852166"/>
        </w:rPr>
        <w:t>INDEPENDENT DIRECTOR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64</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2009*</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DIRECTOR CLASS: </w:t>
      </w:r>
      <w:r>
        <w:rPr>
          <w:rFonts w:ascii="Arial" w:cs="Arial" w:eastAsia="Arial" w:hAnsi="Arial"/>
          <w:sz w:val="14"/>
          <w:szCs w:val="14"/>
          <w:color w:val="636466"/>
        </w:rPr>
        <w:t>II</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 xml:space="preserve">TERM EXPIRATION: </w:t>
      </w:r>
      <w:r>
        <w:rPr>
          <w:rFonts w:ascii="Arial" w:cs="Arial" w:eastAsia="Arial" w:hAnsi="Arial"/>
          <w:sz w:val="14"/>
          <w:szCs w:val="14"/>
          <w:color w:val="636466"/>
        </w:rPr>
        <w:t>2028</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COMMITTEES:</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Audit Committee</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Compensation Committee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OTHER CURRENT PUBLIC</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636466"/>
        </w:rPr>
        <w:t>BOARDS:</w:t>
      </w:r>
    </w:p>
    <w:p>
      <w:pPr>
        <w:spacing w:after="0" w:line="75"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BioAge Labs Inc</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Vera Therapeutics, Inc.</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636466"/>
        </w:rPr>
        <w:t>Veradermics, Inc.</w:t>
      </w:r>
    </w:p>
    <w:p>
      <w:pPr>
        <w:spacing w:after="0" w:line="96" w:lineRule="exact"/>
        <w:rPr>
          <w:sz w:val="20"/>
          <w:szCs w:val="20"/>
          <w:color w:val="auto"/>
        </w:rPr>
      </w:pPr>
    </w:p>
    <w:p>
      <w:pPr>
        <w:jc w:val="center"/>
        <w:ind w:left="620"/>
        <w:spacing w:after="0"/>
        <w:rPr>
          <w:sz w:val="20"/>
          <w:szCs w:val="20"/>
          <w:color w:val="auto"/>
        </w:rPr>
      </w:pPr>
      <w:r>
        <w:rPr>
          <w:rFonts w:ascii="Arial" w:cs="Arial" w:eastAsia="Arial" w:hAnsi="Arial"/>
          <w:sz w:val="14"/>
          <w:szCs w:val="14"/>
          <w:color w:val="636466"/>
        </w:rPr>
        <w:t>Zenas Biopharma, Inc.</w:t>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4"/>
          <w:szCs w:val="14"/>
          <w:b w:val="1"/>
          <w:bCs w:val="1"/>
          <w:color w:val="FFFFFF"/>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-224155</wp:posOffset>
            </wp:positionV>
            <wp:extent cx="891540" cy="3003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915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1300"/>
        <w:spacing w:after="0" w:line="279" w:lineRule="auto"/>
        <w:rPr>
          <w:sz w:val="20"/>
          <w:szCs w:val="20"/>
          <w:color w:val="auto"/>
        </w:rPr>
      </w:pPr>
      <w:r>
        <w:rPr>
          <w:rFonts w:ascii="Arial" w:cs="Arial" w:eastAsia="Arial" w:hAnsi="Arial"/>
          <w:sz w:val="14"/>
          <w:szCs w:val="14"/>
          <w:color w:val="auto"/>
        </w:rPr>
        <w:t>Patrick G. Enright has served as a member of our Board since the closing of the Azur Merger in January 2012 and was a director of Jazz Pharmaceuticals, Inc. from 2009 until the closing of the Azur Merger. Mr. Enright co-founded Longitude Capital, a healthcare focused venture capital firm, where he has served as a Managing Director since 2006. Mr. Enright currently serves on the boards of directors of Vera Therapeutics, Inc., BioAge Labs, Inc., Veradermics, Inc. and Zenas BioPharma, Inc., all public biotechnology companies, as well as several privately held healthcare companies. From 2002 to 2007, Mr. Enright was a Managing Director of Pequot Ventures (now known as FirstMark Capital), a venture capital firm, where he co-led the life sciences investment practice. Mr. Enright also has significant life sciences operations experience including holding senior executive positions at Valentis, Boehringer Mannheim GmbH (acquired by Roche) and Sandoz AG. Mr. Enright previously served on the boards of directors of over twenty companies, including, Aptinyx Inc., from 2016 to 2022, Aimmune Therapeutics, Inc. from 2013 until its acquisition by Nestlé in 2020, Vaxcyte, Inc. from 2015 to 2020, and Corcept Therapeutics Incorporated from 2008 to 2017. Mr. Enright holds a B.S. in Biological Sciences from Stanford University and an M.B.A. from the Wharton School of the University of Pennsylvania.</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SERVICE ON OUR BOARD:</w:t>
      </w:r>
    </w:p>
    <w:p>
      <w:pPr>
        <w:spacing w:after="0" w:line="82" w:lineRule="exact"/>
        <w:rPr>
          <w:sz w:val="20"/>
          <w:szCs w:val="20"/>
          <w:color w:val="auto"/>
        </w:rPr>
      </w:pPr>
    </w:p>
    <w:p>
      <w:pPr>
        <w:ind w:right="1180"/>
        <w:spacing w:after="0" w:line="313" w:lineRule="auto"/>
        <w:rPr>
          <w:sz w:val="20"/>
          <w:szCs w:val="20"/>
          <w:color w:val="auto"/>
        </w:rPr>
      </w:pPr>
      <w:r>
        <w:rPr>
          <w:rFonts w:ascii="Arial" w:cs="Arial" w:eastAsia="Arial" w:hAnsi="Arial"/>
          <w:sz w:val="14"/>
          <w:szCs w:val="14"/>
          <w:color w:val="auto"/>
        </w:rPr>
        <w:t>Based on his experience serving on the boards of several clinical-stage biotechnology companies and his investment experience in the life sciences industry, Mr. Enright brings to our Board operating experience and financial expertise in the life sciences industry.</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205740" cy="102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143510</wp:posOffset>
            </wp:positionV>
            <wp:extent cx="205740" cy="1968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135255</wp:posOffset>
            </wp:positionV>
            <wp:extent cx="171450" cy="2057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152400</wp:posOffset>
            </wp:positionV>
            <wp:extent cx="205740"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05740" cy="17970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177800</wp:posOffset>
            </wp:positionV>
            <wp:extent cx="205740" cy="1200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05740" cy="120015"/>
                    </a:xfrm>
                    <a:prstGeom prst="rect">
                      <a:avLst/>
                    </a:prstGeom>
                    <a:noFill/>
                  </pic:spPr>
                </pic:pic>
              </a:graphicData>
            </a:graphic>
          </wp:anchor>
        </w:drawing>
        <w:drawing>
          <wp:anchor simplePos="0" relativeHeight="251657728" behindDoc="1" locked="0" layoutInCell="0" allowOverlap="1">
            <wp:simplePos x="0" y="0"/>
            <wp:positionH relativeFrom="column">
              <wp:posOffset>1918335</wp:posOffset>
            </wp:positionH>
            <wp:positionV relativeFrom="paragraph">
              <wp:posOffset>160655</wp:posOffset>
            </wp:positionV>
            <wp:extent cx="205740" cy="1631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05740" cy="163195"/>
                    </a:xfrm>
                    <a:prstGeom prst="rect">
                      <a:avLst/>
                    </a:prstGeom>
                    <a:noFill/>
                  </pic:spPr>
                </pic:pic>
              </a:graphicData>
            </a:graphic>
          </wp:anchor>
        </w:drawing>
        <w:drawing>
          <wp:anchor simplePos="0" relativeHeight="251657728" behindDoc="1" locked="0" layoutInCell="0" allowOverlap="1">
            <wp:simplePos x="0" y="0"/>
            <wp:positionH relativeFrom="column">
              <wp:posOffset>2304415</wp:posOffset>
            </wp:positionH>
            <wp:positionV relativeFrom="paragraph">
              <wp:posOffset>118110</wp:posOffset>
            </wp:positionV>
            <wp:extent cx="163195" cy="205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63195" cy="205740"/>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135255</wp:posOffset>
            </wp:positionV>
            <wp:extent cx="205740"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3075940</wp:posOffset>
            </wp:positionH>
            <wp:positionV relativeFrom="paragraph">
              <wp:posOffset>135255</wp:posOffset>
            </wp:positionV>
            <wp:extent cx="196850" cy="2057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135255</wp:posOffset>
            </wp:positionV>
            <wp:extent cx="196850" cy="2057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p>
      <w:pPr>
        <w:spacing w:after="0" w:line="1617" w:lineRule="exact"/>
        <w:rPr>
          <w:sz w:val="20"/>
          <w:szCs w:val="20"/>
          <w:color w:val="auto"/>
        </w:rPr>
      </w:pPr>
    </w:p>
    <w:p>
      <w:pPr>
        <w:sectPr>
          <w:pgSz w:w="11900" w:h="16838" w:orient="portrait"/>
          <w:cols w:equalWidth="0" w:num="2">
            <w:col w:w="3420" w:space="600"/>
            <w:col w:w="7220"/>
          </w:cols>
          <w:pgMar w:left="320" w:top="522"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 Includes service on the board of directors of Jazz Pharmaceuticals, Inc., our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520700</wp:posOffset>
            </wp:positionV>
            <wp:extent cx="1242695"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13</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21" w:name="page22"/>
    <w:bookmarkEnd w:id="21"/>
    <w:p>
      <w:pPr>
        <w:ind w:left="74"/>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891540" cy="2997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91540" cy="299720"/>
                    </a:xfrm>
                    <a:prstGeom prst="rect">
                      <a:avLst/>
                    </a:prstGeom>
                    <a:noFill/>
                  </pic:spPr>
                </pic:pic>
              </a:graphicData>
            </a:graphic>
          </wp:anchor>
        </w:drawing>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529590</wp:posOffset>
            </wp:positionV>
            <wp:extent cx="1697355" cy="3600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697355"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74"/>
        <w:spacing w:after="0"/>
        <w:rPr>
          <w:sz w:val="20"/>
          <w:szCs w:val="20"/>
          <w:color w:val="auto"/>
        </w:rPr>
      </w:pPr>
      <w:r>
        <w:rPr>
          <w:rFonts w:ascii="Arial" w:cs="Arial" w:eastAsia="Arial" w:hAnsi="Arial"/>
          <w:sz w:val="25"/>
          <w:szCs w:val="25"/>
          <w:b w:val="1"/>
          <w:bCs w:val="1"/>
          <w:color w:val="001C71"/>
        </w:rPr>
        <w:t>Renee D. Gala</w:t>
      </w:r>
    </w:p>
    <w:p>
      <w:pPr>
        <w:spacing w:after="0" w:line="200" w:lineRule="exact"/>
        <w:rPr>
          <w:sz w:val="20"/>
          <w:szCs w:val="20"/>
          <w:color w:val="auto"/>
        </w:rPr>
      </w:pPr>
    </w:p>
    <w:p>
      <w:pPr>
        <w:ind w:left="1274"/>
        <w:spacing w:after="0" w:line="354" w:lineRule="auto"/>
        <w:rPr>
          <w:sz w:val="20"/>
          <w:szCs w:val="20"/>
          <w:color w:val="auto"/>
        </w:rPr>
      </w:pPr>
      <w:r>
        <w:rPr>
          <w:rFonts w:ascii="Arial" w:cs="Arial" w:eastAsia="Arial" w:hAnsi="Arial"/>
          <w:sz w:val="14"/>
          <w:szCs w:val="14"/>
          <w:b w:val="1"/>
          <w:bCs w:val="1"/>
          <w:color w:val="852166"/>
        </w:rPr>
        <w:t>PRESIDENT, CHIEF EXECUTIVE OFFICER AND DIRECTOR</w:t>
      </w:r>
    </w:p>
    <w:p>
      <w:pPr>
        <w:spacing w:after="0" w:line="52"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54</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2025</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DIRECTOR CLASS: </w:t>
      </w:r>
      <w:r>
        <w:rPr>
          <w:rFonts w:ascii="Arial" w:cs="Arial" w:eastAsia="Arial" w:hAnsi="Arial"/>
          <w:sz w:val="14"/>
          <w:szCs w:val="14"/>
          <w:color w:val="636466"/>
        </w:rPr>
        <w:t>I</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TERM EXPIRATION: </w:t>
      </w:r>
      <w:r>
        <w:rPr>
          <w:rFonts w:ascii="Arial" w:cs="Arial" w:eastAsia="Arial" w:hAnsi="Arial"/>
          <w:sz w:val="14"/>
          <w:szCs w:val="14"/>
          <w:color w:val="636466"/>
        </w:rPr>
        <w:t>2027</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COMMITTEES: </w:t>
      </w:r>
      <w:r>
        <w:rPr>
          <w:rFonts w:ascii="Arial" w:cs="Arial" w:eastAsia="Arial" w:hAnsi="Arial"/>
          <w:sz w:val="14"/>
          <w:szCs w:val="14"/>
          <w:color w:val="636466"/>
        </w:rPr>
        <w:t>None</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OTHER CURRENT PUBLIC</w:t>
      </w:r>
    </w:p>
    <w:p>
      <w:pPr>
        <w:spacing w:after="0" w:line="35"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BOARDS:</w:t>
      </w:r>
    </w:p>
    <w:p>
      <w:pPr>
        <w:spacing w:after="0" w:line="75" w:lineRule="exact"/>
        <w:rPr>
          <w:sz w:val="20"/>
          <w:szCs w:val="20"/>
          <w:color w:val="auto"/>
        </w:rPr>
      </w:pPr>
    </w:p>
    <w:p>
      <w:pPr>
        <w:ind w:left="1274"/>
        <w:spacing w:after="0"/>
        <w:rPr>
          <w:sz w:val="20"/>
          <w:szCs w:val="20"/>
          <w:color w:val="auto"/>
        </w:rPr>
      </w:pPr>
      <w:r>
        <w:rPr>
          <w:rFonts w:ascii="Arial" w:cs="Arial" w:eastAsia="Arial" w:hAnsi="Arial"/>
          <w:sz w:val="14"/>
          <w:szCs w:val="14"/>
          <w:color w:val="636466"/>
        </w:rPr>
        <w:t>Dexcom,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623570</wp:posOffset>
            </wp:positionV>
            <wp:extent cx="1722755" cy="3471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22755"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74"/>
        <w:spacing w:after="0"/>
        <w:rPr>
          <w:sz w:val="20"/>
          <w:szCs w:val="20"/>
          <w:color w:val="auto"/>
        </w:rPr>
      </w:pPr>
      <w:r>
        <w:rPr>
          <w:rFonts w:ascii="Arial" w:cs="Arial" w:eastAsia="Arial" w:hAnsi="Arial"/>
          <w:sz w:val="25"/>
          <w:szCs w:val="25"/>
          <w:b w:val="1"/>
          <w:bCs w:val="1"/>
          <w:color w:val="001C71"/>
        </w:rPr>
        <w:t>Laura J. Hamill</w:t>
      </w:r>
    </w:p>
    <w:p>
      <w:pPr>
        <w:spacing w:after="0" w:line="200"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852166"/>
        </w:rPr>
        <w:t>INDEPENDENT DIRECTOR</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61</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2024</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DIRECTOR CLASS: </w:t>
      </w:r>
      <w:r>
        <w:rPr>
          <w:rFonts w:ascii="Arial" w:cs="Arial" w:eastAsia="Arial" w:hAnsi="Arial"/>
          <w:sz w:val="14"/>
          <w:szCs w:val="14"/>
          <w:color w:val="636466"/>
        </w:rPr>
        <w:t>I</w:t>
      </w:r>
    </w:p>
    <w:p>
      <w:pPr>
        <w:spacing w:after="0" w:line="163"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TERM EXPIRATION: </w:t>
      </w:r>
      <w:r>
        <w:rPr>
          <w:rFonts w:ascii="Arial" w:cs="Arial" w:eastAsia="Arial" w:hAnsi="Arial"/>
          <w:sz w:val="14"/>
          <w:szCs w:val="14"/>
          <w:color w:val="636466"/>
        </w:rPr>
        <w:t>2027</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COMMITTEES:</w:t>
      </w:r>
    </w:p>
    <w:p>
      <w:pPr>
        <w:spacing w:after="0" w:line="82" w:lineRule="exact"/>
        <w:rPr>
          <w:sz w:val="20"/>
          <w:szCs w:val="20"/>
          <w:color w:val="auto"/>
        </w:rPr>
      </w:pPr>
    </w:p>
    <w:p>
      <w:pPr>
        <w:ind w:left="1274"/>
        <w:spacing w:after="0"/>
        <w:rPr>
          <w:sz w:val="20"/>
          <w:szCs w:val="20"/>
          <w:color w:val="auto"/>
        </w:rPr>
      </w:pPr>
      <w:r>
        <w:rPr>
          <w:rFonts w:ascii="Arial" w:cs="Arial" w:eastAsia="Arial" w:hAnsi="Arial"/>
          <w:sz w:val="14"/>
          <w:szCs w:val="14"/>
          <w:color w:val="636466"/>
        </w:rPr>
        <w:t>Compensation Committee</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OTHER CURRENT PUBLIC</w:t>
      </w:r>
    </w:p>
    <w:p>
      <w:pPr>
        <w:spacing w:after="0" w:line="35"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BOARDS:</w:t>
      </w:r>
    </w:p>
    <w:p>
      <w:pPr>
        <w:spacing w:after="0" w:line="88" w:lineRule="exact"/>
        <w:rPr>
          <w:sz w:val="20"/>
          <w:szCs w:val="20"/>
          <w:color w:val="auto"/>
        </w:rPr>
      </w:pPr>
    </w:p>
    <w:p>
      <w:pPr>
        <w:ind w:left="1274"/>
        <w:spacing w:after="0"/>
        <w:rPr>
          <w:sz w:val="20"/>
          <w:szCs w:val="20"/>
          <w:color w:val="auto"/>
        </w:rPr>
      </w:pPr>
      <w:r>
        <w:rPr>
          <w:rFonts w:ascii="Arial" w:cs="Arial" w:eastAsia="Arial" w:hAnsi="Arial"/>
          <w:sz w:val="14"/>
          <w:szCs w:val="14"/>
          <w:color w:val="636466"/>
        </w:rPr>
        <w:t>BB Biotech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14" w:hanging="614"/>
        <w:spacing w:after="0"/>
        <w:tabs>
          <w:tab w:leader="none" w:pos="614" w:val="left"/>
        </w:tabs>
        <w:numPr>
          <w:ilvl w:val="0"/>
          <w:numId w:val="15"/>
        </w:numPr>
        <w:rPr>
          <w:rFonts w:ascii="Arial" w:cs="Arial" w:eastAsia="Arial" w:hAnsi="Arial"/>
          <w:sz w:val="18"/>
          <w:szCs w:val="18"/>
          <w:b w:val="1"/>
          <w:bCs w:val="1"/>
          <w:color w:val="852166"/>
        </w:rPr>
      </w:pP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82" w:lineRule="exact"/>
        <w:rPr>
          <w:sz w:val="20"/>
          <w:szCs w:val="20"/>
          <w:color w:val="auto"/>
        </w:rPr>
      </w:pPr>
    </w:p>
    <w:p>
      <w:pPr>
        <w:ind w:right="19"/>
        <w:spacing w:after="0" w:line="287" w:lineRule="auto"/>
        <w:rPr>
          <w:sz w:val="20"/>
          <w:szCs w:val="20"/>
          <w:color w:val="auto"/>
        </w:rPr>
      </w:pPr>
      <w:r>
        <w:rPr>
          <w:rFonts w:ascii="Arial" w:cs="Arial" w:eastAsia="Arial" w:hAnsi="Arial"/>
          <w:sz w:val="14"/>
          <w:szCs w:val="14"/>
          <w:color w:val="auto"/>
        </w:rPr>
        <w:t>Renee D. Gala has served as a member of our Board and President and CEO since August 2025. Previously, Ms. Gala was our President and COO from October 2023, where she oversaw Jazz’s global business operations, which include commercial, medical, research and development, technical operations and quality, as well as corporate strategy; Ms. Gala joined Jazz as Executive Vice President and CFO in March 2020. From January to June 2019, Ms. Gala served as the CFO of GRAIL, Inc., a private healthcare company focused on the early detection of cancer. Prior to that, from December 2014 to January 2019, she served as Senior Vice President and CFO of Theravance Biopharma, Inc., a biopharmaceutical company, following its spin-out from Theravance, Inc. (now Innoviva, Inc.). Ms. Gala joined Theravance in 2006 and held various roles in the finance organization before leading the company’s spin-out transaction. Prior to that, Ms. Gala served in various roles in global treasury, pharmaceutical sales and corporate strategy/business development at Eli Lilly and Company, a global pharmaceutical company, from 2001 to 2006. Before joining Eli Lilly and Company, Ms. Gala spent seven years in the energy industry in positions focused on corporate finance, project finance, and mergers and acquisitions. Ms. Gala currently serves on the board of Dexcom, Inc., a healthcare company, and has previously served on the board of directors of multiple biotech companies, including Gyroscope Therapeutics (acquired by Novartis), Corcept Therapeutics and Gossamer Bio, Inc. Ms. Gala holds a B.S. in Mathematics from Vanderbilt University and an M.B.A. from Columbia Business School.</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SERVICE ON OUR BOARD:</w:t>
      </w:r>
    </w:p>
    <w:p>
      <w:pPr>
        <w:spacing w:after="0" w:line="96" w:lineRule="exact"/>
        <w:rPr>
          <w:sz w:val="20"/>
          <w:szCs w:val="20"/>
          <w:color w:val="auto"/>
        </w:rPr>
      </w:pPr>
    </w:p>
    <w:p>
      <w:pPr>
        <w:ind w:right="499"/>
        <w:spacing w:after="0" w:line="325" w:lineRule="auto"/>
        <w:rPr>
          <w:sz w:val="20"/>
          <w:szCs w:val="20"/>
          <w:color w:val="auto"/>
        </w:rPr>
      </w:pPr>
      <w:r>
        <w:rPr>
          <w:rFonts w:ascii="Arial" w:cs="Arial" w:eastAsia="Arial" w:hAnsi="Arial"/>
          <w:sz w:val="14"/>
          <w:szCs w:val="14"/>
          <w:color w:val="auto"/>
        </w:rPr>
        <w:t>Ms. Gala brings to our Board more than 30 years of experience across finance, strategy, corporate development and commercialization.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205740" cy="1028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74930</wp:posOffset>
            </wp:positionV>
            <wp:extent cx="205740" cy="1974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05740" cy="197485"/>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66675</wp:posOffset>
            </wp:positionV>
            <wp:extent cx="171450" cy="2057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83820</wp:posOffset>
            </wp:positionV>
            <wp:extent cx="205740"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05740" cy="17970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109220</wp:posOffset>
            </wp:positionV>
            <wp:extent cx="205740" cy="1200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5740" cy="120015"/>
                    </a:xfrm>
                    <a:prstGeom prst="rect">
                      <a:avLst/>
                    </a:prstGeom>
                    <a:noFill/>
                  </pic:spPr>
                </pic:pic>
              </a:graphicData>
            </a:graphic>
          </wp:anchor>
        </w:drawing>
        <w:drawing>
          <wp:anchor simplePos="0" relativeHeight="251657728" behindDoc="1" locked="0" layoutInCell="0" allowOverlap="1">
            <wp:simplePos x="0" y="0"/>
            <wp:positionH relativeFrom="column">
              <wp:posOffset>1918335</wp:posOffset>
            </wp:positionH>
            <wp:positionV relativeFrom="paragraph">
              <wp:posOffset>92075</wp:posOffset>
            </wp:positionV>
            <wp:extent cx="205740" cy="163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05740" cy="16319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66675</wp:posOffset>
            </wp:positionV>
            <wp:extent cx="205740" cy="2057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66675</wp:posOffset>
            </wp:positionV>
            <wp:extent cx="196850" cy="2057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66675</wp:posOffset>
            </wp:positionV>
            <wp:extent cx="196850" cy="2057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left="40" w:right="19"/>
        <w:spacing w:after="0" w:line="279" w:lineRule="auto"/>
        <w:rPr>
          <w:sz w:val="20"/>
          <w:szCs w:val="20"/>
          <w:color w:val="auto"/>
        </w:rPr>
      </w:pPr>
      <w:r>
        <w:rPr>
          <w:rFonts w:ascii="Arial" w:cs="Arial" w:eastAsia="Arial" w:hAnsi="Arial"/>
          <w:sz w:val="14"/>
          <w:szCs w:val="14"/>
          <w:color w:val="auto"/>
        </w:rPr>
        <w:t>Laura J. Hamill has served as a member of our Board since July 2024. Ms. Hamill currently serves on the board of directors of BB Biotech AG, a publicly-held Swiss- based investment fund since March 2022. Ms. Hamill also serves on the board of directors of Unchained Labs, LLC, a privately held life sciences tools company and is a consultant for Launch Therapeutics, Inc., which is part of the healthcare investment group of Carlyle. Ms. Hamill previously served on the boards of directors of biopharmaceutical companies Acceleron Pharma Inc. from September 2020 to December 2021, AnaptysBio, Inc. from September 2019 to June 2023, Pardes Biosciences, Inc. from July 2021 to July 2023, Scilex Holding Company from November 2022 to August 2023 and Y-mAbs Therapeutics, Inc. from June 2020 to September 2025. Ms. Hamill held the position of Executive Vice President, Worldwide Commercial Operations, for Gilead Sciences, Inc., a biopharmaceutical company, and served in various executive management positions at Amgen Inc., a global biotechnology company, culminating in her role as Senior Vice President, U.S. Commercial Operations. She has extensive experience living and working overseas. Ms. Hamill holds a degree in Business Administration with an emphasis in Marketing from the University of Arizona.</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52166"/>
        </w:rPr>
        <w:t>REASONS FOR SERVICE ON OUR BOARD:</w:t>
      </w:r>
    </w:p>
    <w:p>
      <w:pPr>
        <w:spacing w:after="0" w:line="82" w:lineRule="exact"/>
        <w:rPr>
          <w:sz w:val="20"/>
          <w:szCs w:val="20"/>
          <w:color w:val="auto"/>
        </w:rPr>
      </w:pPr>
    </w:p>
    <w:p>
      <w:pPr>
        <w:jc w:val="both"/>
        <w:ind w:left="40" w:right="199"/>
        <w:spacing w:after="0" w:line="313" w:lineRule="auto"/>
        <w:rPr>
          <w:sz w:val="20"/>
          <w:szCs w:val="20"/>
          <w:color w:val="auto"/>
        </w:rPr>
      </w:pPr>
      <w:r>
        <w:rPr>
          <w:rFonts w:ascii="Arial" w:cs="Arial" w:eastAsia="Arial" w:hAnsi="Arial"/>
          <w:sz w:val="14"/>
          <w:szCs w:val="14"/>
          <w:color w:val="auto"/>
        </w:rPr>
        <w:t>Ms. Hamill brings over 35 years of commercial expertise in the biopharmaceutical industry to our board of directors, having held a variety of executive leadership positions in the U.S. and internationally.</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1425575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135255</wp:posOffset>
            </wp:positionV>
            <wp:extent cx="205740" cy="1028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418465</wp:posOffset>
            </wp:positionH>
            <wp:positionV relativeFrom="paragraph">
              <wp:posOffset>83820</wp:posOffset>
            </wp:positionV>
            <wp:extent cx="205740" cy="1974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05740" cy="197485"/>
                    </a:xfrm>
                    <a:prstGeom prst="rect">
                      <a:avLst/>
                    </a:prstGeom>
                    <a:noFill/>
                  </pic:spPr>
                </pic:pic>
              </a:graphicData>
            </a:graphic>
          </wp:anchor>
        </w:drawing>
        <w:drawing>
          <wp:anchor simplePos="0" relativeHeight="251657728" behindDoc="1" locked="0" layoutInCell="0" allowOverlap="1">
            <wp:simplePos x="0" y="0"/>
            <wp:positionH relativeFrom="column">
              <wp:posOffset>812800</wp:posOffset>
            </wp:positionH>
            <wp:positionV relativeFrom="paragraph">
              <wp:posOffset>83820</wp:posOffset>
            </wp:positionV>
            <wp:extent cx="171450" cy="2057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1198245</wp:posOffset>
            </wp:positionH>
            <wp:positionV relativeFrom="paragraph">
              <wp:posOffset>100965</wp:posOffset>
            </wp:positionV>
            <wp:extent cx="205740" cy="162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05740" cy="162560"/>
                    </a:xfrm>
                    <a:prstGeom prst="rect">
                      <a:avLst/>
                    </a:prstGeom>
                    <a:noFill/>
                  </pic:spPr>
                </pic:pic>
              </a:graphicData>
            </a:graphic>
          </wp:anchor>
        </w:drawing>
        <w:drawing>
          <wp:anchor simplePos="0" relativeHeight="251657728" behindDoc="1" locked="0" layoutInCell="0" allowOverlap="1">
            <wp:simplePos x="0" y="0"/>
            <wp:positionH relativeFrom="column">
              <wp:posOffset>1592580</wp:posOffset>
            </wp:positionH>
            <wp:positionV relativeFrom="paragraph">
              <wp:posOffset>83820</wp:posOffset>
            </wp:positionV>
            <wp:extent cx="205740" cy="2057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83820</wp:posOffset>
            </wp:positionV>
            <wp:extent cx="196850" cy="2057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3333115</wp:posOffset>
            </wp:positionH>
            <wp:positionV relativeFrom="paragraph">
              <wp:posOffset>949325</wp:posOffset>
            </wp:positionV>
            <wp:extent cx="1242695" cy="2057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2">
            <w:col w:w="3434" w:space="560"/>
            <w:col w:w="6119"/>
          </w:cols>
          <w:pgMar w:left="346" w:top="522"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963295</wp:posOffset>
            </wp:positionV>
            <wp:extent cx="1697355" cy="35058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697355"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1C71"/>
        </w:rPr>
        <w:t>Patrick Kennedy</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852166"/>
        </w:rPr>
        <w:t>INDEPENDENT DIRECTOR</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57</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2024</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DIRECTOR CLASS: </w:t>
      </w:r>
      <w:r>
        <w:rPr>
          <w:rFonts w:ascii="Arial" w:cs="Arial" w:eastAsia="Arial" w:hAnsi="Arial"/>
          <w:sz w:val="14"/>
          <w:szCs w:val="14"/>
          <w:color w:val="636466"/>
        </w:rPr>
        <w:t>I</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TERM EXPIRATION: </w:t>
      </w:r>
      <w:r>
        <w:rPr>
          <w:rFonts w:ascii="Arial" w:cs="Arial" w:eastAsia="Arial" w:hAnsi="Arial"/>
          <w:sz w:val="14"/>
          <w:szCs w:val="14"/>
          <w:color w:val="636466"/>
        </w:rPr>
        <w:t>2027</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COMMITTEES: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636466"/>
        </w:rPr>
        <w:t>Audit Committee (Chair)</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636466"/>
        </w:rPr>
        <w:t>Transaction Committee</w:t>
      </w:r>
    </w:p>
    <w:p>
      <w:pPr>
        <w:spacing w:after="0" w:line="177" w:lineRule="exact"/>
        <w:rPr>
          <w:sz w:val="20"/>
          <w:szCs w:val="20"/>
          <w:color w:val="auto"/>
        </w:rPr>
      </w:pPr>
    </w:p>
    <w:p>
      <w:pPr>
        <w:ind w:left="180" w:right="300"/>
        <w:spacing w:after="0" w:line="334" w:lineRule="auto"/>
        <w:rPr>
          <w:sz w:val="20"/>
          <w:szCs w:val="20"/>
          <w:color w:val="auto"/>
        </w:rPr>
      </w:pPr>
      <w:r>
        <w:rPr>
          <w:rFonts w:ascii="Arial" w:cs="Arial" w:eastAsia="Arial" w:hAnsi="Arial"/>
          <w:sz w:val="14"/>
          <w:szCs w:val="14"/>
          <w:b w:val="1"/>
          <w:bCs w:val="1"/>
          <w:color w:val="636466"/>
        </w:rPr>
        <w:t xml:space="preserve">OTHER CURRENT PUBLIC BOARDS: </w:t>
      </w:r>
      <w:r>
        <w:rPr>
          <w:rFonts w:ascii="Arial" w:cs="Arial" w:eastAsia="Arial" w:hAnsi="Arial"/>
          <w:sz w:val="14"/>
          <w:szCs w:val="14"/>
          <w:color w:val="636466"/>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1697355" cy="40030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697355" cy="400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01C71"/>
        </w:rPr>
        <w:t>Ted W. Love, M.D.</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852166"/>
        </w:rPr>
        <w:t>INDEPENDENT DIRECTOR</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67</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2025</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DIRECTOR CLASS: </w:t>
      </w:r>
      <w:r>
        <w:rPr>
          <w:rFonts w:ascii="Arial" w:cs="Arial" w:eastAsia="Arial" w:hAnsi="Arial"/>
          <w:sz w:val="14"/>
          <w:szCs w:val="14"/>
          <w:color w:val="636466"/>
        </w:rPr>
        <w:t>I</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TERM EXPIRATION: </w:t>
      </w:r>
      <w:r>
        <w:rPr>
          <w:rFonts w:ascii="Arial" w:cs="Arial" w:eastAsia="Arial" w:hAnsi="Arial"/>
          <w:sz w:val="14"/>
          <w:szCs w:val="14"/>
          <w:color w:val="636466"/>
        </w:rPr>
        <w:t>2027</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COMMITTEES: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636466"/>
        </w:rPr>
        <w:t>Audit Committee</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4"/>
          <w:szCs w:val="14"/>
          <w:color w:val="636466"/>
        </w:rPr>
        <w:t>SMC</w:t>
      </w:r>
    </w:p>
    <w:p>
      <w:pPr>
        <w:spacing w:after="0" w:line="163" w:lineRule="exact"/>
        <w:rPr>
          <w:sz w:val="20"/>
          <w:szCs w:val="20"/>
          <w:color w:val="auto"/>
        </w:rPr>
      </w:pPr>
    </w:p>
    <w:p>
      <w:pPr>
        <w:ind w:left="180" w:right="300"/>
        <w:spacing w:after="0" w:line="332" w:lineRule="auto"/>
        <w:rPr>
          <w:sz w:val="20"/>
          <w:szCs w:val="20"/>
          <w:color w:val="auto"/>
        </w:rPr>
      </w:pPr>
      <w:r>
        <w:rPr>
          <w:rFonts w:ascii="Arial" w:cs="Arial" w:eastAsia="Arial" w:hAnsi="Arial"/>
          <w:sz w:val="14"/>
          <w:szCs w:val="14"/>
          <w:b w:val="1"/>
          <w:bCs w:val="1"/>
          <w:color w:val="636466"/>
        </w:rPr>
        <w:t>OTHER CURRENT PUBLIC BOARDS:</w:t>
      </w:r>
    </w:p>
    <w:p>
      <w:pPr>
        <w:ind w:left="180" w:right="400"/>
        <w:spacing w:after="0" w:line="384" w:lineRule="auto"/>
        <w:rPr>
          <w:sz w:val="20"/>
          <w:szCs w:val="20"/>
          <w:color w:val="auto"/>
        </w:rPr>
      </w:pPr>
      <w:r>
        <w:rPr>
          <w:rFonts w:ascii="Arial" w:cs="Arial" w:eastAsia="Arial" w:hAnsi="Arial"/>
          <w:sz w:val="14"/>
          <w:szCs w:val="14"/>
          <w:color w:val="636466"/>
        </w:rPr>
        <w:t>Gilead Sciences, Inc. Royalty Pharma plc Structure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560705</wp:posOffset>
            </wp:positionV>
            <wp:extent cx="1242695" cy="2057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4"/>
          <w:szCs w:val="14"/>
          <w:b w:val="1"/>
          <w:bCs w:val="1"/>
          <w:color w:val="FFFFFF"/>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-224155</wp:posOffset>
            </wp:positionV>
            <wp:extent cx="891540" cy="3003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915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1260"/>
        <w:spacing w:after="0" w:line="280" w:lineRule="auto"/>
        <w:rPr>
          <w:sz w:val="20"/>
          <w:szCs w:val="20"/>
          <w:color w:val="auto"/>
        </w:rPr>
      </w:pPr>
      <w:r>
        <w:rPr>
          <w:rFonts w:ascii="Arial" w:cs="Arial" w:eastAsia="Arial" w:hAnsi="Arial"/>
          <w:sz w:val="14"/>
          <w:szCs w:val="14"/>
          <w:color w:val="auto"/>
        </w:rPr>
        <w:t>Patrick Kennedy has served as a member of our Board since March 2024 and was appointed chair of our Audit Committee in August 2024. Mr. Kennedy served on the board of directors of the Bank of Ireland from 2010 to 2024, and served as its Governor and Chairman from 2018 to 2024. Previously, Mr. Kennedy was the CEO of Paddy Power plc (now a part of Flutter Entertainment plc), a leading Irish brand, for nine years ending in 2014. Additionally, Mr. Kennedy was previously CFO of Greencore Group plc, and held prior roles with KPMG Corporate Finance and McKinsey &amp; Company. Mr. Kennedy served as a non-executive director of Elan Corporation plc, a biotechnology company, and of online retailer ASOS plc. He is currently also the chair and non-executive director of CarTrawler, a B2B technology platform for car rental and mobility solutions, and the Honorary Treasurer of the Irish Rugby Football Union. He holds a BComm degree (Banking &amp; Finance) and a Post Graduate Diploma in Accountancy from University College Dublin. Mr. Kennedy also holds a Post Graduate Diploma in Statistics from Trinity College Dublin and he is a Fellow of the Institute of Chartered Accountants in Ireland.</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SERVICE ON OUR BOARD:</w:t>
      </w:r>
    </w:p>
    <w:p>
      <w:pPr>
        <w:spacing w:after="0" w:line="82" w:lineRule="exact"/>
        <w:rPr>
          <w:sz w:val="20"/>
          <w:szCs w:val="20"/>
          <w:color w:val="auto"/>
        </w:rPr>
      </w:pPr>
    </w:p>
    <w:p>
      <w:pPr>
        <w:ind w:right="1200"/>
        <w:spacing w:after="0" w:line="325" w:lineRule="auto"/>
        <w:rPr>
          <w:sz w:val="20"/>
          <w:szCs w:val="20"/>
          <w:color w:val="auto"/>
        </w:rPr>
      </w:pPr>
      <w:r>
        <w:rPr>
          <w:rFonts w:ascii="Arial" w:cs="Arial" w:eastAsia="Arial" w:hAnsi="Arial"/>
          <w:sz w:val="14"/>
          <w:szCs w:val="14"/>
          <w:color w:val="auto"/>
        </w:rPr>
        <w:t>Mr. Kennedy brings to our Board over 30 years of experience including extensive financial and operating expertise in managing dynamic, high growth-oriented companies.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160655</wp:posOffset>
            </wp:positionV>
            <wp:extent cx="205740" cy="1028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118110</wp:posOffset>
            </wp:positionV>
            <wp:extent cx="205740" cy="1968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109220</wp:posOffset>
            </wp:positionV>
            <wp:extent cx="171450" cy="2057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126365</wp:posOffset>
            </wp:positionV>
            <wp:extent cx="205740" cy="1797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05740" cy="17970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152400</wp:posOffset>
            </wp:positionV>
            <wp:extent cx="205740" cy="1200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05740" cy="120015"/>
                    </a:xfrm>
                    <a:prstGeom prst="rect">
                      <a:avLst/>
                    </a:prstGeom>
                    <a:noFill/>
                  </pic:spPr>
                </pic:pic>
              </a:graphicData>
            </a:graphic>
          </wp:anchor>
        </w:drawing>
        <w:drawing>
          <wp:anchor simplePos="0" relativeHeight="251657728" behindDoc="1" locked="0" layoutInCell="0" allowOverlap="1">
            <wp:simplePos x="0" y="0"/>
            <wp:positionH relativeFrom="column">
              <wp:posOffset>1918335</wp:posOffset>
            </wp:positionH>
            <wp:positionV relativeFrom="paragraph">
              <wp:posOffset>135255</wp:posOffset>
            </wp:positionV>
            <wp:extent cx="205740" cy="1631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5740" cy="16319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109220</wp:posOffset>
            </wp:positionV>
            <wp:extent cx="205740" cy="2057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109220</wp:posOffset>
            </wp:positionV>
            <wp:extent cx="196850" cy="2057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109220</wp:posOffset>
            </wp:positionV>
            <wp:extent cx="196850" cy="2057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1240"/>
        <w:spacing w:after="0" w:line="280" w:lineRule="auto"/>
        <w:rPr>
          <w:sz w:val="20"/>
          <w:szCs w:val="20"/>
          <w:color w:val="auto"/>
        </w:rPr>
      </w:pPr>
      <w:r>
        <w:rPr>
          <w:rFonts w:ascii="Arial" w:cs="Arial" w:eastAsia="Arial" w:hAnsi="Arial"/>
          <w:sz w:val="14"/>
          <w:szCs w:val="14"/>
          <w:color w:val="auto"/>
        </w:rPr>
        <w:t>Ted W. Love has served as a member of our Board since December 2025. Dr. Love served as president and CEO of Global Blood Therapeutics, Inc., a global biopharmaceutical company, from 2014 until its acquisition by Pfizer Inc. in 2023. Previously, Dr. Love served as Executive Vice President of R&amp;D and technical operations at Onyx Pharmaceuticals, Inc., a pharmaceutical company, and President, CEO/chairman of Nuvelo, Inc., a biopharmaceutical company. Dr. Love began his biotechnology career at Genentech, Inc., a global biotechnology company, where he held several management positions. Dr. Love currently serves on the boards of biopharmaceutical companies Gilead Sciences, Inc., Royalty Pharma plc, and Structure Therapeutics Inc., and is the immediate past chair of the Biotechnology Innovation Organization board of directors. He earned a B.A. in molecular biology from Haverford College and his medical degree from Yale Medical School, followed by a residency in internal medicine and a fellowship in cardiology at Massachusetts General Hospital.</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SERVICE ON OUR BOARD:</w:t>
      </w:r>
    </w:p>
    <w:p>
      <w:pPr>
        <w:spacing w:after="0" w:line="82" w:lineRule="exact"/>
        <w:rPr>
          <w:sz w:val="20"/>
          <w:szCs w:val="20"/>
          <w:color w:val="auto"/>
        </w:rPr>
      </w:pPr>
    </w:p>
    <w:p>
      <w:pPr>
        <w:ind w:right="1400"/>
        <w:spacing w:after="0" w:line="325" w:lineRule="auto"/>
        <w:rPr>
          <w:sz w:val="20"/>
          <w:szCs w:val="20"/>
          <w:color w:val="auto"/>
        </w:rPr>
      </w:pPr>
      <w:r>
        <w:rPr>
          <w:rFonts w:ascii="Arial" w:cs="Arial" w:eastAsia="Arial" w:hAnsi="Arial"/>
          <w:sz w:val="14"/>
          <w:szCs w:val="14"/>
          <w:color w:val="auto"/>
        </w:rPr>
        <w:t>Dr. Love brings to our Board more than 30 years of biopharmaceutical leadership with deep expertise in drug development, commercialization, and public policy.</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272415</wp:posOffset>
            </wp:positionV>
            <wp:extent cx="205740" cy="1028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229235</wp:posOffset>
            </wp:positionV>
            <wp:extent cx="205740" cy="1968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220980</wp:posOffset>
            </wp:positionV>
            <wp:extent cx="171450" cy="2057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238125</wp:posOffset>
            </wp:positionV>
            <wp:extent cx="205740" cy="1797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05740" cy="17970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263525</wp:posOffset>
            </wp:positionV>
            <wp:extent cx="205740" cy="1200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05740" cy="120015"/>
                    </a:xfrm>
                    <a:prstGeom prst="rect">
                      <a:avLst/>
                    </a:prstGeom>
                    <a:noFill/>
                  </pic:spPr>
                </pic:pic>
              </a:graphicData>
            </a:graphic>
          </wp:anchor>
        </w:drawing>
        <w:drawing>
          <wp:anchor simplePos="0" relativeHeight="251657728" behindDoc="1" locked="0" layoutInCell="0" allowOverlap="1">
            <wp:simplePos x="0" y="0"/>
            <wp:positionH relativeFrom="column">
              <wp:posOffset>1918335</wp:posOffset>
            </wp:positionH>
            <wp:positionV relativeFrom="paragraph">
              <wp:posOffset>246380</wp:posOffset>
            </wp:positionV>
            <wp:extent cx="205740" cy="1631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05740" cy="163195"/>
                    </a:xfrm>
                    <a:prstGeom prst="rect">
                      <a:avLst/>
                    </a:prstGeom>
                    <a:noFill/>
                  </pic:spPr>
                </pic:pic>
              </a:graphicData>
            </a:graphic>
          </wp:anchor>
        </w:drawing>
        <w:drawing>
          <wp:anchor simplePos="0" relativeHeight="251657728" behindDoc="1" locked="0" layoutInCell="0" allowOverlap="1">
            <wp:simplePos x="0" y="0"/>
            <wp:positionH relativeFrom="column">
              <wp:posOffset>2304415</wp:posOffset>
            </wp:positionH>
            <wp:positionV relativeFrom="paragraph">
              <wp:posOffset>203835</wp:posOffset>
            </wp:positionV>
            <wp:extent cx="163195" cy="2057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63195" cy="205740"/>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220980</wp:posOffset>
            </wp:positionV>
            <wp:extent cx="205740" cy="2057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3075940</wp:posOffset>
            </wp:positionH>
            <wp:positionV relativeFrom="paragraph">
              <wp:posOffset>220980</wp:posOffset>
            </wp:positionV>
            <wp:extent cx="196850" cy="2057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220980</wp:posOffset>
            </wp:positionV>
            <wp:extent cx="196850" cy="2057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4820" w:type="dxa"/>
        <w:tblCellMar>
          <w:top w:w="0" w:type="dxa"/>
          <w:left w:w="0" w:type="dxa"/>
          <w:bottom w:w="0" w:type="dxa"/>
          <w:right w:w="0" w:type="dxa"/>
        </w:tblCellMar>
      </w:tblPr>
      <w:tr>
        <w:trPr>
          <w:trHeight w:val="247"/>
        </w:trPr>
        <w:tc>
          <w:tcPr>
            <w:tcW w:w="1980" w:type="dxa"/>
            <w:vAlign w:val="bottom"/>
          </w:tcPr>
          <w:p>
            <w:pPr>
              <w:spacing w:after="0"/>
              <w:rPr>
                <w:sz w:val="20"/>
                <w:szCs w:val="20"/>
                <w:color w:val="auto"/>
              </w:rPr>
            </w:pPr>
            <w:r>
              <w:rPr>
                <w:rFonts w:ascii="Arial" w:cs="Arial" w:eastAsia="Arial" w:hAnsi="Arial"/>
                <w:sz w:val="14"/>
                <w:szCs w:val="14"/>
                <w:color w:val="636466"/>
              </w:rPr>
              <w:t>2026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852166"/>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288290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00" w:space="600"/>
            <w:col w:w="7200"/>
          </w:cols>
          <w:pgMar w:left="1440" w:top="522" w:right="359" w:bottom="1440" w:gutter="0" w:footer="0" w:header="0"/>
        </w:sectPr>
      </w:pPr>
    </w:p>
    <w:bookmarkStart w:id="23" w:name="page24"/>
    <w:bookmarkEnd w:id="23"/>
    <w:p>
      <w:pPr>
        <w:ind w:left="74"/>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891540" cy="3003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91540" cy="300355"/>
                    </a:xfrm>
                    <a:prstGeom prst="rect">
                      <a:avLst/>
                    </a:prstGeom>
                    <a:noFill/>
                  </pic:spPr>
                </pic:pic>
              </a:graphicData>
            </a:graphic>
          </wp:anchor>
        </w:drawing>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529590</wp:posOffset>
            </wp:positionV>
            <wp:extent cx="1722755" cy="36087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22755"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74"/>
        <w:spacing w:after="0"/>
        <w:rPr>
          <w:sz w:val="20"/>
          <w:szCs w:val="20"/>
          <w:color w:val="auto"/>
        </w:rPr>
      </w:pPr>
      <w:r>
        <w:rPr>
          <w:rFonts w:ascii="Arial" w:cs="Arial" w:eastAsia="Arial" w:hAnsi="Arial"/>
          <w:sz w:val="24"/>
          <w:szCs w:val="24"/>
          <w:b w:val="1"/>
          <w:bCs w:val="1"/>
          <w:color w:val="001C71"/>
        </w:rPr>
        <w:t>Seamus C. Mulligan</w:t>
      </w:r>
    </w:p>
    <w:p>
      <w:pPr>
        <w:spacing w:after="0" w:line="209"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852166"/>
        </w:rPr>
        <w:t>INDEPENDENT DIRECTOR</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65</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2012</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DIRECTOR CLASS: </w:t>
      </w:r>
      <w:r>
        <w:rPr>
          <w:rFonts w:ascii="Arial" w:cs="Arial" w:eastAsia="Arial" w:hAnsi="Arial"/>
          <w:sz w:val="14"/>
          <w:szCs w:val="14"/>
          <w:color w:val="636466"/>
        </w:rPr>
        <w:t>II</w:t>
      </w:r>
    </w:p>
    <w:p>
      <w:pPr>
        <w:spacing w:after="0" w:line="163"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TERM EXPIRATION: </w:t>
      </w:r>
      <w:r>
        <w:rPr>
          <w:rFonts w:ascii="Arial" w:cs="Arial" w:eastAsia="Arial" w:hAnsi="Arial"/>
          <w:sz w:val="14"/>
          <w:szCs w:val="14"/>
          <w:color w:val="636466"/>
        </w:rPr>
        <w:t>2028</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COMMITTEES:</w:t>
      </w:r>
    </w:p>
    <w:p>
      <w:pPr>
        <w:spacing w:after="0" w:line="82" w:lineRule="exact"/>
        <w:rPr>
          <w:sz w:val="20"/>
          <w:szCs w:val="20"/>
          <w:color w:val="auto"/>
        </w:rPr>
      </w:pPr>
    </w:p>
    <w:p>
      <w:pPr>
        <w:ind w:left="1274"/>
        <w:spacing w:after="0"/>
        <w:rPr>
          <w:sz w:val="20"/>
          <w:szCs w:val="20"/>
          <w:color w:val="auto"/>
        </w:rPr>
      </w:pPr>
      <w:r>
        <w:rPr>
          <w:rFonts w:ascii="Arial" w:cs="Arial" w:eastAsia="Arial" w:hAnsi="Arial"/>
          <w:sz w:val="14"/>
          <w:szCs w:val="14"/>
          <w:color w:val="636466"/>
        </w:rPr>
        <w:t>SMC</w:t>
      </w:r>
    </w:p>
    <w:p>
      <w:pPr>
        <w:spacing w:after="0" w:line="96" w:lineRule="exact"/>
        <w:rPr>
          <w:sz w:val="20"/>
          <w:szCs w:val="20"/>
          <w:color w:val="auto"/>
        </w:rPr>
      </w:pPr>
    </w:p>
    <w:p>
      <w:pPr>
        <w:ind w:left="1274"/>
        <w:spacing w:after="0"/>
        <w:rPr>
          <w:sz w:val="20"/>
          <w:szCs w:val="20"/>
          <w:color w:val="auto"/>
        </w:rPr>
      </w:pPr>
      <w:r>
        <w:rPr>
          <w:rFonts w:ascii="Arial" w:cs="Arial" w:eastAsia="Arial" w:hAnsi="Arial"/>
          <w:sz w:val="14"/>
          <w:szCs w:val="14"/>
          <w:color w:val="636466"/>
        </w:rPr>
        <w:t>Transaction Committee (Chair)</w:t>
      </w:r>
    </w:p>
    <w:p>
      <w:pPr>
        <w:spacing w:after="0" w:line="163"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OTHER CURRENT PUBLIC</w:t>
      </w:r>
    </w:p>
    <w:p>
      <w:pPr>
        <w:spacing w:after="0" w:line="42"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BOARDS: </w:t>
      </w:r>
      <w:r>
        <w:rPr>
          <w:rFonts w:ascii="Arial" w:cs="Arial" w:eastAsia="Arial" w:hAnsi="Arial"/>
          <w:sz w:val="14"/>
          <w:szCs w:val="14"/>
          <w:color w:val="636466"/>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14" w:hanging="614"/>
        <w:spacing w:after="0"/>
        <w:tabs>
          <w:tab w:leader="none" w:pos="614" w:val="left"/>
        </w:tabs>
        <w:numPr>
          <w:ilvl w:val="0"/>
          <w:numId w:val="16"/>
        </w:numPr>
        <w:rPr>
          <w:rFonts w:ascii="Arial" w:cs="Arial" w:eastAsia="Arial" w:hAnsi="Arial"/>
          <w:sz w:val="18"/>
          <w:szCs w:val="18"/>
          <w:b w:val="1"/>
          <w:bCs w:val="1"/>
          <w:color w:val="852166"/>
        </w:rPr>
      </w:pP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79"/>
        <w:spacing w:after="0" w:line="279" w:lineRule="auto"/>
        <w:rPr>
          <w:sz w:val="20"/>
          <w:szCs w:val="20"/>
          <w:color w:val="auto"/>
        </w:rPr>
      </w:pPr>
      <w:r>
        <w:rPr>
          <w:rFonts w:ascii="Arial" w:cs="Arial" w:eastAsia="Arial" w:hAnsi="Arial"/>
          <w:sz w:val="14"/>
          <w:szCs w:val="14"/>
          <w:color w:val="auto"/>
        </w:rPr>
        <w:t>Seamus Mulligan has served as a member of our Board since the closing of the Azur Merger in January 2012. Mr. Mulligan was a founder and principal investor of Azur Pharma and was Azur Pharma’s Chairperson and CEO as well as being a member of its board of directors from 2005 until January 2012. Mr. Mulligan also served as our Chief Business Officer, International Business Development from January 2012 until February 2013. Between 2014 and 2018, Mr. Mulligan served as Chairperson and CEO of Adapt Pharma Limited, a specialty pharmaceutical company, until it was acquired in October 2018 by Emergent BioSolutions Inc., a multinational specialty biopharmaceutical company. Mr. Mulligan acted as a Consultant to Emergent BioSolutions Inc. from October 2018 to March 2019, when he was appointed to its board of directors on which he served until his resignation from the board in May 2020. From 2006 to 2017, Mr. Mulligan served as Executive Chairperson of Circ Pharma Limited and its subsidiaries, a pharmaceutical development stage group. From 1984 until 2004, Mr. Mulligan held various positions with Elan Corporation plc, a pharmaceutical company, most recently as Executive Vice President, Business and Corporate Development, and prior to that position, held the roles of President of Elan Pharmaceutical Technologies, the drug delivery division of Elan Corporation plc, Executive Vice President, Pharmaceutical Operations, Vice President, U.S. Operations and Vice President, Product Development. Mr. Mulligan served as a member of the board of directors of the U.S. National Pharmaceutical Council until 2004. Mr. Mulligan holds a B.Sc. (Pharm) and M.Sc. from Trinity College Dublin.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SERVICE ON OUR BOARD:</w:t>
      </w:r>
    </w:p>
    <w:p>
      <w:pPr>
        <w:spacing w:after="0" w:line="96" w:lineRule="exact"/>
        <w:rPr>
          <w:sz w:val="20"/>
          <w:szCs w:val="20"/>
          <w:color w:val="auto"/>
        </w:rPr>
      </w:pPr>
    </w:p>
    <w:p>
      <w:pPr>
        <w:ind w:right="99"/>
        <w:spacing w:after="0" w:line="303" w:lineRule="auto"/>
        <w:rPr>
          <w:sz w:val="20"/>
          <w:szCs w:val="20"/>
          <w:color w:val="auto"/>
        </w:rPr>
      </w:pPr>
      <w:r>
        <w:rPr>
          <w:rFonts w:ascii="Arial" w:cs="Arial" w:eastAsia="Arial" w:hAnsi="Arial"/>
          <w:sz w:val="14"/>
          <w:szCs w:val="14"/>
          <w:color w:val="auto"/>
        </w:rPr>
        <w:t>As a founder of Adapt Pharma Limited and Azur Pharma, and a pharmaceutical industry executive, Mr. Mulligan brings to our Board an expertise in business development and over 40 years of experience in the pharmaceutical industry.</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1056640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135255</wp:posOffset>
            </wp:positionV>
            <wp:extent cx="205740" cy="1028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83820</wp:posOffset>
            </wp:positionV>
            <wp:extent cx="205740" cy="1968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778510</wp:posOffset>
            </wp:positionH>
            <wp:positionV relativeFrom="paragraph">
              <wp:posOffset>83820</wp:posOffset>
            </wp:positionV>
            <wp:extent cx="171450" cy="2057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126365</wp:posOffset>
            </wp:positionV>
            <wp:extent cx="205740" cy="1200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05740" cy="120015"/>
                    </a:xfrm>
                    <a:prstGeom prst="rect">
                      <a:avLst/>
                    </a:prstGeom>
                    <a:noFill/>
                  </pic:spPr>
                </pic:pic>
              </a:graphicData>
            </a:graphic>
          </wp:anchor>
        </w:drawing>
        <w:drawing>
          <wp:anchor simplePos="0" relativeHeight="251657728" behindDoc="1" locked="0" layoutInCell="0" allowOverlap="1">
            <wp:simplePos x="0" y="0"/>
            <wp:positionH relativeFrom="column">
              <wp:posOffset>1558925</wp:posOffset>
            </wp:positionH>
            <wp:positionV relativeFrom="paragraph">
              <wp:posOffset>100965</wp:posOffset>
            </wp:positionV>
            <wp:extent cx="205740" cy="1631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05740" cy="163195"/>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66675</wp:posOffset>
            </wp:positionV>
            <wp:extent cx="163195" cy="2057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63195" cy="205740"/>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83820</wp:posOffset>
            </wp:positionV>
            <wp:extent cx="205740" cy="2057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3307715</wp:posOffset>
            </wp:positionH>
            <wp:positionV relativeFrom="paragraph">
              <wp:posOffset>581025</wp:posOffset>
            </wp:positionV>
            <wp:extent cx="1242695" cy="2057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2">
            <w:col w:w="3634" w:space="400"/>
            <w:col w:w="6079"/>
          </w:cols>
          <w:pgMar w:left="346" w:top="522"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826135</wp:posOffset>
            </wp:positionV>
            <wp:extent cx="1697355" cy="46716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697355" cy="4671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0"/>
        <w:spacing w:after="0" w:line="298" w:lineRule="auto"/>
        <w:rPr>
          <w:sz w:val="20"/>
          <w:szCs w:val="20"/>
          <w:color w:val="auto"/>
        </w:rPr>
      </w:pPr>
      <w:r>
        <w:rPr>
          <w:rFonts w:ascii="Arial" w:cs="Arial" w:eastAsia="Arial" w:hAnsi="Arial"/>
          <w:sz w:val="25"/>
          <w:szCs w:val="25"/>
          <w:b w:val="1"/>
          <w:bCs w:val="1"/>
          <w:color w:val="001C71"/>
        </w:rPr>
        <w:t>Norbert G. Riedel, Ph.D.</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852166"/>
        </w:rPr>
        <w:t>INDEPENDENT DIRECTOR</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68</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2013</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DIRECTOR CLASS: </w:t>
      </w:r>
      <w:r>
        <w:rPr>
          <w:rFonts w:ascii="Arial" w:cs="Arial" w:eastAsia="Arial" w:hAnsi="Arial"/>
          <w:sz w:val="14"/>
          <w:szCs w:val="14"/>
          <w:color w:val="636466"/>
        </w:rPr>
        <w:t>II</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 xml:space="preserve">TERM EXPIRATION: </w:t>
      </w:r>
      <w:r>
        <w:rPr>
          <w:rFonts w:ascii="Arial" w:cs="Arial" w:eastAsia="Arial" w:hAnsi="Arial"/>
          <w:sz w:val="14"/>
          <w:szCs w:val="14"/>
          <w:color w:val="636466"/>
        </w:rPr>
        <w:t>2028</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36466"/>
        </w:rPr>
        <w:t>COMMITTEES:</w:t>
      </w:r>
    </w:p>
    <w:p>
      <w:pPr>
        <w:spacing w:after="0" w:line="82" w:lineRule="exact"/>
        <w:rPr>
          <w:sz w:val="20"/>
          <w:szCs w:val="20"/>
          <w:color w:val="auto"/>
        </w:rPr>
      </w:pPr>
    </w:p>
    <w:p>
      <w:pPr>
        <w:ind w:left="180" w:right="680"/>
        <w:spacing w:after="0" w:line="405" w:lineRule="auto"/>
        <w:rPr>
          <w:sz w:val="20"/>
          <w:szCs w:val="20"/>
          <w:color w:val="auto"/>
        </w:rPr>
      </w:pPr>
      <w:r>
        <w:rPr>
          <w:rFonts w:ascii="Arial" w:cs="Arial" w:eastAsia="Arial" w:hAnsi="Arial"/>
          <w:sz w:val="14"/>
          <w:szCs w:val="14"/>
          <w:color w:val="636466"/>
        </w:rPr>
        <w:t>SMC (Chair) Nominating Committee</w:t>
      </w:r>
    </w:p>
    <w:p>
      <w:pPr>
        <w:spacing w:after="0" w:line="37" w:lineRule="exact"/>
        <w:rPr>
          <w:sz w:val="20"/>
          <w:szCs w:val="20"/>
          <w:color w:val="auto"/>
        </w:rPr>
      </w:pPr>
    </w:p>
    <w:p>
      <w:pPr>
        <w:ind w:left="180" w:right="320"/>
        <w:spacing w:after="0" w:line="322" w:lineRule="auto"/>
        <w:rPr>
          <w:sz w:val="20"/>
          <w:szCs w:val="20"/>
          <w:color w:val="auto"/>
        </w:rPr>
      </w:pPr>
      <w:r>
        <w:rPr>
          <w:rFonts w:ascii="Arial" w:cs="Arial" w:eastAsia="Arial" w:hAnsi="Arial"/>
          <w:sz w:val="14"/>
          <w:szCs w:val="14"/>
          <w:b w:val="1"/>
          <w:bCs w:val="1"/>
          <w:color w:val="636466"/>
        </w:rPr>
        <w:t>OTHER CURRENT PUBLIC BOARDS:</w:t>
      </w:r>
    </w:p>
    <w:p>
      <w:pPr>
        <w:ind w:left="180"/>
        <w:spacing w:after="0"/>
        <w:rPr>
          <w:sz w:val="20"/>
          <w:szCs w:val="20"/>
          <w:color w:val="auto"/>
        </w:rPr>
      </w:pPr>
      <w:r>
        <w:rPr>
          <w:rFonts w:ascii="Arial" w:cs="Arial" w:eastAsia="Arial" w:hAnsi="Arial"/>
          <w:sz w:val="14"/>
          <w:szCs w:val="14"/>
          <w:color w:val="636466"/>
        </w:rPr>
        <w:t>Eton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1318260</wp:posOffset>
            </wp:positionV>
            <wp:extent cx="1242695" cy="2057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4"/>
          <w:szCs w:val="14"/>
          <w:b w:val="1"/>
          <w:bCs w:val="1"/>
          <w:color w:val="FFFFFF"/>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-224155</wp:posOffset>
            </wp:positionV>
            <wp:extent cx="891540" cy="3003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915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1160"/>
        <w:spacing w:after="0" w:line="278" w:lineRule="auto"/>
        <w:rPr>
          <w:sz w:val="20"/>
          <w:szCs w:val="20"/>
          <w:color w:val="auto"/>
        </w:rPr>
      </w:pPr>
      <w:r>
        <w:rPr>
          <w:rFonts w:ascii="Arial" w:cs="Arial" w:eastAsia="Arial" w:hAnsi="Arial"/>
          <w:sz w:val="14"/>
          <w:szCs w:val="14"/>
          <w:color w:val="auto"/>
        </w:rPr>
        <w:t>Norbert G. Riedel, Ph.D. has served as a member of our Board since May 2013 and was appointed chair of our SMC in April 2022. Dr. Riedel currently serves as Chairperson of the board of Eton Pharmaceuticals, Inc., a publicly-held, commercial-stage pharmaceutical company and previously served on the board of Alcyone Therapeutics, Inc., a privately-held clinical-stage biotechnology company. Dr. Riedel also currently serves on the boards of directors of Knoa Pharmaceuticals LLC, Angitia Biopharmaceuticals, Inc. and Atsena Therapeutics, Inc., all privately-held clinical-stage biopharmaceutical companies. Dr. Riedel also serves on the boards of directors of Atlas Clinical Research, a privately held clinical research organization and Illinois Biotechnology Industry Organization, a non-profit organization. He is a member of the Austrian Academy of Sciences and is an Adjunct Professor at Boston University School of Medicine and an Adjunct Professor of Medicine at Northwestern University’s Feinberg School of Medicine. Dr. Riedel served as Executive Chairperson of Aptinyx Inc. from January 2022 to May 2023, as CEO from September 2015 to December 2021 and as President from September 2015 to December 2020. Aptinyx Inc. was a biopharmaceutical company spun out of its predecessor company, Naurex, Inc., where Dr. Riedel served as CEO and President from January 2014 to September 2015. From 2001 to 2013, he served as Corporate Vice President and Chief Scientific Officer of Baxter International Inc., a diversified healthcare company, where from 1998 to 2001, he also served as President and General Manager of the recombinant therapeutic proteins business unit and Vice President of R&amp;D of the bioscience business unit. From 1996 to 1998, Dr. Riedel served as head of worldwide biotechnology and worldwide core research functions at Hoechst-Marion Roussel, now Sanofi, a global pharmaceutical company. Dr. Riedel served on the board of directors of Cerevel Therapeutics Holdings, Inc., a biopharmaceutical company, from October 2020 until it was acquired in August 2024 and on the board of directors of Ariad Pharmaceuticals, Inc., an oncology company, from May 2011 until the company was acquired in February 2017. Dr. Riedel holds a Diploma in biochemistry and a Ph.D. in biochemistry from the University of Frankfurt.</w:t>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SERVICE ON OUR BOARD:</w:t>
      </w:r>
    </w:p>
    <w:p>
      <w:pPr>
        <w:spacing w:after="0" w:line="96" w:lineRule="exact"/>
        <w:rPr>
          <w:sz w:val="20"/>
          <w:szCs w:val="20"/>
          <w:color w:val="auto"/>
        </w:rPr>
      </w:pPr>
    </w:p>
    <w:p>
      <w:pPr>
        <w:ind w:right="1160"/>
        <w:spacing w:after="0" w:line="296" w:lineRule="auto"/>
        <w:rPr>
          <w:sz w:val="20"/>
          <w:szCs w:val="20"/>
          <w:color w:val="auto"/>
        </w:rPr>
      </w:pPr>
      <w:r>
        <w:rPr>
          <w:rFonts w:ascii="Arial" w:cs="Arial" w:eastAsia="Arial" w:hAnsi="Arial"/>
          <w:sz w:val="14"/>
          <w:szCs w:val="14"/>
          <w:color w:val="auto"/>
        </w:rPr>
        <w:t>Dr. Riedel brings over 30 years of experience in the biotechnology and pharmaceutical industries to our Board with significant scientific, drug discovery and development, and commercial expertise. Dr. Riedel also leverages this pharmaceutical research experience in his position as chairperson of our SMC.</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135255</wp:posOffset>
            </wp:positionV>
            <wp:extent cx="205740" cy="1028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83820</wp:posOffset>
            </wp:positionV>
            <wp:extent cx="205740" cy="1968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83820</wp:posOffset>
            </wp:positionV>
            <wp:extent cx="171450" cy="2057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92075</wp:posOffset>
            </wp:positionV>
            <wp:extent cx="205740" cy="1797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05740" cy="17970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126365</wp:posOffset>
            </wp:positionV>
            <wp:extent cx="205740" cy="1200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05740" cy="120015"/>
                    </a:xfrm>
                    <a:prstGeom prst="rect">
                      <a:avLst/>
                    </a:prstGeom>
                    <a:noFill/>
                  </pic:spPr>
                </pic:pic>
              </a:graphicData>
            </a:graphic>
          </wp:anchor>
        </w:drawing>
        <w:drawing>
          <wp:anchor simplePos="0" relativeHeight="251657728" behindDoc="1" locked="0" layoutInCell="0" allowOverlap="1">
            <wp:simplePos x="0" y="0"/>
            <wp:positionH relativeFrom="column">
              <wp:posOffset>1918335</wp:posOffset>
            </wp:positionH>
            <wp:positionV relativeFrom="paragraph">
              <wp:posOffset>100965</wp:posOffset>
            </wp:positionV>
            <wp:extent cx="205740" cy="1631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05740" cy="163195"/>
                    </a:xfrm>
                    <a:prstGeom prst="rect">
                      <a:avLst/>
                    </a:prstGeom>
                    <a:noFill/>
                  </pic:spPr>
                </pic:pic>
              </a:graphicData>
            </a:graphic>
          </wp:anchor>
        </w:drawing>
        <w:drawing>
          <wp:anchor simplePos="0" relativeHeight="251657728" behindDoc="1" locked="0" layoutInCell="0" allowOverlap="1">
            <wp:simplePos x="0" y="0"/>
            <wp:positionH relativeFrom="column">
              <wp:posOffset>2304415</wp:posOffset>
            </wp:positionH>
            <wp:positionV relativeFrom="paragraph">
              <wp:posOffset>66675</wp:posOffset>
            </wp:positionV>
            <wp:extent cx="163195" cy="2057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63195" cy="205740"/>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83820</wp:posOffset>
            </wp:positionV>
            <wp:extent cx="205740" cy="2057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3075940</wp:posOffset>
            </wp:positionH>
            <wp:positionV relativeFrom="paragraph">
              <wp:posOffset>83820</wp:posOffset>
            </wp:positionV>
            <wp:extent cx="196850" cy="2057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83820</wp:posOffset>
            </wp:positionV>
            <wp:extent cx="196850" cy="2057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820" w:type="dxa"/>
        <w:tblCellMar>
          <w:top w:w="0" w:type="dxa"/>
          <w:left w:w="0" w:type="dxa"/>
          <w:bottom w:w="0" w:type="dxa"/>
          <w:right w:w="0" w:type="dxa"/>
        </w:tblCellMar>
      </w:tblPr>
      <w:tr>
        <w:trPr>
          <w:trHeight w:val="247"/>
        </w:trPr>
        <w:tc>
          <w:tcPr>
            <w:tcW w:w="1980" w:type="dxa"/>
            <w:vAlign w:val="bottom"/>
          </w:tcPr>
          <w:p>
            <w:pPr>
              <w:spacing w:after="0"/>
              <w:rPr>
                <w:sz w:val="20"/>
                <w:szCs w:val="20"/>
                <w:color w:val="auto"/>
              </w:rPr>
            </w:pPr>
            <w:r>
              <w:rPr>
                <w:rFonts w:ascii="Arial" w:cs="Arial" w:eastAsia="Arial" w:hAnsi="Arial"/>
                <w:sz w:val="14"/>
                <w:szCs w:val="14"/>
                <w:color w:val="636466"/>
              </w:rPr>
              <w:t>2026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852166"/>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297180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20" w:space="580"/>
            <w:col w:w="7200"/>
          </w:cols>
          <w:pgMar w:left="1440" w:top="522" w:right="359" w:bottom="1440" w:gutter="0" w:footer="0" w:header="0"/>
        </w:sectPr>
      </w:pPr>
    </w:p>
    <w:bookmarkStart w:id="25" w:name="page26"/>
    <w:bookmarkEnd w:id="25"/>
    <w:p>
      <w:pPr>
        <w:ind w:left="74"/>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891540" cy="3003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91540" cy="300355"/>
                    </a:xfrm>
                    <a:prstGeom prst="rect">
                      <a:avLst/>
                    </a:prstGeom>
                    <a:noFill/>
                  </pic:spPr>
                </pic:pic>
              </a:graphicData>
            </a:graphic>
          </wp:anchor>
        </w:drawing>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452120</wp:posOffset>
            </wp:positionV>
            <wp:extent cx="1731645" cy="3865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731645"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74"/>
        <w:spacing w:after="0"/>
        <w:rPr>
          <w:sz w:val="20"/>
          <w:szCs w:val="20"/>
          <w:color w:val="auto"/>
        </w:rPr>
      </w:pPr>
      <w:r>
        <w:rPr>
          <w:rFonts w:ascii="Arial" w:cs="Arial" w:eastAsia="Arial" w:hAnsi="Arial"/>
          <w:sz w:val="25"/>
          <w:szCs w:val="25"/>
          <w:b w:val="1"/>
          <w:bCs w:val="1"/>
          <w:color w:val="001C71"/>
        </w:rPr>
        <w:t>Mark D. Smith, M.D.</w:t>
      </w:r>
    </w:p>
    <w:p>
      <w:pPr>
        <w:spacing w:after="0" w:line="200"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852166"/>
        </w:rPr>
        <w:t>INDEPENDENT DIRECTOR</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74</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DIRECTOR SINCE: </w:t>
      </w:r>
      <w:r>
        <w:rPr>
          <w:rFonts w:ascii="Arial" w:cs="Arial" w:eastAsia="Arial" w:hAnsi="Arial"/>
          <w:sz w:val="14"/>
          <w:szCs w:val="14"/>
          <w:color w:val="636466"/>
        </w:rPr>
        <w:t>2020</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DIRECTOR CLASS: </w:t>
      </w:r>
      <w:r>
        <w:rPr>
          <w:rFonts w:ascii="Arial" w:cs="Arial" w:eastAsia="Arial" w:hAnsi="Arial"/>
          <w:sz w:val="14"/>
          <w:szCs w:val="14"/>
          <w:color w:val="636466"/>
        </w:rPr>
        <w:t>I</w:t>
      </w:r>
    </w:p>
    <w:p>
      <w:pPr>
        <w:spacing w:after="0" w:line="163"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 xml:space="preserve">TERM EXPIRATION: </w:t>
      </w:r>
      <w:r>
        <w:rPr>
          <w:rFonts w:ascii="Arial" w:cs="Arial" w:eastAsia="Arial" w:hAnsi="Arial"/>
          <w:sz w:val="14"/>
          <w:szCs w:val="14"/>
          <w:color w:val="636466"/>
        </w:rPr>
        <w:t>2027</w:t>
      </w:r>
    </w:p>
    <w:p>
      <w:pPr>
        <w:spacing w:after="0" w:line="177"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COMMITTEES:</w:t>
      </w:r>
    </w:p>
    <w:p>
      <w:pPr>
        <w:spacing w:after="0" w:line="82" w:lineRule="exact"/>
        <w:rPr>
          <w:sz w:val="20"/>
          <w:szCs w:val="20"/>
          <w:color w:val="auto"/>
        </w:rPr>
      </w:pPr>
    </w:p>
    <w:p>
      <w:pPr>
        <w:ind w:left="1274"/>
        <w:spacing w:after="0"/>
        <w:rPr>
          <w:sz w:val="20"/>
          <w:szCs w:val="20"/>
          <w:color w:val="auto"/>
        </w:rPr>
      </w:pPr>
      <w:r>
        <w:rPr>
          <w:rFonts w:ascii="Arial" w:cs="Arial" w:eastAsia="Arial" w:hAnsi="Arial"/>
          <w:sz w:val="14"/>
          <w:szCs w:val="14"/>
          <w:color w:val="636466"/>
        </w:rPr>
        <w:t>Nominating Committee</w:t>
      </w:r>
    </w:p>
    <w:p>
      <w:pPr>
        <w:spacing w:after="0" w:line="96" w:lineRule="exact"/>
        <w:rPr>
          <w:sz w:val="20"/>
          <w:szCs w:val="20"/>
          <w:color w:val="auto"/>
        </w:rPr>
      </w:pPr>
    </w:p>
    <w:p>
      <w:pPr>
        <w:ind w:left="1274"/>
        <w:spacing w:after="0"/>
        <w:rPr>
          <w:sz w:val="20"/>
          <w:szCs w:val="20"/>
          <w:color w:val="auto"/>
        </w:rPr>
      </w:pPr>
      <w:r>
        <w:rPr>
          <w:rFonts w:ascii="Arial" w:cs="Arial" w:eastAsia="Arial" w:hAnsi="Arial"/>
          <w:sz w:val="14"/>
          <w:szCs w:val="14"/>
          <w:color w:val="636466"/>
        </w:rPr>
        <w:t>SMC</w:t>
      </w:r>
    </w:p>
    <w:p>
      <w:pPr>
        <w:spacing w:after="0" w:line="163"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OTHER CURRENT PUBLIC</w:t>
      </w:r>
    </w:p>
    <w:p>
      <w:pPr>
        <w:spacing w:after="0" w:line="42" w:lineRule="exact"/>
        <w:rPr>
          <w:sz w:val="20"/>
          <w:szCs w:val="20"/>
          <w:color w:val="auto"/>
        </w:rPr>
      </w:pPr>
    </w:p>
    <w:p>
      <w:pPr>
        <w:ind w:left="1274"/>
        <w:spacing w:after="0"/>
        <w:rPr>
          <w:sz w:val="20"/>
          <w:szCs w:val="20"/>
          <w:color w:val="auto"/>
        </w:rPr>
      </w:pPr>
      <w:r>
        <w:rPr>
          <w:rFonts w:ascii="Arial" w:cs="Arial" w:eastAsia="Arial" w:hAnsi="Arial"/>
          <w:sz w:val="14"/>
          <w:szCs w:val="14"/>
          <w:b w:val="1"/>
          <w:bCs w:val="1"/>
          <w:color w:val="636466"/>
        </w:rPr>
        <w:t>BOARDS:</w:t>
      </w:r>
    </w:p>
    <w:p>
      <w:pPr>
        <w:spacing w:after="0" w:line="82" w:lineRule="exact"/>
        <w:rPr>
          <w:sz w:val="20"/>
          <w:szCs w:val="20"/>
          <w:color w:val="auto"/>
        </w:rPr>
      </w:pPr>
    </w:p>
    <w:p>
      <w:pPr>
        <w:ind w:left="1274"/>
        <w:spacing w:after="0"/>
        <w:rPr>
          <w:sz w:val="20"/>
          <w:szCs w:val="20"/>
          <w:color w:val="auto"/>
        </w:rPr>
      </w:pPr>
      <w:r>
        <w:rPr>
          <w:rFonts w:ascii="Arial" w:cs="Arial" w:eastAsia="Arial" w:hAnsi="Arial"/>
          <w:sz w:val="14"/>
          <w:szCs w:val="14"/>
          <w:color w:val="636466"/>
        </w:rPr>
        <w:t>Phreesia, Inc.</w:t>
      </w:r>
    </w:p>
    <w:p>
      <w:pPr>
        <w:spacing w:after="0" w:line="82" w:lineRule="exact"/>
        <w:rPr>
          <w:sz w:val="20"/>
          <w:szCs w:val="20"/>
          <w:color w:val="auto"/>
        </w:rPr>
      </w:pPr>
    </w:p>
    <w:p>
      <w:pPr>
        <w:ind w:left="1274"/>
        <w:spacing w:after="0"/>
        <w:rPr>
          <w:sz w:val="20"/>
          <w:szCs w:val="20"/>
          <w:color w:val="auto"/>
        </w:rPr>
      </w:pPr>
      <w:r>
        <w:rPr>
          <w:rFonts w:ascii="Arial" w:cs="Arial" w:eastAsia="Arial" w:hAnsi="Arial"/>
          <w:sz w:val="14"/>
          <w:szCs w:val="14"/>
          <w:color w:val="636466"/>
        </w:rPr>
        <w:t>Teladoc Health,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14" w:hanging="614"/>
        <w:spacing w:after="0"/>
        <w:tabs>
          <w:tab w:leader="none" w:pos="614" w:val="left"/>
        </w:tabs>
        <w:numPr>
          <w:ilvl w:val="0"/>
          <w:numId w:val="17"/>
        </w:numPr>
        <w:rPr>
          <w:rFonts w:ascii="Arial" w:cs="Arial" w:eastAsia="Arial" w:hAnsi="Arial"/>
          <w:sz w:val="18"/>
          <w:szCs w:val="18"/>
          <w:b w:val="1"/>
          <w:bCs w:val="1"/>
          <w:color w:val="852166"/>
        </w:rPr>
      </w:pP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Mark D. Smith, M.D. has served as a member of our Board since December 2020. Dr. Smith is a practicing physician and professor of clinical medicine at the University of California at San Francisco, where he has served since 1994. He also serves as a non-executive director on the boards of directors of two other publicly-held companies, Teladoc Health, Inc., a telemedicine and virtual healthcare company, and Phreesia, Inc., a healthcare software company. Dr. Smith also serves on the board of directors of Prealize Health, a privately-held predictive healthcare analytics company. From 1996 to 2013, Dr. Smith was the founding President and CEO of the California HealthCare Foundation, an independent non-profit philanthropy organization. From 1991 to 1996, he served as Executive Vice President at the Henry J. Kaiser Family Foundation. Dr. Smith holds a B.A. from Harvard College, an M.D. from the University of North Carolina at Chapel Hill and an M.B.A. from The Wharton School at the University of Pennsylvania.</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REASONS FOR SERVICE ON OUR BOARD:</w:t>
      </w:r>
    </w:p>
    <w:p>
      <w:pPr>
        <w:spacing w:after="0" w:line="82"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color w:val="auto"/>
        </w:rPr>
        <w:t>Dr. Smith brings to our board of directors an impressive background that marries the worlds of active medical practice and business development. A practicing physician and professor, Dr. Smith also has experience working for a variety of health focused companies both public and private. Dr. Smith has a deep understanding of the trends in public policy and future trends in healthcare delivery systems in the U.S.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2051050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205740" cy="1028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05740" cy="102870"/>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160655</wp:posOffset>
            </wp:positionV>
            <wp:extent cx="205740" cy="1974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05740" cy="197485"/>
                    </a:xfrm>
                    <a:prstGeom prst="rect">
                      <a:avLst/>
                    </a:prstGeom>
                    <a:noFill/>
                  </pic:spPr>
                </pic:pic>
              </a:graphicData>
            </a:graphic>
          </wp:anchor>
        </w:drawing>
        <w:drawing>
          <wp:anchor simplePos="0" relativeHeight="251657728" behindDoc="1" locked="0" layoutInCell="0" allowOverlap="1">
            <wp:simplePos x="0" y="0"/>
            <wp:positionH relativeFrom="column">
              <wp:posOffset>782955</wp:posOffset>
            </wp:positionH>
            <wp:positionV relativeFrom="paragraph">
              <wp:posOffset>135255</wp:posOffset>
            </wp:positionV>
            <wp:extent cx="163195" cy="2057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63195" cy="205740"/>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160655</wp:posOffset>
            </wp:positionV>
            <wp:extent cx="196850" cy="2057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160655</wp:posOffset>
            </wp:positionV>
            <wp:extent cx="196850" cy="2057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3295015</wp:posOffset>
            </wp:positionH>
            <wp:positionV relativeFrom="paragraph">
              <wp:posOffset>1575435</wp:posOffset>
            </wp:positionV>
            <wp:extent cx="1242695" cy="2057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2">
            <w:col w:w="3634" w:space="420"/>
            <w:col w:w="6060"/>
          </w:cols>
          <w:pgMar w:left="346" w:top="522" w:right="14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108839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54"/>
          <w:szCs w:val="54"/>
          <w:b w:val="1"/>
          <w:bCs w:val="1"/>
          <w:color w:val="001C71"/>
        </w:rPr>
        <w:t>Director Compensation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color w:val="852166"/>
        </w:rPr>
        <w:t>Director Compensation Policy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Overview of Director Compensation</w:t>
      </w:r>
    </w:p>
    <w:p>
      <w:pPr>
        <w:spacing w:after="0" w:line="18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members of our Board play a critical role in guiding our strategic direction and overseeing our management. The market for highly qualified and experienced directors for large public companies is competitive given the demanding nature of the role, the significant responsibilities, and the associated time commitment and risks.</w:t>
      </w:r>
    </w:p>
    <w:p>
      <w:pPr>
        <w:spacing w:after="0" w:line="118"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Given these factors, it is essential for us to provide a competitive compensation program for our non-employee directors. Our non-employee directors receive a combination of annual cash retainers and annual equity awards. The equity grants made pursuant to our Director Compensation Policy are granted under the 2007 Directors Plan. Our Director Compensation Policy was originally approved by our Board in 2013 and has subsequently been amended most recently in October 2025.</w:t>
      </w:r>
    </w:p>
    <w:p>
      <w:pPr>
        <w:spacing w:after="0" w:line="121" w:lineRule="exact"/>
        <w:rPr>
          <w:sz w:val="20"/>
          <w:szCs w:val="20"/>
          <w:color w:val="auto"/>
        </w:rPr>
      </w:pPr>
    </w:p>
    <w:p>
      <w:pPr>
        <w:jc w:val="both"/>
        <w:ind w:right="160"/>
        <w:spacing w:after="0" w:line="292" w:lineRule="auto"/>
        <w:rPr>
          <w:sz w:val="20"/>
          <w:szCs w:val="20"/>
          <w:color w:val="auto"/>
        </w:rPr>
      </w:pPr>
      <w:r>
        <w:rPr>
          <w:rFonts w:ascii="Arial" w:cs="Arial" w:eastAsia="Arial" w:hAnsi="Arial"/>
          <w:sz w:val="16"/>
          <w:szCs w:val="16"/>
          <w:color w:val="auto"/>
        </w:rPr>
        <w:t>Our Compensation Committee reviews our non-employee director compensation program annually with Aon and recommends any appropriate changes to our Board for their consideration and approval. The review includes a comparison of our program to the programs of the same peer group companies used for executive compensation decision-making, recent trends in director compensation and related corporate governance best practices.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Limit on Director Compensation</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any case, the aggregate value of all compensation granted or paid, as applicable, to any non-employee director with respect to any period commencing on the date of our AGM for a particular year and ending on the day immediately prior to the date of our AGM for the subsequent year, including equity awards granted and cash fees paid by us to the non-employee director, will not exceed (i) $750,000 in total value or (ii) in the event such non-employee director is first appointed or elected to the Board during that same period, $1,350,000 in total value, in each case calculating the value of any equity awards based on the grant date fair value of such equity awards for financial reporting purposes.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Cash Compensation</w:t>
      </w:r>
    </w:p>
    <w:p>
      <w:pPr>
        <w:spacing w:after="0" w:line="171"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Pursuant to our Director Compensation Policy, each non-employee director was entitled to receive the following cash compensation on a quarterly basis, as applicable, for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shd w:val="clear" w:color="auto" w:fill="001C71"/>
          </w:tcPr>
          <w:p>
            <w:pPr>
              <w:ind w:left="100"/>
              <w:spacing w:after="0"/>
              <w:rPr>
                <w:sz w:val="20"/>
                <w:szCs w:val="20"/>
                <w:color w:val="auto"/>
              </w:rPr>
            </w:pPr>
            <w:r>
              <w:rPr>
                <w:rFonts w:ascii="Arial" w:cs="Arial" w:eastAsia="Arial" w:hAnsi="Arial"/>
                <w:sz w:val="14"/>
                <w:szCs w:val="14"/>
                <w:b w:val="1"/>
                <w:bCs w:val="1"/>
                <w:color w:val="FFFFFF"/>
              </w:rPr>
              <w:t>Director Positions</w:t>
            </w:r>
          </w:p>
        </w:tc>
        <w:tc>
          <w:tcPr>
            <w:tcW w:w="4040" w:type="dxa"/>
            <w:vAlign w:val="bottom"/>
            <w:gridSpan w:val="2"/>
            <w:shd w:val="clear" w:color="auto" w:fill="001C71"/>
          </w:tcPr>
          <w:p>
            <w:pPr>
              <w:jc w:val="right"/>
              <w:ind w:right="46"/>
              <w:spacing w:after="0"/>
              <w:rPr>
                <w:sz w:val="20"/>
                <w:szCs w:val="20"/>
                <w:color w:val="auto"/>
              </w:rPr>
            </w:pPr>
            <w:r>
              <w:rPr>
                <w:rFonts w:ascii="Arial" w:cs="Arial" w:eastAsia="Arial" w:hAnsi="Arial"/>
                <w:sz w:val="14"/>
                <w:szCs w:val="14"/>
                <w:b w:val="1"/>
                <w:bCs w:val="1"/>
                <w:color w:val="FFFFFF"/>
              </w:rPr>
              <w:t>Annual Cash Compensation</w:t>
            </w:r>
          </w:p>
        </w:tc>
      </w:tr>
      <w:tr>
        <w:trPr>
          <w:trHeight w:val="67"/>
        </w:trPr>
        <w:tc>
          <w:tcPr>
            <w:tcW w:w="7200" w:type="dxa"/>
            <w:vAlign w:val="bottom"/>
            <w:shd w:val="clear" w:color="auto" w:fill="001C71"/>
          </w:tcPr>
          <w:p>
            <w:pPr>
              <w:spacing w:after="0"/>
              <w:rPr>
                <w:sz w:val="5"/>
                <w:szCs w:val="5"/>
                <w:color w:val="auto"/>
              </w:rPr>
            </w:pPr>
          </w:p>
        </w:tc>
        <w:tc>
          <w:tcPr>
            <w:tcW w:w="3400" w:type="dxa"/>
            <w:vAlign w:val="bottom"/>
            <w:shd w:val="clear" w:color="auto" w:fill="001C71"/>
          </w:tcPr>
          <w:p>
            <w:pPr>
              <w:spacing w:after="0"/>
              <w:rPr>
                <w:sz w:val="5"/>
                <w:szCs w:val="5"/>
                <w:color w:val="auto"/>
              </w:rPr>
            </w:pPr>
          </w:p>
        </w:tc>
        <w:tc>
          <w:tcPr>
            <w:tcW w:w="640" w:type="dxa"/>
            <w:vAlign w:val="bottom"/>
            <w:shd w:val="clear" w:color="auto" w:fill="001C71"/>
          </w:tcPr>
          <w:p>
            <w:pPr>
              <w:spacing w:after="0"/>
              <w:rPr>
                <w:sz w:val="5"/>
                <w:szCs w:val="5"/>
                <w:color w:val="auto"/>
              </w:rPr>
            </w:pPr>
          </w:p>
        </w:tc>
      </w:tr>
      <w:tr>
        <w:trPr>
          <w:trHeight w:val="223"/>
        </w:trPr>
        <w:tc>
          <w:tcPr>
            <w:tcW w:w="72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All Independent Directors</w:t>
            </w:r>
          </w:p>
        </w:tc>
        <w:tc>
          <w:tcPr>
            <w:tcW w:w="3400" w:type="dxa"/>
            <w:vAlign w:val="bottom"/>
            <w:tcBorders>
              <w:bottom w:val="single" w:sz="8" w:color="5673B8"/>
            </w:tcBorders>
          </w:tcPr>
          <w:p>
            <w:pPr>
              <w:spacing w:after="0"/>
              <w:rPr>
                <w:sz w:val="19"/>
                <w:szCs w:val="19"/>
                <w:color w:val="auto"/>
              </w:rPr>
            </w:pPr>
          </w:p>
        </w:tc>
        <w:tc>
          <w:tcPr>
            <w:tcW w:w="640" w:type="dxa"/>
            <w:vAlign w:val="bottom"/>
            <w:tcBorders>
              <w:bottom w:val="single" w:sz="8" w:color="5673B8"/>
            </w:tcBorders>
          </w:tcPr>
          <w:p>
            <w:pPr>
              <w:jc w:val="right"/>
              <w:ind w:right="46"/>
              <w:spacing w:after="0"/>
              <w:rPr>
                <w:sz w:val="20"/>
                <w:szCs w:val="20"/>
                <w:color w:val="auto"/>
              </w:rPr>
            </w:pPr>
            <w:r>
              <w:rPr>
                <w:rFonts w:ascii="Arial" w:cs="Arial" w:eastAsia="Arial" w:hAnsi="Arial"/>
                <w:sz w:val="14"/>
                <w:szCs w:val="14"/>
                <w:color w:val="auto"/>
                <w:w w:val="98"/>
              </w:rPr>
              <w:t>$75,000</w:t>
            </w:r>
          </w:p>
        </w:tc>
      </w:tr>
      <w:tr>
        <w:trPr>
          <w:trHeight w:val="223"/>
        </w:trPr>
        <w:tc>
          <w:tcPr>
            <w:tcW w:w="72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LID (in addition to Independent Director membership retainer)</w:t>
            </w:r>
          </w:p>
        </w:tc>
        <w:tc>
          <w:tcPr>
            <w:tcW w:w="3400" w:type="dxa"/>
            <w:vAlign w:val="bottom"/>
            <w:tcBorders>
              <w:bottom w:val="single" w:sz="8" w:color="5673B8"/>
            </w:tcBorders>
          </w:tcPr>
          <w:p>
            <w:pPr>
              <w:spacing w:after="0"/>
              <w:rPr>
                <w:sz w:val="19"/>
                <w:szCs w:val="19"/>
                <w:color w:val="auto"/>
              </w:rPr>
            </w:pPr>
          </w:p>
        </w:tc>
        <w:tc>
          <w:tcPr>
            <w:tcW w:w="640" w:type="dxa"/>
            <w:vAlign w:val="bottom"/>
            <w:tcBorders>
              <w:bottom w:val="single" w:sz="8" w:color="5673B8"/>
            </w:tcBorders>
          </w:tcPr>
          <w:p>
            <w:pPr>
              <w:jc w:val="right"/>
              <w:ind w:right="46"/>
              <w:spacing w:after="0"/>
              <w:rPr>
                <w:sz w:val="20"/>
                <w:szCs w:val="20"/>
                <w:color w:val="auto"/>
              </w:rPr>
            </w:pPr>
            <w:r>
              <w:rPr>
                <w:rFonts w:ascii="Arial" w:cs="Arial" w:eastAsia="Arial" w:hAnsi="Arial"/>
                <w:sz w:val="14"/>
                <w:szCs w:val="14"/>
                <w:color w:val="auto"/>
                <w:w w:val="98"/>
              </w:rPr>
              <w:t>$50,000</w:t>
            </w:r>
          </w:p>
        </w:tc>
      </w:tr>
      <w:tr>
        <w:trPr>
          <w:trHeight w:val="223"/>
        </w:trPr>
        <w:tc>
          <w:tcPr>
            <w:tcW w:w="72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Chair of the Board</w:t>
            </w:r>
          </w:p>
        </w:tc>
        <w:tc>
          <w:tcPr>
            <w:tcW w:w="4040" w:type="dxa"/>
            <w:vAlign w:val="bottom"/>
            <w:tcBorders>
              <w:bottom w:val="single" w:sz="8" w:color="5673B8"/>
            </w:tcBorders>
            <w:gridSpan w:val="2"/>
          </w:tcPr>
          <w:p>
            <w:pPr>
              <w:jc w:val="right"/>
              <w:ind w:right="46"/>
              <w:spacing w:after="0"/>
              <w:rPr>
                <w:sz w:val="20"/>
                <w:szCs w:val="20"/>
                <w:color w:val="auto"/>
              </w:rPr>
            </w:pPr>
            <w:r>
              <w:rPr>
                <w:rFonts w:ascii="Arial" w:cs="Arial" w:eastAsia="Arial" w:hAnsi="Arial"/>
                <w:sz w:val="14"/>
                <w:szCs w:val="14"/>
                <w:color w:val="auto"/>
              </w:rPr>
              <w:t>$100,000</w:t>
            </w:r>
          </w:p>
        </w:tc>
      </w:tr>
      <w:tr>
        <w:trPr>
          <w:trHeight w:val="223"/>
        </w:trPr>
        <w:tc>
          <w:tcPr>
            <w:tcW w:w="72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Audit Committee Member</w:t>
            </w:r>
          </w:p>
        </w:tc>
        <w:tc>
          <w:tcPr>
            <w:tcW w:w="3400" w:type="dxa"/>
            <w:vAlign w:val="bottom"/>
            <w:tcBorders>
              <w:bottom w:val="single" w:sz="8" w:color="5673B8"/>
            </w:tcBorders>
          </w:tcPr>
          <w:p>
            <w:pPr>
              <w:spacing w:after="0"/>
              <w:rPr>
                <w:sz w:val="19"/>
                <w:szCs w:val="19"/>
                <w:color w:val="auto"/>
              </w:rPr>
            </w:pPr>
          </w:p>
        </w:tc>
        <w:tc>
          <w:tcPr>
            <w:tcW w:w="640" w:type="dxa"/>
            <w:vAlign w:val="bottom"/>
            <w:tcBorders>
              <w:bottom w:val="single" w:sz="8" w:color="5673B8"/>
            </w:tcBorders>
          </w:tcPr>
          <w:p>
            <w:pPr>
              <w:jc w:val="right"/>
              <w:ind w:right="46"/>
              <w:spacing w:after="0"/>
              <w:rPr>
                <w:sz w:val="20"/>
                <w:szCs w:val="20"/>
                <w:color w:val="auto"/>
              </w:rPr>
            </w:pPr>
            <w:r>
              <w:rPr>
                <w:rFonts w:ascii="Arial" w:cs="Arial" w:eastAsia="Arial" w:hAnsi="Arial"/>
                <w:sz w:val="14"/>
                <w:szCs w:val="14"/>
                <w:color w:val="auto"/>
                <w:w w:val="98"/>
              </w:rPr>
              <w:t>$15,000</w:t>
            </w:r>
          </w:p>
        </w:tc>
      </w:tr>
      <w:tr>
        <w:trPr>
          <w:trHeight w:val="223"/>
        </w:trPr>
        <w:tc>
          <w:tcPr>
            <w:tcW w:w="72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Audit Committee Chair (in addition to committee membership retainer)</w:t>
            </w:r>
          </w:p>
        </w:tc>
        <w:tc>
          <w:tcPr>
            <w:tcW w:w="3400" w:type="dxa"/>
            <w:vAlign w:val="bottom"/>
            <w:tcBorders>
              <w:bottom w:val="single" w:sz="8" w:color="5673B8"/>
            </w:tcBorders>
          </w:tcPr>
          <w:p>
            <w:pPr>
              <w:spacing w:after="0"/>
              <w:rPr>
                <w:sz w:val="19"/>
                <w:szCs w:val="19"/>
                <w:color w:val="auto"/>
              </w:rPr>
            </w:pPr>
          </w:p>
        </w:tc>
        <w:tc>
          <w:tcPr>
            <w:tcW w:w="640" w:type="dxa"/>
            <w:vAlign w:val="bottom"/>
            <w:tcBorders>
              <w:bottom w:val="single" w:sz="8" w:color="5673B8"/>
            </w:tcBorders>
          </w:tcPr>
          <w:p>
            <w:pPr>
              <w:jc w:val="right"/>
              <w:ind w:right="46"/>
              <w:spacing w:after="0"/>
              <w:rPr>
                <w:sz w:val="20"/>
                <w:szCs w:val="20"/>
                <w:color w:val="auto"/>
              </w:rPr>
            </w:pPr>
            <w:r>
              <w:rPr>
                <w:rFonts w:ascii="Arial" w:cs="Arial" w:eastAsia="Arial" w:hAnsi="Arial"/>
                <w:sz w:val="14"/>
                <w:szCs w:val="14"/>
                <w:color w:val="auto"/>
                <w:w w:val="98"/>
              </w:rPr>
              <w:t>$25,000</w:t>
            </w:r>
          </w:p>
        </w:tc>
      </w:tr>
      <w:tr>
        <w:trPr>
          <w:trHeight w:val="223"/>
        </w:trPr>
        <w:tc>
          <w:tcPr>
            <w:tcW w:w="72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Compensation Committee Member</w:t>
            </w:r>
          </w:p>
        </w:tc>
        <w:tc>
          <w:tcPr>
            <w:tcW w:w="3400" w:type="dxa"/>
            <w:vAlign w:val="bottom"/>
            <w:tcBorders>
              <w:bottom w:val="single" w:sz="8" w:color="5673B8"/>
            </w:tcBorders>
          </w:tcPr>
          <w:p>
            <w:pPr>
              <w:spacing w:after="0"/>
              <w:rPr>
                <w:sz w:val="19"/>
                <w:szCs w:val="19"/>
                <w:color w:val="auto"/>
              </w:rPr>
            </w:pPr>
          </w:p>
        </w:tc>
        <w:tc>
          <w:tcPr>
            <w:tcW w:w="640" w:type="dxa"/>
            <w:vAlign w:val="bottom"/>
            <w:tcBorders>
              <w:bottom w:val="single" w:sz="8" w:color="5673B8"/>
            </w:tcBorders>
          </w:tcPr>
          <w:p>
            <w:pPr>
              <w:jc w:val="right"/>
              <w:ind w:right="46"/>
              <w:spacing w:after="0"/>
              <w:rPr>
                <w:sz w:val="20"/>
                <w:szCs w:val="20"/>
                <w:color w:val="auto"/>
              </w:rPr>
            </w:pPr>
            <w:r>
              <w:rPr>
                <w:rFonts w:ascii="Arial" w:cs="Arial" w:eastAsia="Arial" w:hAnsi="Arial"/>
                <w:sz w:val="14"/>
                <w:szCs w:val="14"/>
                <w:color w:val="auto"/>
                <w:w w:val="98"/>
              </w:rPr>
              <w:t>$12,500</w:t>
            </w:r>
          </w:p>
        </w:tc>
      </w:tr>
      <w:tr>
        <w:trPr>
          <w:trHeight w:val="214"/>
        </w:trPr>
        <w:tc>
          <w:tcPr>
            <w:tcW w:w="7200" w:type="dxa"/>
            <w:vAlign w:val="bottom"/>
          </w:tcPr>
          <w:p>
            <w:pPr>
              <w:ind w:left="100"/>
              <w:spacing w:after="0"/>
              <w:rPr>
                <w:sz w:val="20"/>
                <w:szCs w:val="20"/>
                <w:color w:val="auto"/>
              </w:rPr>
            </w:pPr>
            <w:r>
              <w:rPr>
                <w:rFonts w:ascii="Arial" w:cs="Arial" w:eastAsia="Arial" w:hAnsi="Arial"/>
                <w:sz w:val="14"/>
                <w:szCs w:val="14"/>
                <w:b w:val="1"/>
                <w:bCs w:val="1"/>
                <w:color w:val="852166"/>
              </w:rPr>
              <w:t>Compensation Committee Chair (in addition to committee membership retainer)</w:t>
            </w:r>
          </w:p>
        </w:tc>
        <w:tc>
          <w:tcPr>
            <w:tcW w:w="3400" w:type="dxa"/>
            <w:vAlign w:val="bottom"/>
          </w:tcPr>
          <w:p>
            <w:pPr>
              <w:spacing w:after="0"/>
              <w:rPr>
                <w:sz w:val="18"/>
                <w:szCs w:val="18"/>
                <w:color w:val="auto"/>
              </w:rPr>
            </w:pPr>
          </w:p>
        </w:tc>
        <w:tc>
          <w:tcPr>
            <w:tcW w:w="640" w:type="dxa"/>
            <w:vAlign w:val="bottom"/>
          </w:tcPr>
          <w:p>
            <w:pPr>
              <w:jc w:val="right"/>
              <w:ind w:right="46"/>
              <w:spacing w:after="0"/>
              <w:rPr>
                <w:sz w:val="20"/>
                <w:szCs w:val="20"/>
                <w:color w:val="auto"/>
              </w:rPr>
            </w:pPr>
            <w:r>
              <w:rPr>
                <w:rFonts w:ascii="Arial" w:cs="Arial" w:eastAsia="Arial" w:hAnsi="Arial"/>
                <w:sz w:val="14"/>
                <w:szCs w:val="14"/>
                <w:color w:val="auto"/>
                <w:w w:val="98"/>
              </w:rPr>
              <w:t>$25,000</w:t>
            </w:r>
          </w:p>
        </w:tc>
      </w:tr>
      <w:tr>
        <w:trPr>
          <w:trHeight w:val="29"/>
        </w:trPr>
        <w:tc>
          <w:tcPr>
            <w:tcW w:w="7200" w:type="dxa"/>
            <w:vAlign w:val="bottom"/>
            <w:tcBorders>
              <w:bottom w:val="single" w:sz="8" w:color="5673B8"/>
            </w:tcBorders>
          </w:tcPr>
          <w:p>
            <w:pPr>
              <w:spacing w:after="0"/>
              <w:rPr>
                <w:sz w:val="2"/>
                <w:szCs w:val="2"/>
                <w:color w:val="auto"/>
              </w:rPr>
            </w:pPr>
          </w:p>
        </w:tc>
        <w:tc>
          <w:tcPr>
            <w:tcW w:w="3400" w:type="dxa"/>
            <w:vAlign w:val="bottom"/>
            <w:tcBorders>
              <w:bottom w:val="single" w:sz="8" w:color="5673B8"/>
            </w:tcBorders>
          </w:tcPr>
          <w:p>
            <w:pPr>
              <w:spacing w:after="0"/>
              <w:rPr>
                <w:sz w:val="2"/>
                <w:szCs w:val="2"/>
                <w:color w:val="auto"/>
              </w:rPr>
            </w:pPr>
          </w:p>
        </w:tc>
        <w:tc>
          <w:tcPr>
            <w:tcW w:w="640" w:type="dxa"/>
            <w:vAlign w:val="bottom"/>
            <w:tcBorders>
              <w:bottom w:val="single" w:sz="8" w:color="5673B8"/>
            </w:tcBorders>
          </w:tcPr>
          <w:p>
            <w:pPr>
              <w:spacing w:after="0"/>
              <w:rPr>
                <w:sz w:val="2"/>
                <w:szCs w:val="2"/>
                <w:color w:val="auto"/>
              </w:rPr>
            </w:pPr>
          </w:p>
        </w:tc>
      </w:tr>
      <w:tr>
        <w:trPr>
          <w:trHeight w:val="217"/>
        </w:trPr>
        <w:tc>
          <w:tcPr>
            <w:tcW w:w="72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Nominating Committee Member</w:t>
            </w:r>
          </w:p>
        </w:tc>
        <w:tc>
          <w:tcPr>
            <w:tcW w:w="3400" w:type="dxa"/>
            <w:vAlign w:val="bottom"/>
            <w:tcBorders>
              <w:bottom w:val="single" w:sz="8" w:color="5673B8"/>
            </w:tcBorders>
          </w:tcPr>
          <w:p>
            <w:pPr>
              <w:spacing w:after="0"/>
              <w:rPr>
                <w:sz w:val="18"/>
                <w:szCs w:val="18"/>
                <w:color w:val="auto"/>
              </w:rPr>
            </w:pPr>
          </w:p>
        </w:tc>
        <w:tc>
          <w:tcPr>
            <w:tcW w:w="640" w:type="dxa"/>
            <w:vAlign w:val="bottom"/>
            <w:tcBorders>
              <w:bottom w:val="single" w:sz="8" w:color="5673B8"/>
            </w:tcBorders>
          </w:tcPr>
          <w:p>
            <w:pPr>
              <w:jc w:val="right"/>
              <w:ind w:right="46"/>
              <w:spacing w:after="0"/>
              <w:rPr>
                <w:sz w:val="20"/>
                <w:szCs w:val="20"/>
                <w:color w:val="auto"/>
              </w:rPr>
            </w:pPr>
            <w:r>
              <w:rPr>
                <w:rFonts w:ascii="Arial" w:cs="Arial" w:eastAsia="Arial" w:hAnsi="Arial"/>
                <w:sz w:val="14"/>
                <w:szCs w:val="14"/>
                <w:color w:val="auto"/>
                <w:w w:val="98"/>
              </w:rPr>
              <w:t>$10,000</w:t>
            </w:r>
          </w:p>
        </w:tc>
      </w:tr>
      <w:tr>
        <w:trPr>
          <w:trHeight w:val="223"/>
        </w:trPr>
        <w:tc>
          <w:tcPr>
            <w:tcW w:w="72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Nominating Committee Chair (in addition to committee membership retainer)</w:t>
            </w:r>
          </w:p>
        </w:tc>
        <w:tc>
          <w:tcPr>
            <w:tcW w:w="3400" w:type="dxa"/>
            <w:vAlign w:val="bottom"/>
            <w:tcBorders>
              <w:bottom w:val="single" w:sz="8" w:color="5673B8"/>
            </w:tcBorders>
          </w:tcPr>
          <w:p>
            <w:pPr>
              <w:spacing w:after="0"/>
              <w:rPr>
                <w:sz w:val="19"/>
                <w:szCs w:val="19"/>
                <w:color w:val="auto"/>
              </w:rPr>
            </w:pPr>
          </w:p>
        </w:tc>
        <w:tc>
          <w:tcPr>
            <w:tcW w:w="640" w:type="dxa"/>
            <w:vAlign w:val="bottom"/>
            <w:tcBorders>
              <w:bottom w:val="single" w:sz="8" w:color="5673B8"/>
            </w:tcBorders>
          </w:tcPr>
          <w:p>
            <w:pPr>
              <w:jc w:val="right"/>
              <w:ind w:right="46"/>
              <w:spacing w:after="0"/>
              <w:rPr>
                <w:sz w:val="20"/>
                <w:szCs w:val="20"/>
                <w:color w:val="auto"/>
              </w:rPr>
            </w:pPr>
            <w:r>
              <w:rPr>
                <w:rFonts w:ascii="Arial" w:cs="Arial" w:eastAsia="Arial" w:hAnsi="Arial"/>
                <w:sz w:val="14"/>
                <w:szCs w:val="14"/>
                <w:color w:val="auto"/>
                <w:w w:val="98"/>
              </w:rPr>
              <w:t>$20,000</w:t>
            </w:r>
          </w:p>
        </w:tc>
      </w:tr>
      <w:tr>
        <w:trPr>
          <w:trHeight w:val="741"/>
        </w:trPr>
        <w:tc>
          <w:tcPr>
            <w:tcW w:w="7200" w:type="dxa"/>
            <w:vAlign w:val="bottom"/>
          </w:tcPr>
          <w:p>
            <w:pPr>
              <w:spacing w:after="0"/>
              <w:rPr>
                <w:sz w:val="24"/>
                <w:szCs w:val="24"/>
                <w:color w:val="auto"/>
              </w:rPr>
            </w:pPr>
          </w:p>
        </w:tc>
        <w:tc>
          <w:tcPr>
            <w:tcW w:w="3400" w:type="dxa"/>
            <w:vAlign w:val="bottom"/>
          </w:tcPr>
          <w:p>
            <w:pPr>
              <w:ind w:left="1640"/>
              <w:spacing w:after="0"/>
              <w:rPr>
                <w:sz w:val="20"/>
                <w:szCs w:val="20"/>
                <w:color w:val="auto"/>
              </w:rPr>
            </w:pPr>
            <w:r>
              <w:rPr>
                <w:rFonts w:ascii="Arial" w:cs="Arial" w:eastAsia="Arial" w:hAnsi="Arial"/>
                <w:sz w:val="14"/>
                <w:szCs w:val="14"/>
                <w:color w:val="636466"/>
              </w:rPr>
              <w:t>2026 PROXY STATEMENT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852166"/>
              </w:rPr>
              <w:t>19</w:t>
            </w:r>
          </w:p>
        </w:tc>
      </w:tr>
      <w:tr>
        <w:trPr>
          <w:trHeight w:val="494"/>
        </w:trPr>
        <w:tc>
          <w:tcPr>
            <w:tcW w:w="72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-513715</wp:posOffset>
            </wp:positionV>
            <wp:extent cx="1242695" cy="2057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389"/>
        </w:trPr>
        <w:tc>
          <w:tcPr>
            <w:tcW w:w="2700" w:type="dxa"/>
            <w:vAlign w:val="bottom"/>
            <w:shd w:val="clear" w:color="auto" w:fill="852166"/>
          </w:tcPr>
          <w:p>
            <w:pPr>
              <w:ind w:left="120"/>
              <w:spacing w:after="0"/>
              <w:rPr>
                <w:sz w:val="20"/>
                <w:szCs w:val="20"/>
                <w:color w:val="auto"/>
              </w:rPr>
            </w:pPr>
            <w:r>
              <w:rPr>
                <w:rFonts w:ascii="Arial" w:cs="Arial" w:eastAsia="Arial" w:hAnsi="Arial"/>
                <w:sz w:val="14"/>
                <w:szCs w:val="14"/>
                <w:b w:val="1"/>
                <w:bCs w:val="1"/>
                <w:color w:val="FFFFFF"/>
              </w:rPr>
              <w:t>DIRECTOR COMPENSATION</w:t>
            </w:r>
          </w:p>
        </w:tc>
        <w:tc>
          <w:tcPr>
            <w:tcW w:w="416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83"/>
        </w:trPr>
        <w:tc>
          <w:tcPr>
            <w:tcW w:w="2700" w:type="dxa"/>
            <w:vAlign w:val="bottom"/>
            <w:shd w:val="clear" w:color="auto" w:fill="852166"/>
          </w:tcPr>
          <w:p>
            <w:pPr>
              <w:spacing w:after="0"/>
              <w:rPr>
                <w:sz w:val="7"/>
                <w:szCs w:val="7"/>
                <w:color w:val="auto"/>
              </w:rPr>
            </w:pPr>
          </w:p>
        </w:tc>
        <w:tc>
          <w:tcPr>
            <w:tcW w:w="4160" w:type="dxa"/>
            <w:vAlign w:val="bottom"/>
          </w:tcPr>
          <w:p>
            <w:pPr>
              <w:spacing w:after="0"/>
              <w:rPr>
                <w:sz w:val="7"/>
                <w:szCs w:val="7"/>
                <w:color w:val="auto"/>
              </w:rPr>
            </w:pPr>
          </w:p>
        </w:tc>
        <w:tc>
          <w:tcPr>
            <w:tcW w:w="4380" w:type="dxa"/>
            <w:vAlign w:val="bottom"/>
          </w:tcPr>
          <w:p>
            <w:pPr>
              <w:spacing w:after="0"/>
              <w:rPr>
                <w:sz w:val="7"/>
                <w:szCs w:val="7"/>
                <w:color w:val="auto"/>
              </w:rPr>
            </w:pPr>
          </w:p>
        </w:tc>
      </w:tr>
      <w:tr>
        <w:trPr>
          <w:trHeight w:val="499"/>
        </w:trPr>
        <w:tc>
          <w:tcPr>
            <w:tcW w:w="6860" w:type="dxa"/>
            <w:vAlign w:val="bottom"/>
            <w:gridSpan w:val="2"/>
          </w:tcPr>
          <w:p>
            <w:pPr>
              <w:spacing w:after="0"/>
              <w:rPr>
                <w:sz w:val="24"/>
                <w:szCs w:val="24"/>
                <w:color w:val="auto"/>
              </w:rPr>
            </w:pPr>
          </w:p>
        </w:tc>
        <w:tc>
          <w:tcPr>
            <w:tcW w:w="4380" w:type="dxa"/>
            <w:vAlign w:val="bottom"/>
          </w:tcPr>
          <w:p>
            <w:pPr>
              <w:spacing w:after="0"/>
              <w:rPr>
                <w:sz w:val="24"/>
                <w:szCs w:val="24"/>
                <w:color w:val="auto"/>
              </w:rPr>
            </w:pPr>
          </w:p>
        </w:tc>
      </w:tr>
      <w:tr>
        <w:trPr>
          <w:trHeight w:val="214"/>
        </w:trPr>
        <w:tc>
          <w:tcPr>
            <w:tcW w:w="6860" w:type="dxa"/>
            <w:vAlign w:val="bottom"/>
            <w:gridSpan w:val="2"/>
            <w:shd w:val="clear" w:color="auto" w:fill="001C71"/>
          </w:tcPr>
          <w:p>
            <w:pPr>
              <w:ind w:left="100"/>
              <w:spacing w:after="0"/>
              <w:rPr>
                <w:sz w:val="20"/>
                <w:szCs w:val="20"/>
                <w:color w:val="auto"/>
              </w:rPr>
            </w:pPr>
            <w:r>
              <w:rPr>
                <w:rFonts w:ascii="Arial" w:cs="Arial" w:eastAsia="Arial" w:hAnsi="Arial"/>
                <w:sz w:val="14"/>
                <w:szCs w:val="14"/>
                <w:b w:val="1"/>
                <w:bCs w:val="1"/>
                <w:color w:val="FFFFFF"/>
              </w:rPr>
              <w:t>Director Positions</w:t>
            </w:r>
          </w:p>
        </w:tc>
        <w:tc>
          <w:tcPr>
            <w:tcW w:w="438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Annual Cash Compensation</w:t>
            </w:r>
          </w:p>
        </w:tc>
      </w:tr>
      <w:tr>
        <w:trPr>
          <w:trHeight w:val="83"/>
        </w:trPr>
        <w:tc>
          <w:tcPr>
            <w:tcW w:w="6860" w:type="dxa"/>
            <w:vAlign w:val="bottom"/>
            <w:gridSpan w:val="2"/>
            <w:shd w:val="clear" w:color="auto" w:fill="001C71"/>
          </w:tcPr>
          <w:p>
            <w:pPr>
              <w:spacing w:after="0"/>
              <w:rPr>
                <w:sz w:val="7"/>
                <w:szCs w:val="7"/>
                <w:color w:val="auto"/>
              </w:rPr>
            </w:pPr>
          </w:p>
        </w:tc>
        <w:tc>
          <w:tcPr>
            <w:tcW w:w="4380" w:type="dxa"/>
            <w:vAlign w:val="bottom"/>
            <w:shd w:val="clear" w:color="auto" w:fill="001C71"/>
          </w:tcPr>
          <w:p>
            <w:pPr>
              <w:spacing w:after="0"/>
              <w:rPr>
                <w:sz w:val="7"/>
                <w:szCs w:val="7"/>
                <w:color w:val="auto"/>
              </w:rPr>
            </w:pPr>
          </w:p>
        </w:tc>
      </w:tr>
      <w:tr>
        <w:trPr>
          <w:trHeight w:val="223"/>
        </w:trPr>
        <w:tc>
          <w:tcPr>
            <w:tcW w:w="6860" w:type="dxa"/>
            <w:vAlign w:val="bottom"/>
            <w:tcBorders>
              <w:bottom w:val="single" w:sz="8" w:color="5673B8"/>
            </w:tcBorders>
            <w:gridSpan w:val="2"/>
          </w:tcPr>
          <w:p>
            <w:pPr>
              <w:ind w:left="100"/>
              <w:spacing w:after="0"/>
              <w:rPr>
                <w:sz w:val="20"/>
                <w:szCs w:val="20"/>
                <w:color w:val="auto"/>
              </w:rPr>
            </w:pPr>
            <w:r>
              <w:rPr>
                <w:rFonts w:ascii="Arial" w:cs="Arial" w:eastAsia="Arial" w:hAnsi="Arial"/>
                <w:sz w:val="14"/>
                <w:szCs w:val="14"/>
                <w:b w:val="1"/>
                <w:bCs w:val="1"/>
                <w:color w:val="852166"/>
              </w:rPr>
              <w:t>SMC Member</w:t>
            </w:r>
          </w:p>
        </w:tc>
        <w:tc>
          <w:tcPr>
            <w:tcW w:w="438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$12,500</w:t>
            </w:r>
          </w:p>
        </w:tc>
      </w:tr>
      <w:tr>
        <w:trPr>
          <w:trHeight w:val="214"/>
        </w:trPr>
        <w:tc>
          <w:tcPr>
            <w:tcW w:w="6860" w:type="dxa"/>
            <w:vAlign w:val="bottom"/>
            <w:gridSpan w:val="2"/>
          </w:tcPr>
          <w:p>
            <w:pPr>
              <w:ind w:left="100"/>
              <w:spacing w:after="0"/>
              <w:rPr>
                <w:sz w:val="20"/>
                <w:szCs w:val="20"/>
                <w:color w:val="auto"/>
              </w:rPr>
            </w:pPr>
            <w:r>
              <w:rPr>
                <w:rFonts w:ascii="Arial" w:cs="Arial" w:eastAsia="Arial" w:hAnsi="Arial"/>
                <w:sz w:val="14"/>
                <w:szCs w:val="14"/>
                <w:b w:val="1"/>
                <w:bCs w:val="1"/>
                <w:color w:val="852166"/>
              </w:rPr>
              <w:t>SMC Chair (in addition to committee membership retainer)</w:t>
            </w:r>
          </w:p>
        </w:tc>
        <w:tc>
          <w:tcPr>
            <w:tcW w:w="4380" w:type="dxa"/>
            <w:vAlign w:val="bottom"/>
          </w:tcPr>
          <w:p>
            <w:pPr>
              <w:jc w:val="right"/>
              <w:ind w:right="48"/>
              <w:spacing w:after="0"/>
              <w:rPr>
                <w:sz w:val="20"/>
                <w:szCs w:val="20"/>
                <w:color w:val="auto"/>
              </w:rPr>
            </w:pPr>
            <w:r>
              <w:rPr>
                <w:rFonts w:ascii="Arial" w:cs="Arial" w:eastAsia="Arial" w:hAnsi="Arial"/>
                <w:sz w:val="14"/>
                <w:szCs w:val="14"/>
                <w:color w:val="auto"/>
              </w:rPr>
              <w:t>$25,000</w:t>
            </w:r>
          </w:p>
        </w:tc>
      </w:tr>
      <w:tr>
        <w:trPr>
          <w:trHeight w:val="29"/>
        </w:trPr>
        <w:tc>
          <w:tcPr>
            <w:tcW w:w="6860" w:type="dxa"/>
            <w:vAlign w:val="bottom"/>
            <w:tcBorders>
              <w:bottom w:val="single" w:sz="8" w:color="5673B8"/>
            </w:tcBorders>
            <w:gridSpan w:val="2"/>
          </w:tcPr>
          <w:p>
            <w:pPr>
              <w:spacing w:after="0"/>
              <w:rPr>
                <w:sz w:val="2"/>
                <w:szCs w:val="2"/>
                <w:color w:val="auto"/>
              </w:rPr>
            </w:pPr>
          </w:p>
        </w:tc>
        <w:tc>
          <w:tcPr>
            <w:tcW w:w="4380" w:type="dxa"/>
            <w:vAlign w:val="bottom"/>
            <w:tcBorders>
              <w:bottom w:val="single" w:sz="8" w:color="5673B8"/>
            </w:tcBorders>
          </w:tcPr>
          <w:p>
            <w:pPr>
              <w:spacing w:after="0"/>
              <w:rPr>
                <w:sz w:val="2"/>
                <w:szCs w:val="2"/>
                <w:color w:val="auto"/>
              </w:rPr>
            </w:pPr>
          </w:p>
        </w:tc>
      </w:tr>
      <w:tr>
        <w:trPr>
          <w:trHeight w:val="216"/>
        </w:trPr>
        <w:tc>
          <w:tcPr>
            <w:tcW w:w="6860" w:type="dxa"/>
            <w:vAlign w:val="bottom"/>
            <w:tcBorders>
              <w:bottom w:val="single" w:sz="8" w:color="5673B8"/>
            </w:tcBorders>
            <w:gridSpan w:val="2"/>
          </w:tcPr>
          <w:p>
            <w:pPr>
              <w:ind w:left="100"/>
              <w:spacing w:after="0"/>
              <w:rPr>
                <w:sz w:val="20"/>
                <w:szCs w:val="20"/>
                <w:color w:val="auto"/>
              </w:rPr>
            </w:pPr>
            <w:r>
              <w:rPr>
                <w:rFonts w:ascii="Arial" w:cs="Arial" w:eastAsia="Arial" w:hAnsi="Arial"/>
                <w:sz w:val="14"/>
                <w:szCs w:val="14"/>
                <w:b w:val="1"/>
                <w:bCs w:val="1"/>
                <w:color w:val="852166"/>
              </w:rPr>
              <w:t>Transaction Committee Member</w:t>
            </w:r>
          </w:p>
        </w:tc>
        <w:tc>
          <w:tcPr>
            <w:tcW w:w="438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$2,500 per meeting, up to $10,000</w:t>
            </w:r>
          </w:p>
        </w:tc>
      </w:tr>
      <w:tr>
        <w:trPr>
          <w:trHeight w:val="223"/>
        </w:trPr>
        <w:tc>
          <w:tcPr>
            <w:tcW w:w="6860" w:type="dxa"/>
            <w:vAlign w:val="bottom"/>
            <w:tcBorders>
              <w:bottom w:val="single" w:sz="8" w:color="852166"/>
            </w:tcBorders>
            <w:gridSpan w:val="2"/>
          </w:tcPr>
          <w:p>
            <w:pPr>
              <w:ind w:left="100"/>
              <w:spacing w:after="0"/>
              <w:rPr>
                <w:sz w:val="20"/>
                <w:szCs w:val="20"/>
                <w:color w:val="auto"/>
              </w:rPr>
            </w:pPr>
            <w:r>
              <w:rPr>
                <w:rFonts w:ascii="Arial" w:cs="Arial" w:eastAsia="Arial" w:hAnsi="Arial"/>
                <w:sz w:val="14"/>
                <w:szCs w:val="14"/>
                <w:b w:val="1"/>
                <w:bCs w:val="1"/>
                <w:color w:val="852166"/>
              </w:rPr>
              <w:t>Transaction Committee Chair (in addition to committee membership retainer)</w:t>
            </w:r>
          </w:p>
        </w:tc>
        <w:tc>
          <w:tcPr>
            <w:tcW w:w="438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color w:val="auto"/>
              </w:rPr>
              <w:t>$5,000 per meeting, up to $20,000 per year</w:t>
            </w:r>
          </w:p>
        </w:tc>
      </w:tr>
    </w:tbl>
    <w:p>
      <w:pPr>
        <w:spacing w:after="0" w:line="29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additional cash compensation described above for the non-employee director’s service on our committees other than our Transaction Committee is paid in four equal quarterly installments, earned upon the completion of service each calendar quarter. The additional cash compensation for the non-employee director’s service on our Transaction Committee is paid in four quarterly installments, earned upon the completion of services each calendar quarter.</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Equity Awards</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Each individual who is a non-employee director on the date of our AGM and continuing as a non-employee director following our AGM will receive an automatic annual grant in the form of an RSU having a target grant date value of $400,000, or an automatic continuing annual grant. Each person who is elected or appointed to be a non-employee director for the first time other than at our AGM and is entitled to receive an automatic annual grant in the form of an RSU having a target grant date value of $400,000, prorated based on the number of days from the date of election or appointment until the date of the first anniversary of the prior AGM, or an automatic prorated annual grant. The actual share amounts underlying each annual grant are determined by dividing the target grant date value by our Company’s 30-day average share price ending on the grant date.</w:t>
      </w:r>
    </w:p>
    <w:p>
      <w:pPr>
        <w:spacing w:after="0" w:line="12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grant date of automatic continuing annual grants is the date of our AGM and the grant date of automatic prorated annual grants is the second trading day following the filing date of our next quarterly or annual report filed under the Exchange Act that occurs after the date the director first joined our Board. Each automatic continuing annual grant vests in full on the first anniversary of our AGM in the year an award is granted and each automatic prorated annual grant vests in full on the first anniversary of our AGM held prior to the director’s initial election or appointment, subject in each case to the non-employee director’s continuous service through such dates. However, if a non-employee director does not stand for reelection at our AGM in the year in which his or her term expires or otherwise resigns effective at our AGM and, in either case, the non-employee director’s continuous service terminates at such meeting, then effective as of the date of such meeting, any unvested portion of the annual grant will become vested in full. The other terms and conditions applicable to equity awards made to our non-employee directors are included below under the heading “</w:t>
      </w:r>
      <w:r>
        <w:rPr>
          <w:rFonts w:ascii="Arial" w:cs="Arial" w:eastAsia="Arial" w:hAnsi="Arial"/>
          <w:sz w:val="16"/>
          <w:szCs w:val="16"/>
          <w:i w:val="1"/>
          <w:iCs w:val="1"/>
          <w:color w:val="auto"/>
        </w:rPr>
        <w:t>Equity Compensation Plans</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Travel and Other Reasonable Expenses</w:t>
      </w:r>
    </w:p>
    <w:p>
      <w:pPr>
        <w:spacing w:after="0" w:line="185"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In addition, our non-employee directors are reimbursed for travel and other reasonable expenses incurred in attending our Board or committee meetings, as are our employees who serve as directors. If any reimbursement payment is subject to tax imposed by the Irish Revenue Commissioners, each non-employee director is also entitled to a tax equalization payment in order to allow them to retain the full reimbursement payment. There were no such tax equalization payments made to any of our non-employee directors with respect to any reimbursement payments in 2025.</w:t>
      </w:r>
    </w:p>
    <w:p>
      <w:pPr>
        <w:spacing w:after="0" w:line="157" w:lineRule="exact"/>
        <w:rPr>
          <w:sz w:val="20"/>
          <w:szCs w:val="20"/>
          <w:color w:val="auto"/>
        </w:rPr>
      </w:pPr>
    </w:p>
    <w:p>
      <w:pPr>
        <w:spacing w:after="0"/>
        <w:rPr>
          <w:sz w:val="20"/>
          <w:szCs w:val="20"/>
          <w:color w:val="auto"/>
        </w:rPr>
      </w:pPr>
      <w:r>
        <w:rPr>
          <w:rFonts w:ascii="Arial" w:cs="Arial" w:eastAsia="Arial" w:hAnsi="Arial"/>
          <w:sz w:val="29"/>
          <w:szCs w:val="29"/>
          <w:color w:val="852166"/>
        </w:rPr>
        <w:t>Directors Continuing Education</w:t>
      </w:r>
    </w:p>
    <w:p>
      <w:pPr>
        <w:spacing w:after="0" w:line="184"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In furtherance of our ongoing commitment to the continuing education of our directors, our Nominating Committee adopted a policy for the reimbursement of director continuing education. Under this policy, we will pay or reimburse each director for enrollment fees and reasonable expenses incurred in connection with attending and participating each year in one director continuing education program and in one healthcare industry continuing education program, each sponsored by an outside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180340</wp:posOffset>
            </wp:positionV>
            <wp:extent cx="1242695" cy="2057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9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20</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8" w:name="page29"/>
    <w:bookmarkEnd w:id="28"/>
    <w:p>
      <w:pPr>
        <w:ind w:left="916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5634355</wp:posOffset>
            </wp:positionH>
            <wp:positionV relativeFrom="page">
              <wp:posOffset>208915</wp:posOffset>
            </wp:positionV>
            <wp:extent cx="1705610" cy="3003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705610" cy="300355"/>
                    </a:xfrm>
                    <a:prstGeom prst="rect">
                      <a:avLst/>
                    </a:prstGeom>
                    <a:noFill/>
                  </pic:spPr>
                </pic:pic>
              </a:graphicData>
            </a:graphic>
          </wp:anchor>
        </w:drawing>
        <w:t>DIRECTOR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Share Ownership Guidelines for Directors</w:t>
      </w:r>
    </w:p>
    <w:p>
      <w:pPr>
        <w:spacing w:after="0" w:line="19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maintain share ownership guidelines for our non-employee directors which require each non-employee director to own a number of our Company’s ordinary shares with a value equal to five times his or her annual cash retainer within five years of first becoming subject to the guidelines. As of April 1, 2026, each non-employee director was in compliance with his or her share ownership requirement under the applicable guidelines, except for Dr. Love, who joined our Board in December 2025, and, accordingly, must achieve the guideline by the last day of the fiscal year in which his fifth year anniversary occurs.</w:t>
      </w:r>
    </w:p>
    <w:p>
      <w:pPr>
        <w:spacing w:after="0" w:line="162" w:lineRule="exact"/>
        <w:rPr>
          <w:sz w:val="20"/>
          <w:szCs w:val="20"/>
          <w:color w:val="auto"/>
        </w:rPr>
      </w:pPr>
    </w:p>
    <w:p>
      <w:pPr>
        <w:spacing w:after="0"/>
        <w:rPr>
          <w:sz w:val="20"/>
          <w:szCs w:val="20"/>
          <w:color w:val="auto"/>
        </w:rPr>
      </w:pPr>
      <w:r>
        <w:rPr>
          <w:rFonts w:ascii="Arial" w:cs="Arial" w:eastAsia="Arial" w:hAnsi="Arial"/>
          <w:sz w:val="29"/>
          <w:szCs w:val="29"/>
          <w:color w:val="852166"/>
        </w:rPr>
        <w:t>Equity Compensation Plans</w:t>
      </w:r>
    </w:p>
    <w:p>
      <w:pPr>
        <w:spacing w:after="0" w:line="19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2007 Directors Plan, which was initially adopted by the Jazz Pharmaceuticals, Inc. board of directors and approved by the Jazz Pharmaceuticals, Inc. stockholders in connection with its initial public offering, was continued and assumed by us upon the consummation of the Azur Merger. Equity awards under our Director Compensation Policy described above are granted under the 2007 Directors Plan.</w:t>
      </w:r>
    </w:p>
    <w:p>
      <w:pPr>
        <w:spacing w:after="0" w:line="11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With respect to options granted under the 2007 Directors Plan, if a non-employee director’s service relationship with us or any of our affiliates, whether as a non-employee director or subsequently as our employee, director or consultant or that of any of our affiliates, ceases for any reason other than disability or death, or after any 12-month period following a CIC, the optionee may exercise any vested options for a period of three months following the cessation of service. If such optionee’s service relationship with us, or any of our affiliates, ceases due to disability or death (or an optionee dies within a certain period following cessation of service), the optionee or a beneficiary may exercise the option for a period of 12 months in the event of disability, and 18 months in the event of death. With respect to options granted under the 2007 Directors Plan, if such optionee’s service terminates within 12 months following a specified CIC transaction, the optionee may exercise any vested portion of the option for a period of 12 months following the effective date of such a transaction. The option term may be extended in the event that exercise of the option following termination of service is prohibited by applicable securities laws. In no event, however, may an option be exercised beyond the expiration of its term.</w:t>
      </w:r>
    </w:p>
    <w:p>
      <w:pPr>
        <w:spacing w:after="0" w:line="13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With respect to RSU awards granted under the 2007 Directors Plan, if a non-employee director’s service relationship with us or any of our affiliates, whether as a non-employee director or subsequently as our employee, director or consultant or that of any of our affiliates, ceases for any reason, any RSU awards that were unvested as of the date of such termination generally will be forfeited. RSU awards granted pursuant to our Director Compensation Policy are also subject to potential acceleration, as described above under the heading, “</w:t>
      </w:r>
      <w:r>
        <w:rPr>
          <w:rFonts w:ascii="Arial" w:cs="Arial" w:eastAsia="Arial" w:hAnsi="Arial"/>
          <w:sz w:val="16"/>
          <w:szCs w:val="16"/>
          <w:i w:val="1"/>
          <w:iCs w:val="1"/>
          <w:color w:val="auto"/>
        </w:rPr>
        <w:t>Director Compensation Policy—Equity Awards</w:t>
      </w:r>
      <w:r>
        <w:rPr>
          <w:rFonts w:ascii="Arial" w:cs="Arial" w:eastAsia="Arial" w:hAnsi="Arial"/>
          <w:sz w:val="16"/>
          <w:szCs w:val="16"/>
          <w:color w:val="auto"/>
        </w:rPr>
        <w:t>.”</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the event of certain significant corporate transactions (which generally have a meaning similar to “corporate transaction” under the 2011 Plan), all outstanding awards under the 2007 Directors Plan may be assumed, continued or substituted for by any surviving or acquiring entity (or its parent company). If the surviving or acquiring entity (or its parent company) elects not to assume, continue or substitute for such awards, then (a) with respect to any such awards that are held by participants then performing services for us or our affiliates, the vesting and exercisability of such awards will be accelerated in full and such awards will be terminated if not exercised (if applicable) prior to the effective date of the corporate transaction and (b) all other outstanding awards will terminate if not exercised prior to the effective date of the corporate transaction. Our Board may also provide that the holder of an outstanding award not assumed in the corporate transaction will surrender such award in exchange for a payment equal to the excess of (i) the value of the property that the holder would have received upon exercise of the award, over (ii) the exercise price otherwise payable in connection with the exercise. In addition, the vesting and exercisability of awards under the 2007 Directors Plan held by non-employee directors who are either required to resign their position as a condition of a specified CIC transaction (which generally has a similar meaning as a “CIC” under the 2011 Plan) or are removed from their position in connection with such a CIC will be accelerated in full.</w:t>
      </w:r>
    </w:p>
    <w:p>
      <w:pPr>
        <w:spacing w:after="0" w:line="171" w:lineRule="exact"/>
        <w:rPr>
          <w:sz w:val="20"/>
          <w:szCs w:val="20"/>
          <w:color w:val="auto"/>
        </w:rPr>
      </w:pPr>
    </w:p>
    <w:p>
      <w:pPr>
        <w:spacing w:after="0"/>
        <w:rPr>
          <w:sz w:val="20"/>
          <w:szCs w:val="20"/>
          <w:color w:val="auto"/>
        </w:rPr>
      </w:pPr>
      <w:r>
        <w:rPr>
          <w:rFonts w:ascii="Arial" w:cs="Arial" w:eastAsia="Arial" w:hAnsi="Arial"/>
          <w:sz w:val="29"/>
          <w:szCs w:val="29"/>
          <w:color w:val="852166"/>
        </w:rPr>
        <w:t>2025 Equity Grants</w:t>
      </w:r>
    </w:p>
    <w:p>
      <w:pPr>
        <w:spacing w:after="0" w:line="184"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In accordance with our Director Compensation Policy, we made automatic annual grants to each of our non-employee directors as a result of their continuing on our Board through our 2025 AGM, which grants consisted of an RSU award covering 3,507 ordinary shares. All RSUs granted to non-employee directors during 2025 were granted under the 2007 Directors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177800</wp:posOffset>
            </wp:positionV>
            <wp:extent cx="1242695" cy="2057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21</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9" w:name="page30"/>
    <w:bookmarkEnd w:id="29"/>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05610" cy="3003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05610" cy="300355"/>
                    </a:xfrm>
                    <a:prstGeom prst="rect">
                      <a:avLst/>
                    </a:prstGeom>
                    <a:noFill/>
                  </pic:spPr>
                </pic:pic>
              </a:graphicData>
            </a:graphic>
          </wp:anchor>
        </w:drawing>
        <w:t>DIRECTOR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Director Compensation Table</w:t>
      </w:r>
    </w:p>
    <w:p>
      <w:pPr>
        <w:spacing w:after="0" w:line="198"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The following table sets forth certain information with respect to the compensation of all of our non-employee directors for the fiscal year ended December 31, 2025.</w:t>
      </w:r>
    </w:p>
    <w:p>
      <w:pPr>
        <w:spacing w:after="0" w:line="102"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Ms. Gala, our President, CEO and Director, and Mr. Cozadd, our former CEO and current Chairperson, are not listed in the following table because they were NEOs in 2025. Ms. Gala’s and Mr. Cozadd’s compensation is described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Mr. Cozadd’s compensation for his service as a non-employee director in 2025 is included in the Summary Compensation Table. Ms. Gala received no additional compensation for serving on our Board in 2025.</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Director Compensation for Fiscal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00" w:type="dxa"/>
            <w:vAlign w:val="bottom"/>
            <w:shd w:val="clear" w:color="auto" w:fill="001C71"/>
          </w:tcPr>
          <w:p>
            <w:pPr>
              <w:spacing w:after="0"/>
              <w:rPr>
                <w:sz w:val="16"/>
                <w:szCs w:val="16"/>
                <w:color w:val="auto"/>
              </w:rPr>
            </w:pPr>
          </w:p>
        </w:tc>
        <w:tc>
          <w:tcPr>
            <w:tcW w:w="4340" w:type="dxa"/>
            <w:vAlign w:val="bottom"/>
            <w:shd w:val="clear" w:color="auto" w:fill="001C71"/>
          </w:tcPr>
          <w:p>
            <w:pPr>
              <w:jc w:val="right"/>
              <w:ind w:right="350"/>
              <w:spacing w:after="0"/>
              <w:rPr>
                <w:sz w:val="20"/>
                <w:szCs w:val="20"/>
                <w:color w:val="auto"/>
              </w:rPr>
            </w:pPr>
            <w:r>
              <w:rPr>
                <w:rFonts w:ascii="Arial" w:cs="Arial" w:eastAsia="Arial" w:hAnsi="Arial"/>
                <w:sz w:val="14"/>
                <w:szCs w:val="14"/>
                <w:b w:val="1"/>
                <w:bCs w:val="1"/>
                <w:color w:val="FFFFFF"/>
              </w:rPr>
              <w:t>Fees Earned or Paid in</w:t>
            </w:r>
          </w:p>
        </w:tc>
        <w:tc>
          <w:tcPr>
            <w:tcW w:w="1740" w:type="dxa"/>
            <w:vAlign w:val="bottom"/>
            <w:vMerge w:val="restart"/>
            <w:shd w:val="clear" w:color="auto" w:fill="001C71"/>
          </w:tcPr>
          <w:p>
            <w:pPr>
              <w:jc w:val="right"/>
              <w:ind w:right="290"/>
              <w:spacing w:after="0"/>
              <w:rPr>
                <w:sz w:val="20"/>
                <w:szCs w:val="20"/>
                <w:color w:val="auto"/>
              </w:rPr>
            </w:pPr>
            <w:r>
              <w:rPr>
                <w:rFonts w:ascii="Arial" w:cs="Arial" w:eastAsia="Arial" w:hAnsi="Arial"/>
                <w:sz w:val="14"/>
                <w:szCs w:val="14"/>
                <w:b w:val="1"/>
                <w:bCs w:val="1"/>
                <w:color w:val="FFFFFF"/>
              </w:rPr>
              <w:t>Stock Awards</w:t>
            </w:r>
          </w:p>
        </w:tc>
        <w:tc>
          <w:tcPr>
            <w:tcW w:w="1060" w:type="dxa"/>
            <w:vAlign w:val="bottom"/>
            <w:vMerge w:val="restart"/>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0"/>
        </w:trPr>
        <w:tc>
          <w:tcPr>
            <w:tcW w:w="4100" w:type="dxa"/>
            <w:vAlign w:val="bottom"/>
            <w:shd w:val="clear" w:color="auto" w:fill="001C71"/>
          </w:tcPr>
          <w:p>
            <w:pPr>
              <w:spacing w:after="0"/>
              <w:rPr>
                <w:sz w:val="13"/>
                <w:szCs w:val="13"/>
                <w:color w:val="auto"/>
              </w:rPr>
            </w:pPr>
          </w:p>
        </w:tc>
        <w:tc>
          <w:tcPr>
            <w:tcW w:w="4340" w:type="dxa"/>
            <w:vAlign w:val="bottom"/>
            <w:shd w:val="clear" w:color="auto" w:fill="001C71"/>
          </w:tcPr>
          <w:p>
            <w:pPr>
              <w:jc w:val="right"/>
              <w:ind w:right="350"/>
              <w:spacing w:after="0" w:line="159" w:lineRule="exact"/>
              <w:rPr>
                <w:sz w:val="20"/>
                <w:szCs w:val="20"/>
                <w:color w:val="auto"/>
              </w:rPr>
            </w:pPr>
            <w:r>
              <w:rPr>
                <w:rFonts w:ascii="Arial" w:cs="Arial" w:eastAsia="Arial" w:hAnsi="Arial"/>
                <w:sz w:val="14"/>
                <w:szCs w:val="14"/>
                <w:b w:val="1"/>
                <w:bCs w:val="1"/>
                <w:color w:val="FFFFFF"/>
              </w:rPr>
              <w:t>Cash</w:t>
            </w:r>
          </w:p>
        </w:tc>
        <w:tc>
          <w:tcPr>
            <w:tcW w:w="1740" w:type="dxa"/>
            <w:vAlign w:val="bottom"/>
            <w:vMerge w:val="continue"/>
            <w:shd w:val="clear" w:color="auto" w:fill="001C71"/>
          </w:tcPr>
          <w:p>
            <w:pPr>
              <w:spacing w:after="0"/>
              <w:rPr>
                <w:sz w:val="13"/>
                <w:szCs w:val="13"/>
                <w:color w:val="auto"/>
              </w:rPr>
            </w:pPr>
          </w:p>
        </w:tc>
        <w:tc>
          <w:tcPr>
            <w:tcW w:w="1060" w:type="dxa"/>
            <w:vAlign w:val="bottom"/>
            <w:vMerge w:val="continue"/>
            <w:shd w:val="clear" w:color="auto" w:fill="001C71"/>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4100" w:type="dxa"/>
            <w:vAlign w:val="bottom"/>
            <w:tcBorders>
              <w:bottom w:val="single" w:sz="8" w:color="001C71"/>
            </w:tcBorders>
            <w:shd w:val="clear" w:color="auto" w:fill="001C71"/>
          </w:tcPr>
          <w:p>
            <w:pPr>
              <w:ind w:left="100"/>
              <w:spacing w:after="0"/>
              <w:rPr>
                <w:sz w:val="20"/>
                <w:szCs w:val="20"/>
                <w:color w:val="auto"/>
              </w:rPr>
            </w:pPr>
            <w:r>
              <w:rPr>
                <w:rFonts w:ascii="Arial" w:cs="Arial" w:eastAsia="Arial" w:hAnsi="Arial"/>
                <w:sz w:val="14"/>
                <w:szCs w:val="14"/>
                <w:b w:val="1"/>
                <w:bCs w:val="1"/>
                <w:color w:val="FFFFFF"/>
              </w:rPr>
              <w:t>Name</w:t>
            </w:r>
          </w:p>
        </w:tc>
        <w:tc>
          <w:tcPr>
            <w:tcW w:w="4340" w:type="dxa"/>
            <w:vAlign w:val="bottom"/>
            <w:tcBorders>
              <w:bottom w:val="single" w:sz="8" w:color="001C71"/>
            </w:tcBorders>
            <w:shd w:val="clear" w:color="auto" w:fill="001C71"/>
          </w:tcPr>
          <w:p>
            <w:pPr>
              <w:jc w:val="right"/>
              <w:ind w:right="350"/>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(1)</w:t>
            </w:r>
          </w:p>
        </w:tc>
        <w:tc>
          <w:tcPr>
            <w:tcW w:w="1740" w:type="dxa"/>
            <w:vAlign w:val="bottom"/>
            <w:tcBorders>
              <w:bottom w:val="single" w:sz="8" w:color="001C71"/>
            </w:tcBorders>
            <w:shd w:val="clear" w:color="auto" w:fill="001C71"/>
          </w:tcPr>
          <w:p>
            <w:pPr>
              <w:jc w:val="right"/>
              <w:ind w:right="290"/>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(2)(3)</w:t>
            </w:r>
          </w:p>
        </w:tc>
        <w:tc>
          <w:tcPr>
            <w:tcW w:w="1060" w:type="dxa"/>
            <w:vAlign w:val="bottom"/>
            <w:tcBorders>
              <w:bottom w:val="single" w:sz="8" w:color="001C71"/>
            </w:tcBorders>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Jennifer E. Cook</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127,500</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520,564</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Patrick G. Enright</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102,500</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495,564</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Laura J. Hamill</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87,500</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480,564</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Patrick Kennedy</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110,000</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503,064</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Ted W. Love M.D.</w:t>
            </w:r>
            <w:r>
              <w:rPr>
                <w:rFonts w:ascii="Arial" w:cs="Arial" w:eastAsia="Arial" w:hAnsi="Arial"/>
                <w:sz w:val="18"/>
                <w:szCs w:val="18"/>
                <w:b w:val="1"/>
                <w:bCs w:val="1"/>
                <w:color w:val="852166"/>
                <w:vertAlign w:val="superscript"/>
              </w:rPr>
              <w:t>(4)</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8,542</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8,542</w:t>
            </w:r>
          </w:p>
        </w:tc>
        <w:tc>
          <w:tcPr>
            <w:tcW w:w="0" w:type="dxa"/>
            <w:vAlign w:val="bottom"/>
          </w:tcPr>
          <w:p>
            <w:pPr>
              <w:spacing w:after="0"/>
              <w:rPr>
                <w:sz w:val="1"/>
                <w:szCs w:val="1"/>
                <w:color w:val="auto"/>
              </w:rPr>
            </w:pPr>
          </w:p>
        </w:tc>
      </w:tr>
      <w:tr>
        <w:trPr>
          <w:trHeight w:val="217"/>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Heather Ann McSharry</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135,000</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528,064</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Seamus C. Mulligan</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107,500</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500,564</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Kenneth W. O’Keefe</w:t>
            </w:r>
            <w:r>
              <w:rPr>
                <w:rFonts w:ascii="Arial" w:cs="Arial" w:eastAsia="Arial" w:hAnsi="Arial"/>
                <w:sz w:val="18"/>
                <w:szCs w:val="18"/>
                <w:b w:val="1"/>
                <w:bCs w:val="1"/>
                <w:color w:val="852166"/>
                <w:vertAlign w:val="superscript"/>
              </w:rPr>
              <w:t>(5)</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82,846</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475,910</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Anne O’Riordan</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102,500</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495,564</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Norbert G. Riedel, Ph.D.</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125,000</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518,064</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Mark D. Smith, M.D.</w:t>
            </w:r>
          </w:p>
        </w:tc>
        <w:tc>
          <w:tcPr>
            <w:tcW w:w="4340" w:type="dxa"/>
            <w:vAlign w:val="bottom"/>
            <w:tcBorders>
              <w:bottom w:val="single" w:sz="8" w:color="5673B8"/>
            </w:tcBorders>
          </w:tcPr>
          <w:p>
            <w:pPr>
              <w:jc w:val="right"/>
              <w:ind w:right="390"/>
              <w:spacing w:after="0"/>
              <w:rPr>
                <w:sz w:val="20"/>
                <w:szCs w:val="20"/>
                <w:color w:val="auto"/>
              </w:rPr>
            </w:pPr>
            <w:r>
              <w:rPr>
                <w:rFonts w:ascii="Arial" w:cs="Arial" w:eastAsia="Arial" w:hAnsi="Arial"/>
                <w:sz w:val="14"/>
                <w:szCs w:val="14"/>
                <w:color w:val="auto"/>
              </w:rPr>
              <w:t>97,500</w:t>
            </w:r>
          </w:p>
        </w:tc>
        <w:tc>
          <w:tcPr>
            <w:tcW w:w="1740" w:type="dxa"/>
            <w:vAlign w:val="bottom"/>
            <w:tcBorders>
              <w:bottom w:val="single" w:sz="8" w:color="5673B8"/>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490,564</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852166"/>
              </w:rPr>
              <w:t>Rick E Winningham</w:t>
            </w:r>
          </w:p>
        </w:tc>
        <w:tc>
          <w:tcPr>
            <w:tcW w:w="4340" w:type="dxa"/>
            <w:vAlign w:val="bottom"/>
            <w:tcBorders>
              <w:bottom w:val="single" w:sz="8" w:color="852166"/>
            </w:tcBorders>
          </w:tcPr>
          <w:p>
            <w:pPr>
              <w:jc w:val="right"/>
              <w:ind w:right="390"/>
              <w:spacing w:after="0"/>
              <w:rPr>
                <w:sz w:val="20"/>
                <w:szCs w:val="20"/>
                <w:color w:val="auto"/>
              </w:rPr>
            </w:pPr>
            <w:r>
              <w:rPr>
                <w:rFonts w:ascii="Arial" w:cs="Arial" w:eastAsia="Arial" w:hAnsi="Arial"/>
                <w:sz w:val="14"/>
                <w:szCs w:val="14"/>
                <w:color w:val="auto"/>
              </w:rPr>
              <w:t>162,500</w:t>
            </w:r>
          </w:p>
        </w:tc>
        <w:tc>
          <w:tcPr>
            <w:tcW w:w="1740" w:type="dxa"/>
            <w:vAlign w:val="bottom"/>
            <w:tcBorders>
              <w:bottom w:val="single" w:sz="8" w:color="852166"/>
            </w:tcBorders>
          </w:tcPr>
          <w:p>
            <w:pPr>
              <w:jc w:val="right"/>
              <w:ind w:right="350"/>
              <w:spacing w:after="0"/>
              <w:rPr>
                <w:sz w:val="20"/>
                <w:szCs w:val="20"/>
                <w:color w:val="auto"/>
              </w:rPr>
            </w:pPr>
            <w:r>
              <w:rPr>
                <w:rFonts w:ascii="Arial" w:cs="Arial" w:eastAsia="Arial" w:hAnsi="Arial"/>
                <w:sz w:val="14"/>
                <w:szCs w:val="14"/>
                <w:color w:val="auto"/>
              </w:rPr>
              <w:t>393,064</w:t>
            </w:r>
          </w:p>
        </w:tc>
        <w:tc>
          <w:tcPr>
            <w:tcW w:w="1060" w:type="dxa"/>
            <w:vAlign w:val="bottom"/>
            <w:tcBorders>
              <w:bottom w:val="single" w:sz="8" w:color="852166"/>
            </w:tcBorders>
          </w:tcPr>
          <w:p>
            <w:pPr>
              <w:jc w:val="right"/>
              <w:ind w:right="88"/>
              <w:spacing w:after="0"/>
              <w:rPr>
                <w:sz w:val="20"/>
                <w:szCs w:val="20"/>
                <w:color w:val="auto"/>
              </w:rPr>
            </w:pPr>
            <w:r>
              <w:rPr>
                <w:rFonts w:ascii="Arial" w:cs="Arial" w:eastAsia="Arial" w:hAnsi="Arial"/>
                <w:sz w:val="14"/>
                <w:szCs w:val="14"/>
                <w:color w:val="auto"/>
              </w:rPr>
              <w:t>555,564</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Amounts may not total due to rounding.</w:t>
      </w:r>
    </w:p>
    <w:p>
      <w:pPr>
        <w:spacing w:after="0" w:line="67" w:lineRule="exact"/>
        <w:rPr>
          <w:sz w:val="20"/>
          <w:szCs w:val="20"/>
          <w:color w:val="auto"/>
        </w:rPr>
      </w:pPr>
    </w:p>
    <w:p>
      <w:pPr>
        <w:ind w:left="340" w:right="80" w:hanging="332"/>
        <w:spacing w:after="0" w:line="266"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dollar amounts in this column represent each non-employee director’s actual cash compensation earned for board services in 2025, which is equal to the aggregate of $75,000 per year for service as a member of the board (prorated for any partial year of service) plus supplemental amounts for his or her service on one or more board committees, and for Mr. Winningham, for service as LID. Each non-employee director’s cash compensation was earned and payable in four quarterly installments (except for any such cash paid for service on the transaction committee), as further described above. Fees paid to each of Ms. McSharry, Ms. O’Riordan, Mr. Mulligan and Mr. Kennedy were paid in European Currency (Euros). The conversion to U.S. dollars was calculated based on the average exchange rate for each quarter as reported by the OANDA Corporation.</w:t>
      </w:r>
    </w:p>
    <w:p>
      <w:pPr>
        <w:spacing w:after="0" w:line="49" w:lineRule="exact"/>
        <w:rPr>
          <w:rFonts w:ascii="Arial" w:cs="Arial" w:eastAsia="Arial" w:hAnsi="Arial"/>
          <w:sz w:val="14"/>
          <w:szCs w:val="14"/>
          <w:color w:val="auto"/>
        </w:rPr>
      </w:pPr>
    </w:p>
    <w:p>
      <w:pPr>
        <w:ind w:left="340" w:right="180" w:hanging="332"/>
        <w:spacing w:after="0" w:line="283"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dollar amounts in this column reflect the grant date fair value of RSU awards made on August 7, 2025, computed in accordance with FASB ASC 718. The grant date fair value of each RSU award is measured based on the closing price of our ordinary shares on the date of grant. These amounts do not necessarily correspond to the actual value recognized or that may be recognized by the non-employee directors.</w:t>
      </w:r>
    </w:p>
    <w:p>
      <w:pPr>
        <w:spacing w:after="0" w:line="37" w:lineRule="exact"/>
        <w:rPr>
          <w:rFonts w:ascii="Arial" w:cs="Arial" w:eastAsia="Arial" w:hAnsi="Arial"/>
          <w:sz w:val="14"/>
          <w:szCs w:val="14"/>
          <w:color w:val="auto"/>
        </w:rPr>
      </w:pPr>
    </w:p>
    <w:p>
      <w:pPr>
        <w:ind w:left="340" w:right="240" w:hanging="332"/>
        <w:spacing w:after="0" w:line="269"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aggregate number of shares subject to outstanding stock options and RSU awards held by the non-employee directors listed in the table above as of December 31, 2025 was as follows: 15,305 stock options and 3,507 RSUs for Mr. Enright; 22,135 stock options for Mr. O'Keefe; 22,135 stock options and 3,507 RSUs for each of Mr. Mulligan and Mr. Winningham, and Dr. Riedel; 6,475 stock options and 3,507 RSUs for each of Ms. Cook and Dr. Smith; 18,670 stock options and 3,507 RSUs for Ms. O'Riordan; 18,720 stock options and 3,507 RSUs for Ms. McSharry; and 3,507 RSUs for each of Ms. Hamill and Mr. Kennedy.</w:t>
      </w:r>
    </w:p>
    <w:p>
      <w:pPr>
        <w:spacing w:after="0" w:line="47"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Dr. Love was elected to our Board effective as of December 1, 2025.</w:t>
      </w:r>
    </w:p>
    <w:p>
      <w:pPr>
        <w:spacing w:after="0" w:line="95" w:lineRule="exact"/>
        <w:rPr>
          <w:rFonts w:ascii="Arial" w:cs="Arial" w:eastAsia="Arial" w:hAnsi="Arial"/>
          <w:sz w:val="14"/>
          <w:szCs w:val="14"/>
          <w:color w:val="auto"/>
        </w:rPr>
      </w:pPr>
    </w:p>
    <w:p>
      <w:pPr>
        <w:ind w:left="340" w:right="20" w:hanging="332"/>
        <w:spacing w:after="0" w:line="273"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Mr. O’Keefe retired from our Board effective as of December 1, 2025. In connection with his retirement and in recognition of his service, our Board approved an amendment to his RSU award originally granted on August 7, 2025 to allow a pro-rated portion of such award to vest on December 1, 2025; the remainder of the award was cancelled for no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325755</wp:posOffset>
            </wp:positionV>
            <wp:extent cx="1242695" cy="2057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22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108839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54"/>
          <w:szCs w:val="54"/>
          <w:b w:val="1"/>
          <w:bCs w:val="1"/>
          <w:color w:val="001C71"/>
        </w:rPr>
        <w:t>Corporate Governance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color w:val="852166"/>
        </w:rPr>
        <w:t>Overview</w:t>
      </w:r>
    </w:p>
    <w:p>
      <w:pPr>
        <w:spacing w:after="0" w:line="184" w:lineRule="exact"/>
        <w:rPr>
          <w:sz w:val="20"/>
          <w:szCs w:val="20"/>
          <w:color w:val="auto"/>
        </w:rPr>
      </w:pPr>
    </w:p>
    <w:p>
      <w:pPr>
        <w:jc w:val="both"/>
        <w:ind w:right="40"/>
        <w:spacing w:after="0" w:line="295" w:lineRule="auto"/>
        <w:rPr>
          <w:sz w:val="20"/>
          <w:szCs w:val="20"/>
          <w:color w:val="auto"/>
        </w:rPr>
      </w:pPr>
      <w:r>
        <w:rPr>
          <w:rFonts w:ascii="Arial" w:cs="Arial" w:eastAsia="Arial" w:hAnsi="Arial"/>
          <w:sz w:val="16"/>
          <w:szCs w:val="16"/>
          <w:color w:val="auto"/>
        </w:rPr>
        <w:t>Our Company is committed to governance policies and practices that serve the best interests of our Company and enhance shareholder value over the long term. As a part of this commitment, our Board has adopted Corporate Governance Guidelines, committee charters and a Code of Conduct and Ethics which, together with our Constitution, form the governance framework of our Company and assist our Board in the exercise of its responsibilities. Our key corporate governance documents, including our Corporate Governance Guidelines and Code of Conduct and Ethics, can be found on our Website.</w:t>
      </w:r>
    </w:p>
    <w:p>
      <w:pPr>
        <w:spacing w:after="0" w:line="12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Our Nominating Committee is responsible for overseeing our adherence to the corporate governance standards and compliance with our key corporate governance documents. Our Nominating Committee annually reviews and refines, where necessary, our Company’s overall corporate governance principles, procedures and practices, and reports to our Board on the effectiveness of the corporate governance framework and any recommendations it may have in connection therewith.</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highlights of our corporate governance practices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91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3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FFFFFF"/>
        </w:rPr>
        <w:t>BOARD AND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480435" cy="41402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80435" cy="4140200"/>
                    </a:xfrm>
                    <a:prstGeom prst="rect">
                      <a:avLst/>
                    </a:prstGeom>
                    <a:noFill/>
                  </pic:spPr>
                </pic:pic>
              </a:graphicData>
            </a:graphic>
          </wp:anchor>
        </w:drawing>
      </w:r>
    </w:p>
    <w:p>
      <w:pPr>
        <w:spacing w:after="0" w:line="291" w:lineRule="exact"/>
        <w:rPr>
          <w:sz w:val="20"/>
          <w:szCs w:val="20"/>
          <w:color w:val="auto"/>
        </w:rPr>
      </w:pPr>
    </w:p>
    <w:p>
      <w:pPr>
        <w:ind w:left="480" w:hanging="225"/>
        <w:spacing w:after="0"/>
        <w:tabs>
          <w:tab w:leader="none" w:pos="480"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11 out of 13 current directors are independent</w:t>
      </w:r>
    </w:p>
    <w:p>
      <w:pPr>
        <w:spacing w:after="0" w:line="140" w:lineRule="exact"/>
        <w:rPr>
          <w:rFonts w:ascii="Arial" w:cs="Arial" w:eastAsia="Arial" w:hAnsi="Arial"/>
          <w:sz w:val="16"/>
          <w:szCs w:val="16"/>
          <w:b w:val="1"/>
          <w:bCs w:val="1"/>
          <w:color w:val="636466"/>
        </w:rPr>
      </w:pPr>
    </w:p>
    <w:p>
      <w:pPr>
        <w:ind w:left="480" w:hanging="225"/>
        <w:spacing w:after="0"/>
        <w:tabs>
          <w:tab w:leader="none" w:pos="480"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An engaged LID with clearly delineated duties</w:t>
      </w:r>
    </w:p>
    <w:p>
      <w:pPr>
        <w:spacing w:after="0" w:line="140" w:lineRule="exact"/>
        <w:rPr>
          <w:rFonts w:ascii="Arial" w:cs="Arial" w:eastAsia="Arial" w:hAnsi="Arial"/>
          <w:sz w:val="16"/>
          <w:szCs w:val="16"/>
          <w:b w:val="1"/>
          <w:bCs w:val="1"/>
          <w:color w:val="636466"/>
        </w:rPr>
      </w:pPr>
    </w:p>
    <w:p>
      <w:pPr>
        <w:ind w:left="500" w:right="554" w:hanging="245"/>
        <w:spacing w:after="0" w:line="321" w:lineRule="auto"/>
        <w:tabs>
          <w:tab w:leader="none" w:pos="489"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Standing Board committees comprised solely of independent directors</w:t>
      </w:r>
    </w:p>
    <w:p>
      <w:pPr>
        <w:spacing w:after="0" w:line="47" w:lineRule="exact"/>
        <w:rPr>
          <w:rFonts w:ascii="Arial" w:cs="Arial" w:eastAsia="Arial" w:hAnsi="Arial"/>
          <w:sz w:val="16"/>
          <w:szCs w:val="16"/>
          <w:b w:val="1"/>
          <w:bCs w:val="1"/>
          <w:color w:val="636466"/>
        </w:rPr>
      </w:pPr>
    </w:p>
    <w:p>
      <w:pPr>
        <w:ind w:left="480" w:hanging="225"/>
        <w:spacing w:after="0"/>
        <w:tabs>
          <w:tab w:leader="none" w:pos="480"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Regular executive sessions of independent directors</w:t>
      </w:r>
    </w:p>
    <w:p>
      <w:pPr>
        <w:spacing w:after="0" w:line="140" w:lineRule="exact"/>
        <w:rPr>
          <w:rFonts w:ascii="Arial" w:cs="Arial" w:eastAsia="Arial" w:hAnsi="Arial"/>
          <w:sz w:val="16"/>
          <w:szCs w:val="16"/>
          <w:b w:val="1"/>
          <w:bCs w:val="1"/>
          <w:color w:val="636466"/>
        </w:rPr>
      </w:pPr>
    </w:p>
    <w:p>
      <w:pPr>
        <w:ind w:left="500" w:right="234" w:hanging="245"/>
        <w:spacing w:after="0" w:line="321" w:lineRule="auto"/>
        <w:tabs>
          <w:tab w:leader="none" w:pos="489"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Commitment to a board of directors exhibiting a diversity of skills, experience, background and perspectives</w:t>
      </w:r>
    </w:p>
    <w:p>
      <w:pPr>
        <w:spacing w:after="0" w:line="47" w:lineRule="exact"/>
        <w:rPr>
          <w:rFonts w:ascii="Arial" w:cs="Arial" w:eastAsia="Arial" w:hAnsi="Arial"/>
          <w:sz w:val="16"/>
          <w:szCs w:val="16"/>
          <w:b w:val="1"/>
          <w:bCs w:val="1"/>
          <w:color w:val="636466"/>
        </w:rPr>
      </w:pPr>
    </w:p>
    <w:p>
      <w:pPr>
        <w:ind w:left="480" w:hanging="225"/>
        <w:spacing w:after="0"/>
        <w:tabs>
          <w:tab w:leader="none" w:pos="480"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Active Board refreshment</w:t>
      </w:r>
    </w:p>
    <w:p>
      <w:pPr>
        <w:spacing w:after="0" w:line="126" w:lineRule="exact"/>
        <w:rPr>
          <w:rFonts w:ascii="Arial" w:cs="Arial" w:eastAsia="Arial" w:hAnsi="Arial"/>
          <w:sz w:val="16"/>
          <w:szCs w:val="16"/>
          <w:b w:val="1"/>
          <w:bCs w:val="1"/>
          <w:color w:val="636466"/>
        </w:rPr>
      </w:pPr>
    </w:p>
    <w:p>
      <w:pPr>
        <w:ind w:left="480" w:hanging="225"/>
        <w:spacing w:after="0"/>
        <w:tabs>
          <w:tab w:leader="none" w:pos="480"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New director orientation and continuing director education</w:t>
      </w:r>
    </w:p>
    <w:p>
      <w:pPr>
        <w:spacing w:after="0" w:line="140" w:lineRule="exact"/>
        <w:rPr>
          <w:rFonts w:ascii="Arial" w:cs="Arial" w:eastAsia="Arial" w:hAnsi="Arial"/>
          <w:sz w:val="16"/>
          <w:szCs w:val="16"/>
          <w:b w:val="1"/>
          <w:bCs w:val="1"/>
          <w:color w:val="636466"/>
        </w:rPr>
      </w:pPr>
    </w:p>
    <w:p>
      <w:pPr>
        <w:ind w:left="480" w:hanging="225"/>
        <w:spacing w:after="0"/>
        <w:tabs>
          <w:tab w:leader="none" w:pos="480"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Board access to senior management and independent advisors</w:t>
      </w:r>
    </w:p>
    <w:p>
      <w:pPr>
        <w:spacing w:after="0" w:line="140" w:lineRule="exact"/>
        <w:rPr>
          <w:rFonts w:ascii="Arial" w:cs="Arial" w:eastAsia="Arial" w:hAnsi="Arial"/>
          <w:sz w:val="16"/>
          <w:szCs w:val="16"/>
          <w:b w:val="1"/>
          <w:bCs w:val="1"/>
          <w:color w:val="636466"/>
        </w:rPr>
      </w:pPr>
    </w:p>
    <w:p>
      <w:pPr>
        <w:ind w:left="500" w:right="774" w:hanging="245"/>
        <w:spacing w:after="0" w:line="321" w:lineRule="auto"/>
        <w:tabs>
          <w:tab w:leader="none" w:pos="489"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Robust Corporate Governance Guidelines and committee charters</w:t>
      </w:r>
    </w:p>
    <w:p>
      <w:pPr>
        <w:spacing w:after="0" w:line="47" w:lineRule="exact"/>
        <w:rPr>
          <w:rFonts w:ascii="Arial" w:cs="Arial" w:eastAsia="Arial" w:hAnsi="Arial"/>
          <w:sz w:val="16"/>
          <w:szCs w:val="16"/>
          <w:b w:val="1"/>
          <w:bCs w:val="1"/>
          <w:color w:val="636466"/>
        </w:rPr>
      </w:pPr>
    </w:p>
    <w:p>
      <w:pPr>
        <w:ind w:left="500" w:right="474" w:hanging="245"/>
        <w:spacing w:after="0" w:line="321" w:lineRule="auto"/>
        <w:tabs>
          <w:tab w:leader="none" w:pos="489"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Oversight of risk is the responsibility of our Board with specific risks designated to certain committees</w:t>
      </w:r>
    </w:p>
    <w:p>
      <w:pPr>
        <w:spacing w:after="0" w:line="47" w:lineRule="exact"/>
        <w:rPr>
          <w:rFonts w:ascii="Arial" w:cs="Arial" w:eastAsia="Arial" w:hAnsi="Arial"/>
          <w:sz w:val="16"/>
          <w:szCs w:val="16"/>
          <w:b w:val="1"/>
          <w:bCs w:val="1"/>
          <w:color w:val="636466"/>
        </w:rPr>
      </w:pPr>
    </w:p>
    <w:p>
      <w:pPr>
        <w:ind w:left="500" w:right="254" w:hanging="245"/>
        <w:spacing w:after="0" w:line="321" w:lineRule="auto"/>
        <w:tabs>
          <w:tab w:leader="none" w:pos="489"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Annual board and committee self-evaluations and periodic use of a third party to facilitate the evaluation</w:t>
      </w:r>
    </w:p>
    <w:p>
      <w:pPr>
        <w:spacing w:after="0" w:line="47" w:lineRule="exact"/>
        <w:rPr>
          <w:rFonts w:ascii="Arial" w:cs="Arial" w:eastAsia="Arial" w:hAnsi="Arial"/>
          <w:sz w:val="16"/>
          <w:szCs w:val="16"/>
          <w:b w:val="1"/>
          <w:bCs w:val="1"/>
          <w:color w:val="636466"/>
        </w:rPr>
      </w:pPr>
    </w:p>
    <w:p>
      <w:pPr>
        <w:ind w:left="480" w:hanging="225"/>
        <w:spacing w:after="0"/>
        <w:tabs>
          <w:tab w:leader="none" w:pos="480"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Robust director overboarding policy</w:t>
      </w:r>
    </w:p>
    <w:p>
      <w:pPr>
        <w:spacing w:after="0" w:line="140" w:lineRule="exact"/>
        <w:rPr>
          <w:rFonts w:ascii="Arial" w:cs="Arial" w:eastAsia="Arial" w:hAnsi="Arial"/>
          <w:sz w:val="16"/>
          <w:szCs w:val="16"/>
          <w:b w:val="1"/>
          <w:bCs w:val="1"/>
          <w:color w:val="636466"/>
        </w:rPr>
      </w:pPr>
    </w:p>
    <w:p>
      <w:pPr>
        <w:ind w:left="480" w:hanging="225"/>
        <w:spacing w:after="0"/>
        <w:tabs>
          <w:tab w:leader="none" w:pos="480" w:val="left"/>
        </w:tabs>
        <w:numPr>
          <w:ilvl w:val="0"/>
          <w:numId w:val="19"/>
        </w:numPr>
        <w:rPr>
          <w:rFonts w:ascii="Arial" w:cs="Arial" w:eastAsia="Arial" w:hAnsi="Arial"/>
          <w:sz w:val="16"/>
          <w:szCs w:val="16"/>
          <w:b w:val="1"/>
          <w:bCs w:val="1"/>
          <w:color w:val="636466"/>
        </w:rPr>
      </w:pPr>
      <w:r>
        <w:rPr>
          <w:rFonts w:ascii="Arial" w:cs="Arial" w:eastAsia="Arial" w:hAnsi="Arial"/>
          <w:sz w:val="16"/>
          <w:szCs w:val="16"/>
          <w:color w:val="636466"/>
        </w:rPr>
        <w:t>Share ownership guidelines for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1057910</wp:posOffset>
            </wp:positionV>
            <wp:extent cx="1242695" cy="2057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386"/>
        <w:spacing w:after="0"/>
        <w:rPr>
          <w:sz w:val="20"/>
          <w:szCs w:val="20"/>
          <w:color w:val="auto"/>
        </w:rPr>
      </w:pPr>
      <w:r>
        <w:rPr>
          <w:rFonts w:ascii="Arial" w:cs="Arial" w:eastAsia="Arial" w:hAnsi="Arial"/>
          <w:sz w:val="18"/>
          <w:szCs w:val="18"/>
          <w:b w:val="1"/>
          <w:bCs w:val="1"/>
          <w:color w:val="FFFFFF"/>
        </w:rPr>
        <w:t>ALIGNMENT WITH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94615</wp:posOffset>
            </wp:positionV>
            <wp:extent cx="3420110" cy="20059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0110" cy="2005965"/>
                    </a:xfrm>
                    <a:prstGeom prst="rect">
                      <a:avLst/>
                    </a:prstGeom>
                    <a:noFill/>
                  </pic:spPr>
                </pic:pic>
              </a:graphicData>
            </a:graphic>
          </wp:anchor>
        </w:drawing>
      </w:r>
    </w:p>
    <w:p>
      <w:pPr>
        <w:spacing w:after="0" w:line="291" w:lineRule="exact"/>
        <w:rPr>
          <w:sz w:val="20"/>
          <w:szCs w:val="20"/>
          <w:color w:val="auto"/>
        </w:rPr>
      </w:pPr>
    </w:p>
    <w:p>
      <w:pPr>
        <w:ind w:left="246" w:right="680" w:hanging="246"/>
        <w:spacing w:after="0" w:line="321" w:lineRule="auto"/>
        <w:tabs>
          <w:tab w:leader="none" w:pos="235" w:val="left"/>
        </w:tabs>
        <w:numPr>
          <w:ilvl w:val="0"/>
          <w:numId w:val="20"/>
        </w:numPr>
        <w:rPr>
          <w:rFonts w:ascii="Arial" w:cs="Arial" w:eastAsia="Arial" w:hAnsi="Arial"/>
          <w:sz w:val="16"/>
          <w:szCs w:val="16"/>
          <w:b w:val="1"/>
          <w:bCs w:val="1"/>
          <w:color w:val="636466"/>
        </w:rPr>
      </w:pPr>
      <w:r>
        <w:rPr>
          <w:rFonts w:ascii="Arial" w:cs="Arial" w:eastAsia="Arial" w:hAnsi="Arial"/>
          <w:sz w:val="16"/>
          <w:szCs w:val="16"/>
          <w:color w:val="636466"/>
        </w:rPr>
        <w:t>Active shareholder engagement program with independent director participation</w:t>
      </w:r>
    </w:p>
    <w:p>
      <w:pPr>
        <w:spacing w:after="0" w:line="47" w:lineRule="exact"/>
        <w:rPr>
          <w:rFonts w:ascii="Arial" w:cs="Arial" w:eastAsia="Arial" w:hAnsi="Arial"/>
          <w:sz w:val="16"/>
          <w:szCs w:val="16"/>
          <w:b w:val="1"/>
          <w:bCs w:val="1"/>
          <w:color w:val="636466"/>
        </w:rPr>
      </w:pPr>
    </w:p>
    <w:p>
      <w:pPr>
        <w:ind w:left="246" w:right="380" w:hanging="246"/>
        <w:spacing w:after="0" w:line="321" w:lineRule="auto"/>
        <w:tabs>
          <w:tab w:leader="none" w:pos="235" w:val="left"/>
        </w:tabs>
        <w:numPr>
          <w:ilvl w:val="0"/>
          <w:numId w:val="20"/>
        </w:numPr>
        <w:rPr>
          <w:rFonts w:ascii="Arial" w:cs="Arial" w:eastAsia="Arial" w:hAnsi="Arial"/>
          <w:sz w:val="16"/>
          <w:szCs w:val="16"/>
          <w:b w:val="1"/>
          <w:bCs w:val="1"/>
          <w:color w:val="636466"/>
        </w:rPr>
      </w:pPr>
      <w:r>
        <w:rPr>
          <w:rFonts w:ascii="Arial" w:cs="Arial" w:eastAsia="Arial" w:hAnsi="Arial"/>
          <w:sz w:val="16"/>
          <w:szCs w:val="16"/>
          <w:color w:val="636466"/>
        </w:rPr>
        <w:t>Our shareholders holding 10% or more of our total voting rights may call EGMs</w:t>
      </w:r>
    </w:p>
    <w:p>
      <w:pPr>
        <w:spacing w:after="0" w:line="47" w:lineRule="exact"/>
        <w:rPr>
          <w:rFonts w:ascii="Arial" w:cs="Arial" w:eastAsia="Arial" w:hAnsi="Arial"/>
          <w:sz w:val="16"/>
          <w:szCs w:val="16"/>
          <w:b w:val="1"/>
          <w:bCs w:val="1"/>
          <w:color w:val="636466"/>
        </w:rPr>
      </w:pPr>
    </w:p>
    <w:p>
      <w:pPr>
        <w:ind w:left="226" w:hanging="226"/>
        <w:spacing w:after="0"/>
        <w:tabs>
          <w:tab w:leader="none" w:pos="226" w:val="left"/>
        </w:tabs>
        <w:numPr>
          <w:ilvl w:val="0"/>
          <w:numId w:val="20"/>
        </w:numPr>
        <w:rPr>
          <w:rFonts w:ascii="Arial" w:cs="Arial" w:eastAsia="Arial" w:hAnsi="Arial"/>
          <w:sz w:val="16"/>
          <w:szCs w:val="16"/>
          <w:b w:val="1"/>
          <w:bCs w:val="1"/>
          <w:color w:val="636466"/>
        </w:rPr>
      </w:pPr>
      <w:r>
        <w:rPr>
          <w:rFonts w:ascii="Arial" w:cs="Arial" w:eastAsia="Arial" w:hAnsi="Arial"/>
          <w:sz w:val="16"/>
          <w:szCs w:val="16"/>
          <w:color w:val="636466"/>
        </w:rPr>
        <w:t>Anti-hedging/pledging policy</w:t>
      </w:r>
    </w:p>
    <w:p>
      <w:pPr>
        <w:spacing w:after="0" w:line="140" w:lineRule="exact"/>
        <w:rPr>
          <w:rFonts w:ascii="Arial" w:cs="Arial" w:eastAsia="Arial" w:hAnsi="Arial"/>
          <w:sz w:val="16"/>
          <w:szCs w:val="16"/>
          <w:b w:val="1"/>
          <w:bCs w:val="1"/>
          <w:color w:val="636466"/>
        </w:rPr>
      </w:pPr>
    </w:p>
    <w:p>
      <w:pPr>
        <w:ind w:left="226" w:hanging="226"/>
        <w:spacing w:after="0"/>
        <w:tabs>
          <w:tab w:leader="none" w:pos="226" w:val="left"/>
        </w:tabs>
        <w:numPr>
          <w:ilvl w:val="0"/>
          <w:numId w:val="20"/>
        </w:numPr>
        <w:rPr>
          <w:rFonts w:ascii="Arial" w:cs="Arial" w:eastAsia="Arial" w:hAnsi="Arial"/>
          <w:sz w:val="16"/>
          <w:szCs w:val="16"/>
          <w:b w:val="1"/>
          <w:bCs w:val="1"/>
          <w:color w:val="636466"/>
        </w:rPr>
      </w:pPr>
      <w:r>
        <w:rPr>
          <w:rFonts w:ascii="Arial" w:cs="Arial" w:eastAsia="Arial" w:hAnsi="Arial"/>
          <w:sz w:val="16"/>
          <w:szCs w:val="16"/>
          <w:color w:val="636466"/>
        </w:rPr>
        <w:t>No shareholder rights plan, or poison pill, in place</w:t>
      </w:r>
    </w:p>
    <w:p>
      <w:pPr>
        <w:spacing w:after="0" w:line="140" w:lineRule="exact"/>
        <w:rPr>
          <w:rFonts w:ascii="Arial" w:cs="Arial" w:eastAsia="Arial" w:hAnsi="Arial"/>
          <w:sz w:val="16"/>
          <w:szCs w:val="16"/>
          <w:b w:val="1"/>
          <w:bCs w:val="1"/>
          <w:color w:val="636466"/>
        </w:rPr>
      </w:pPr>
    </w:p>
    <w:p>
      <w:pPr>
        <w:ind w:left="226" w:hanging="226"/>
        <w:spacing w:after="0"/>
        <w:tabs>
          <w:tab w:leader="none" w:pos="226" w:val="left"/>
        </w:tabs>
        <w:numPr>
          <w:ilvl w:val="0"/>
          <w:numId w:val="20"/>
        </w:numPr>
        <w:rPr>
          <w:rFonts w:ascii="Arial" w:cs="Arial" w:eastAsia="Arial" w:hAnsi="Arial"/>
          <w:sz w:val="16"/>
          <w:szCs w:val="16"/>
          <w:b w:val="1"/>
          <w:bCs w:val="1"/>
          <w:color w:val="636466"/>
        </w:rPr>
      </w:pPr>
      <w:r>
        <w:rPr>
          <w:rFonts w:ascii="Arial" w:cs="Arial" w:eastAsia="Arial" w:hAnsi="Arial"/>
          <w:sz w:val="16"/>
          <w:szCs w:val="16"/>
          <w:color w:val="636466"/>
        </w:rPr>
        <w:t>Annual Say-on-Pay Vote</w:t>
      </w:r>
    </w:p>
    <w:p>
      <w:pPr>
        <w:spacing w:after="0" w:line="140" w:lineRule="exact"/>
        <w:rPr>
          <w:rFonts w:ascii="Arial" w:cs="Arial" w:eastAsia="Arial" w:hAnsi="Arial"/>
          <w:sz w:val="16"/>
          <w:szCs w:val="16"/>
          <w:b w:val="1"/>
          <w:bCs w:val="1"/>
          <w:color w:val="636466"/>
        </w:rPr>
      </w:pPr>
    </w:p>
    <w:p>
      <w:pPr>
        <w:ind w:left="226" w:hanging="226"/>
        <w:spacing w:after="0"/>
        <w:tabs>
          <w:tab w:leader="none" w:pos="226" w:val="left"/>
        </w:tabs>
        <w:numPr>
          <w:ilvl w:val="0"/>
          <w:numId w:val="20"/>
        </w:numPr>
        <w:rPr>
          <w:rFonts w:ascii="Arial" w:cs="Arial" w:eastAsia="Arial" w:hAnsi="Arial"/>
          <w:sz w:val="16"/>
          <w:szCs w:val="16"/>
          <w:b w:val="1"/>
          <w:bCs w:val="1"/>
          <w:color w:val="636466"/>
        </w:rPr>
      </w:pPr>
      <w:r>
        <w:rPr>
          <w:rFonts w:ascii="Arial" w:cs="Arial" w:eastAsia="Arial" w:hAnsi="Arial"/>
          <w:sz w:val="16"/>
          <w:szCs w:val="16"/>
          <w:color w:val="636466"/>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655320</wp:posOffset>
            </wp:positionV>
            <wp:extent cx="3420110" cy="3003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011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166"/>
        <w:spacing w:after="0"/>
        <w:rPr>
          <w:sz w:val="20"/>
          <w:szCs w:val="20"/>
          <w:color w:val="auto"/>
        </w:rPr>
      </w:pPr>
      <w:r>
        <w:rPr>
          <w:rFonts w:ascii="Arial" w:cs="Arial" w:eastAsia="Arial" w:hAnsi="Arial"/>
          <w:sz w:val="18"/>
          <w:szCs w:val="18"/>
          <w:b w:val="1"/>
          <w:bCs w:val="1"/>
          <w:color w:val="FFFFFF"/>
        </w:rPr>
        <w:t>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94615</wp:posOffset>
            </wp:positionV>
            <wp:extent cx="3420110" cy="16630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0110" cy="1663065"/>
                    </a:xfrm>
                    <a:prstGeom prst="rect">
                      <a:avLst/>
                    </a:prstGeom>
                    <a:noFill/>
                  </pic:spPr>
                </pic:pic>
              </a:graphicData>
            </a:graphic>
          </wp:anchor>
        </w:drawing>
      </w:r>
    </w:p>
    <w:p>
      <w:pPr>
        <w:spacing w:after="0" w:line="291" w:lineRule="exact"/>
        <w:rPr>
          <w:sz w:val="20"/>
          <w:szCs w:val="20"/>
          <w:color w:val="auto"/>
        </w:rPr>
      </w:pPr>
    </w:p>
    <w:p>
      <w:pPr>
        <w:ind w:left="226" w:hanging="226"/>
        <w:spacing w:after="0"/>
        <w:tabs>
          <w:tab w:leader="none" w:pos="226" w:val="left"/>
        </w:tabs>
        <w:numPr>
          <w:ilvl w:val="0"/>
          <w:numId w:val="21"/>
        </w:numPr>
        <w:rPr>
          <w:rFonts w:ascii="Arial" w:cs="Arial" w:eastAsia="Arial" w:hAnsi="Arial"/>
          <w:sz w:val="16"/>
          <w:szCs w:val="16"/>
          <w:b w:val="1"/>
          <w:bCs w:val="1"/>
          <w:color w:val="636466"/>
        </w:rPr>
      </w:pPr>
      <w:r>
        <w:rPr>
          <w:rFonts w:ascii="Arial" w:cs="Arial" w:eastAsia="Arial" w:hAnsi="Arial"/>
          <w:sz w:val="16"/>
          <w:szCs w:val="16"/>
          <w:color w:val="636466"/>
        </w:rPr>
        <w:t>Annual Say-on-Pay Vote</w:t>
      </w:r>
    </w:p>
    <w:p>
      <w:pPr>
        <w:spacing w:after="0" w:line="140" w:lineRule="exact"/>
        <w:rPr>
          <w:rFonts w:ascii="Arial" w:cs="Arial" w:eastAsia="Arial" w:hAnsi="Arial"/>
          <w:sz w:val="16"/>
          <w:szCs w:val="16"/>
          <w:b w:val="1"/>
          <w:bCs w:val="1"/>
          <w:color w:val="636466"/>
        </w:rPr>
      </w:pPr>
    </w:p>
    <w:p>
      <w:pPr>
        <w:ind w:left="226" w:hanging="226"/>
        <w:spacing w:after="0"/>
        <w:tabs>
          <w:tab w:leader="none" w:pos="226" w:val="left"/>
        </w:tabs>
        <w:numPr>
          <w:ilvl w:val="0"/>
          <w:numId w:val="21"/>
        </w:numPr>
        <w:rPr>
          <w:rFonts w:ascii="Arial" w:cs="Arial" w:eastAsia="Arial" w:hAnsi="Arial"/>
          <w:sz w:val="16"/>
          <w:szCs w:val="16"/>
          <w:b w:val="1"/>
          <w:bCs w:val="1"/>
          <w:color w:val="636466"/>
        </w:rPr>
      </w:pPr>
      <w:r>
        <w:rPr>
          <w:rFonts w:ascii="Arial" w:cs="Arial" w:eastAsia="Arial" w:hAnsi="Arial"/>
          <w:sz w:val="16"/>
          <w:szCs w:val="16"/>
          <w:color w:val="636466"/>
        </w:rPr>
        <w:t>Annual use of equity awards with performance-based vesting</w:t>
      </w:r>
    </w:p>
    <w:p>
      <w:pPr>
        <w:spacing w:after="0" w:line="140" w:lineRule="exact"/>
        <w:rPr>
          <w:rFonts w:ascii="Arial" w:cs="Arial" w:eastAsia="Arial" w:hAnsi="Arial"/>
          <w:sz w:val="16"/>
          <w:szCs w:val="16"/>
          <w:b w:val="1"/>
          <w:bCs w:val="1"/>
          <w:color w:val="636466"/>
        </w:rPr>
      </w:pPr>
    </w:p>
    <w:p>
      <w:pPr>
        <w:ind w:left="246" w:right="880" w:hanging="246"/>
        <w:spacing w:after="0" w:line="321" w:lineRule="auto"/>
        <w:tabs>
          <w:tab w:leader="none" w:pos="235" w:val="left"/>
        </w:tabs>
        <w:numPr>
          <w:ilvl w:val="0"/>
          <w:numId w:val="21"/>
        </w:numPr>
        <w:rPr>
          <w:rFonts w:ascii="Arial" w:cs="Arial" w:eastAsia="Arial" w:hAnsi="Arial"/>
          <w:sz w:val="16"/>
          <w:szCs w:val="16"/>
          <w:b w:val="1"/>
          <w:bCs w:val="1"/>
          <w:color w:val="636466"/>
        </w:rPr>
      </w:pPr>
      <w:r>
        <w:rPr>
          <w:rFonts w:ascii="Arial" w:cs="Arial" w:eastAsia="Arial" w:hAnsi="Arial"/>
          <w:sz w:val="16"/>
          <w:szCs w:val="16"/>
          <w:color w:val="636466"/>
        </w:rPr>
        <w:t>Our Compensation Committee engages an independent compensation consultant</w:t>
      </w:r>
    </w:p>
    <w:p>
      <w:pPr>
        <w:spacing w:after="0" w:line="296" w:lineRule="exact"/>
        <w:rPr>
          <w:sz w:val="20"/>
          <w:szCs w:val="20"/>
          <w:color w:val="auto"/>
        </w:rPr>
      </w:pPr>
    </w:p>
    <w:p>
      <w:pPr>
        <w:sectPr>
          <w:pgSz w:w="11900" w:h="16838" w:orient="portrait"/>
          <w:cols w:equalWidth="0" w:num="2">
            <w:col w:w="5394" w:space="720"/>
            <w:col w:w="5126"/>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23</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1" w:name="page32"/>
    <w:bookmarkEnd w:id="31"/>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3003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Board Composition</w:t>
      </w:r>
    </w:p>
    <w:p>
      <w:pPr>
        <w:spacing w:after="0" w:line="198" w:lineRule="exact"/>
        <w:rPr>
          <w:sz w:val="20"/>
          <w:szCs w:val="20"/>
          <w:color w:val="auto"/>
        </w:rPr>
      </w:pPr>
    </w:p>
    <w:p>
      <w:pPr>
        <w:ind w:right="640"/>
        <w:spacing w:after="0" w:line="321" w:lineRule="auto"/>
        <w:rPr>
          <w:sz w:val="20"/>
          <w:szCs w:val="20"/>
          <w:color w:val="auto"/>
        </w:rPr>
      </w:pPr>
      <w:r>
        <w:rPr>
          <w:rFonts w:ascii="Arial" w:cs="Arial" w:eastAsia="Arial" w:hAnsi="Arial"/>
          <w:sz w:val="16"/>
          <w:szCs w:val="16"/>
          <w:color w:val="auto"/>
        </w:rPr>
        <w:t>Our Board currently has 13 members and there are no vacancies. The size of our Board may vary as provided by resolution of our Board adopted in accordance with our Constitution. Our Board, along with our Nominating Committee periodically reviews the appropriate size of our Board.</w:t>
      </w:r>
    </w:p>
    <w:p>
      <w:pPr>
        <w:spacing w:after="0" w:line="102" w:lineRule="exact"/>
        <w:rPr>
          <w:sz w:val="20"/>
          <w:szCs w:val="20"/>
          <w:color w:val="auto"/>
        </w:rPr>
      </w:pPr>
    </w:p>
    <w:p>
      <w:pPr>
        <w:ind w:right="600"/>
        <w:spacing w:after="0" w:line="292" w:lineRule="auto"/>
        <w:rPr>
          <w:sz w:val="20"/>
          <w:szCs w:val="20"/>
          <w:color w:val="auto"/>
        </w:rPr>
      </w:pPr>
      <w:r>
        <w:rPr>
          <w:rFonts w:ascii="Arial" w:cs="Arial" w:eastAsia="Arial" w:hAnsi="Arial"/>
          <w:sz w:val="16"/>
          <w:szCs w:val="16"/>
          <w:color w:val="auto"/>
        </w:rPr>
        <w:t>Our Board is divided into three classes, designated Class I, Class II and Class III, that serve staggered three-year terms. Our Nominating Committee continues to believe that this structure is appropriate for us and remains in the best interests of our Company and its shareholders. In particular, our Nominating Committee believes that the classified board structure:</w:t>
      </w:r>
    </w:p>
    <w:p>
      <w:pPr>
        <w:spacing w:after="0" w:line="125" w:lineRule="exact"/>
        <w:rPr>
          <w:sz w:val="20"/>
          <w:szCs w:val="20"/>
          <w:color w:val="auto"/>
        </w:rPr>
      </w:pPr>
    </w:p>
    <w:p>
      <w:pPr>
        <w:ind w:left="340" w:right="620" w:hanging="251"/>
        <w:spacing w:after="0" w:line="321" w:lineRule="auto"/>
        <w:tabs>
          <w:tab w:leader="none" w:pos="329" w:val="left"/>
        </w:tabs>
        <w:numPr>
          <w:ilvl w:val="0"/>
          <w:numId w:val="22"/>
        </w:numPr>
        <w:rPr>
          <w:rFonts w:ascii="Arial" w:cs="Arial" w:eastAsia="Arial" w:hAnsi="Arial"/>
          <w:sz w:val="16"/>
          <w:szCs w:val="16"/>
          <w:b w:val="1"/>
          <w:bCs w:val="1"/>
          <w:color w:val="001C71"/>
        </w:rPr>
      </w:pPr>
      <w:r>
        <w:rPr>
          <w:rFonts w:ascii="Arial" w:cs="Arial" w:eastAsia="Arial" w:hAnsi="Arial"/>
          <w:sz w:val="16"/>
          <w:szCs w:val="16"/>
          <w:color w:val="auto"/>
        </w:rPr>
        <w:t>promotes stability and continuity, allowing our Board and management to remain focused on our long-term strategy and value generation for our shareholders;</w:t>
      </w:r>
    </w:p>
    <w:p>
      <w:pPr>
        <w:spacing w:after="0" w:line="47" w:lineRule="exact"/>
        <w:rPr>
          <w:rFonts w:ascii="Arial" w:cs="Arial" w:eastAsia="Arial" w:hAnsi="Arial"/>
          <w:sz w:val="16"/>
          <w:szCs w:val="16"/>
          <w:b w:val="1"/>
          <w:bCs w:val="1"/>
          <w:color w:val="001C71"/>
        </w:rPr>
      </w:pPr>
    </w:p>
    <w:p>
      <w:pPr>
        <w:ind w:left="340" w:right="120" w:hanging="251"/>
        <w:spacing w:after="0" w:line="321" w:lineRule="auto"/>
        <w:tabs>
          <w:tab w:leader="none" w:pos="329" w:val="left"/>
        </w:tabs>
        <w:numPr>
          <w:ilvl w:val="0"/>
          <w:numId w:val="22"/>
        </w:numPr>
        <w:rPr>
          <w:rFonts w:ascii="Arial" w:cs="Arial" w:eastAsia="Arial" w:hAnsi="Arial"/>
          <w:sz w:val="16"/>
          <w:szCs w:val="16"/>
          <w:b w:val="1"/>
          <w:bCs w:val="1"/>
          <w:color w:val="001C71"/>
        </w:rPr>
      </w:pPr>
      <w:r>
        <w:rPr>
          <w:rFonts w:ascii="Arial" w:cs="Arial" w:eastAsia="Arial" w:hAnsi="Arial"/>
          <w:sz w:val="16"/>
          <w:szCs w:val="16"/>
          <w:color w:val="auto"/>
        </w:rPr>
        <w:t>preserves the skillset present on our Board and allows for the development of its directors’ institutional knowledge, which is particularly important in our industry, given the multi-year life cycles of our product development programs; and</w:t>
      </w:r>
    </w:p>
    <w:p>
      <w:pPr>
        <w:spacing w:after="0" w:line="47" w:lineRule="exact"/>
        <w:rPr>
          <w:rFonts w:ascii="Arial" w:cs="Arial" w:eastAsia="Arial" w:hAnsi="Arial"/>
          <w:sz w:val="16"/>
          <w:szCs w:val="16"/>
          <w:b w:val="1"/>
          <w:bCs w:val="1"/>
          <w:color w:val="001C71"/>
        </w:rPr>
      </w:pPr>
    </w:p>
    <w:p>
      <w:pPr>
        <w:ind w:left="340" w:right="320" w:hanging="251"/>
        <w:spacing w:after="0" w:line="321" w:lineRule="auto"/>
        <w:tabs>
          <w:tab w:leader="none" w:pos="329" w:val="left"/>
        </w:tabs>
        <w:numPr>
          <w:ilvl w:val="0"/>
          <w:numId w:val="22"/>
        </w:numPr>
        <w:rPr>
          <w:rFonts w:ascii="Arial" w:cs="Arial" w:eastAsia="Arial" w:hAnsi="Arial"/>
          <w:sz w:val="16"/>
          <w:szCs w:val="16"/>
          <w:b w:val="1"/>
          <w:bCs w:val="1"/>
          <w:color w:val="001C71"/>
        </w:rPr>
      </w:pPr>
      <w:r>
        <w:rPr>
          <w:rFonts w:ascii="Arial" w:cs="Arial" w:eastAsia="Arial" w:hAnsi="Arial"/>
          <w:sz w:val="16"/>
          <w:szCs w:val="16"/>
          <w:color w:val="auto"/>
        </w:rPr>
        <w:t>enhances director independence by decreasing pressures from special interest groups that might have short-term agendas contrary to the long-term interests of our shareholders.</w:t>
      </w:r>
    </w:p>
    <w:p>
      <w:pPr>
        <w:spacing w:after="0" w:line="102"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While we recognize that some shareholders may see this structure as creating an entrenchment risk, we believe this risk is mitigated by the statutory right of shareholders of an Irish incorporated company to remove directors and replace any board vacancies created by such removal under Irish law.</w:t>
      </w:r>
    </w:p>
    <w:p>
      <w:pPr>
        <w:spacing w:after="0" w:line="1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Board’s leadership structure provides for a Chairperson selected by the members of the Board, and a LID where the Chairperson is non-independent. Our independent directors elect our LID upon the recommendation of the Nominating Committee, as described in our Corporate Governance Guidelines. Our Board believes that having a LID helps ensure the effective independent functioning of the Board in its oversight responsibilities. Our Board periodically reviews its leadership structure, including the Chairperson and LID roles, to ensure that the structure continues to promote the appropriate exercise of independent judgment by our Board.</w:t>
      </w:r>
    </w:p>
    <w:p>
      <w:pPr>
        <w:spacing w:after="0" w:line="1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Vacancies on our Board, including a vacancy that results from an increase in the authorized number of directors, may be filled only by the affirmative vote of a majority of the directors then in office, provided that a quorum is present at the relevant board meeting. A director elected by our Board to fill a vacancy in a class will serve for the remainder of the full term of that class and until the director’s successor is elected and qualified, or, if sooner, until his or her death, resignation, retirement, disqualification or removal. Under our Constitution, if the number of directors is increased, directors are apportioned among the classes to maintain the number of directors in each class as nearly equal as possible, or as our Chairperson may otherwise direct.</w:t>
      </w:r>
    </w:p>
    <w:p>
      <w:pPr>
        <w:spacing w:after="0" w:line="163" w:lineRule="exact"/>
        <w:rPr>
          <w:sz w:val="20"/>
          <w:szCs w:val="20"/>
          <w:color w:val="auto"/>
        </w:rPr>
      </w:pPr>
    </w:p>
    <w:p>
      <w:pPr>
        <w:spacing w:after="0"/>
        <w:rPr>
          <w:sz w:val="20"/>
          <w:szCs w:val="20"/>
          <w:color w:val="auto"/>
        </w:rPr>
      </w:pPr>
      <w:r>
        <w:rPr>
          <w:rFonts w:ascii="Arial" w:cs="Arial" w:eastAsia="Arial" w:hAnsi="Arial"/>
          <w:sz w:val="29"/>
          <w:szCs w:val="29"/>
          <w:color w:val="852166"/>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177165</wp:posOffset>
            </wp:positionV>
            <wp:extent cx="2040255" cy="2074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040255" cy="2074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1340"/>
        <w:spacing w:after="0"/>
        <w:rPr>
          <w:sz w:val="20"/>
          <w:szCs w:val="20"/>
          <w:color w:val="auto"/>
        </w:rPr>
      </w:pPr>
      <w:r>
        <w:rPr>
          <w:rFonts w:ascii="Arial" w:cs="Arial" w:eastAsia="Arial" w:hAnsi="Arial"/>
          <w:sz w:val="36"/>
          <w:szCs w:val="36"/>
          <w:b w:val="1"/>
          <w:bCs w:val="1"/>
          <w:color w:val="001C71"/>
        </w:rPr>
        <w:t>Chairperson</w:t>
      </w:r>
    </w:p>
    <w:p>
      <w:pPr>
        <w:spacing w:after="0" w:line="54" w:lineRule="exact"/>
        <w:rPr>
          <w:sz w:val="20"/>
          <w:szCs w:val="20"/>
          <w:color w:val="auto"/>
        </w:rPr>
      </w:pPr>
    </w:p>
    <w:p>
      <w:pPr>
        <w:ind w:left="1340"/>
        <w:spacing w:after="0"/>
        <w:rPr>
          <w:sz w:val="20"/>
          <w:szCs w:val="20"/>
          <w:color w:val="auto"/>
        </w:rPr>
      </w:pPr>
      <w:r>
        <w:rPr>
          <w:rFonts w:ascii="Arial" w:cs="Arial" w:eastAsia="Arial" w:hAnsi="Arial"/>
          <w:sz w:val="35"/>
          <w:szCs w:val="35"/>
          <w:b w:val="1"/>
          <w:bCs w:val="1"/>
          <w:color w:val="001C71"/>
        </w:rPr>
        <w:t>of our Board</w:t>
      </w:r>
    </w:p>
    <w:p>
      <w:pPr>
        <w:spacing w:after="0" w:line="184" w:lineRule="exact"/>
        <w:rPr>
          <w:sz w:val="20"/>
          <w:szCs w:val="20"/>
          <w:color w:val="auto"/>
        </w:rPr>
      </w:pPr>
    </w:p>
    <w:p>
      <w:pPr>
        <w:jc w:val="center"/>
        <w:ind w:left="680"/>
        <w:spacing w:after="0"/>
        <w:rPr>
          <w:sz w:val="20"/>
          <w:szCs w:val="20"/>
          <w:color w:val="auto"/>
        </w:rPr>
      </w:pPr>
      <w:r>
        <w:rPr>
          <w:rFonts w:ascii="Arial" w:cs="Arial" w:eastAsia="Arial" w:hAnsi="Arial"/>
          <w:sz w:val="14"/>
          <w:szCs w:val="14"/>
          <w:b w:val="1"/>
          <w:bCs w:val="1"/>
          <w:color w:val="636466"/>
        </w:rPr>
        <w:t>CURRENT CHAIRPERSON: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Bruce C. Cozadd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right="1200"/>
        <w:spacing w:after="0" w:line="289" w:lineRule="auto"/>
        <w:rPr>
          <w:sz w:val="20"/>
          <w:szCs w:val="20"/>
          <w:color w:val="auto"/>
        </w:rPr>
      </w:pPr>
      <w:r>
        <w:rPr>
          <w:rFonts w:ascii="Arial" w:cs="Arial" w:eastAsia="Arial" w:hAnsi="Arial"/>
          <w:sz w:val="16"/>
          <w:szCs w:val="16"/>
          <w:color w:val="auto"/>
        </w:rPr>
        <w:t>Mr. Cozadd currently serves as our Chairperson and previously served as our CEO from the closing of the Azur Merger in January 2012 until August 11, 2025, following which he served in a transition role through September 14, 2025, and subsequently retired. Following his retirement, Mr. Cozadd continues to serve as our Chairperson, providing our Company with ongoing leadership and strategic guidance.</w:t>
      </w:r>
    </w:p>
    <w:p>
      <w:pPr>
        <w:spacing w:after="0" w:line="129" w:lineRule="exact"/>
        <w:rPr>
          <w:sz w:val="20"/>
          <w:szCs w:val="20"/>
          <w:color w:val="auto"/>
        </w:rPr>
      </w:pPr>
    </w:p>
    <w:p>
      <w:pPr>
        <w:ind w:right="1300"/>
        <w:spacing w:after="0" w:line="301" w:lineRule="auto"/>
        <w:rPr>
          <w:sz w:val="20"/>
          <w:szCs w:val="20"/>
          <w:color w:val="auto"/>
        </w:rPr>
      </w:pPr>
      <w:r>
        <w:rPr>
          <w:rFonts w:ascii="Arial" w:cs="Arial" w:eastAsia="Arial" w:hAnsi="Arial"/>
          <w:sz w:val="16"/>
          <w:szCs w:val="16"/>
          <w:color w:val="auto"/>
        </w:rPr>
        <w:t>Mr. Cozadd’s wealth of commercial industry experience, together with his unique knowledge of our business, means he is well positioned to serve as our 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889635</wp:posOffset>
            </wp:positionV>
            <wp:extent cx="1242695" cy="2057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470" w:lineRule="exact"/>
        <w:rPr>
          <w:sz w:val="20"/>
          <w:szCs w:val="20"/>
          <w:color w:val="auto"/>
        </w:rPr>
      </w:pPr>
    </w:p>
    <w:p>
      <w:pPr>
        <w:sectPr>
          <w:pgSz w:w="11900" w:h="16838" w:orient="portrait"/>
          <w:cols w:equalWidth="0" w:num="2">
            <w:col w:w="3860" w:space="720"/>
            <w:col w:w="6660"/>
          </w:cols>
          <w:pgMar w:left="320" w:top="5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hanging="614"/>
        <w:spacing w:after="0"/>
        <w:tabs>
          <w:tab w:leader="none" w:pos="640" w:val="left"/>
        </w:tabs>
        <w:numPr>
          <w:ilvl w:val="0"/>
          <w:numId w:val="23"/>
        </w:numPr>
        <w:rPr>
          <w:rFonts w:ascii="Arial" w:cs="Arial" w:eastAsia="Arial" w:hAnsi="Arial"/>
          <w:sz w:val="18"/>
          <w:szCs w:val="18"/>
          <w:b w:val="1"/>
          <w:bCs w:val="1"/>
          <w:color w:val="852166"/>
        </w:rPr>
      </w:pP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32" w:name="page33"/>
    <w:bookmarkEnd w:id="32"/>
    <w:p>
      <w:pPr>
        <w:ind w:left="91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5617210</wp:posOffset>
            </wp:positionH>
            <wp:positionV relativeFrom="page">
              <wp:posOffset>208915</wp:posOffset>
            </wp:positionV>
            <wp:extent cx="1722755" cy="3003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563880</wp:posOffset>
            </wp:positionV>
            <wp:extent cx="2040255" cy="26917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040255" cy="269176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40"/>
        <w:spacing w:after="0"/>
        <w:rPr>
          <w:sz w:val="20"/>
          <w:szCs w:val="20"/>
          <w:color w:val="auto"/>
        </w:rPr>
      </w:pPr>
      <w:r>
        <w:rPr>
          <w:rFonts w:ascii="Arial" w:cs="Arial" w:eastAsia="Arial" w:hAnsi="Arial"/>
          <w:sz w:val="36"/>
          <w:szCs w:val="36"/>
          <w:b w:val="1"/>
          <w:bCs w:val="1"/>
          <w:color w:val="001C71"/>
        </w:rPr>
        <w:t>Lead</w:t>
      </w:r>
    </w:p>
    <w:p>
      <w:pPr>
        <w:spacing w:after="0" w:line="54" w:lineRule="exact"/>
        <w:rPr>
          <w:sz w:val="20"/>
          <w:szCs w:val="20"/>
          <w:color w:val="auto"/>
        </w:rPr>
      </w:pPr>
    </w:p>
    <w:p>
      <w:pPr>
        <w:ind w:left="1340"/>
        <w:spacing w:after="0"/>
        <w:rPr>
          <w:sz w:val="20"/>
          <w:szCs w:val="20"/>
          <w:color w:val="auto"/>
        </w:rPr>
      </w:pPr>
      <w:r>
        <w:rPr>
          <w:rFonts w:ascii="Arial" w:cs="Arial" w:eastAsia="Arial" w:hAnsi="Arial"/>
          <w:sz w:val="35"/>
          <w:szCs w:val="35"/>
          <w:b w:val="1"/>
          <w:bCs w:val="1"/>
          <w:color w:val="001C71"/>
        </w:rPr>
        <w:t>Independent</w:t>
      </w:r>
    </w:p>
    <w:p>
      <w:pPr>
        <w:spacing w:after="0" w:line="30" w:lineRule="exact"/>
        <w:rPr>
          <w:sz w:val="20"/>
          <w:szCs w:val="20"/>
          <w:color w:val="auto"/>
        </w:rPr>
      </w:pPr>
    </w:p>
    <w:p>
      <w:pPr>
        <w:ind w:left="1340"/>
        <w:spacing w:after="0"/>
        <w:rPr>
          <w:sz w:val="20"/>
          <w:szCs w:val="20"/>
          <w:color w:val="auto"/>
        </w:rPr>
      </w:pPr>
      <w:r>
        <w:rPr>
          <w:rFonts w:ascii="Arial" w:cs="Arial" w:eastAsia="Arial" w:hAnsi="Arial"/>
          <w:sz w:val="36"/>
          <w:szCs w:val="36"/>
          <w:b w:val="1"/>
          <w:bCs w:val="1"/>
          <w:color w:val="001C71"/>
        </w:rPr>
        <w:t>Director</w:t>
      </w:r>
    </w:p>
    <w:p>
      <w:pPr>
        <w:spacing w:after="0" w:line="173"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CURRENT 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Rick E Winningham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400"/>
        <w:spacing w:after="0" w:line="321" w:lineRule="auto"/>
        <w:rPr>
          <w:sz w:val="20"/>
          <w:szCs w:val="20"/>
          <w:color w:val="auto"/>
        </w:rPr>
      </w:pPr>
      <w:r>
        <w:rPr>
          <w:rFonts w:ascii="Arial" w:cs="Arial" w:eastAsia="Arial" w:hAnsi="Arial"/>
          <w:sz w:val="16"/>
          <w:szCs w:val="16"/>
          <w:color w:val="auto"/>
        </w:rPr>
        <w:t>Mr. Winningham currently serves as our LID. As outlined in our Corporate Governance Guidelines, our LID is responsible for:</w:t>
      </w:r>
    </w:p>
    <w:p>
      <w:pPr>
        <w:spacing w:after="0" w:line="48" w:lineRule="exact"/>
        <w:rPr>
          <w:sz w:val="20"/>
          <w:szCs w:val="20"/>
          <w:color w:val="auto"/>
        </w:rPr>
      </w:pPr>
    </w:p>
    <w:p>
      <w:pPr>
        <w:ind w:left="340" w:right="1380" w:hanging="250"/>
        <w:spacing w:after="0" w:line="321" w:lineRule="auto"/>
        <w:tabs>
          <w:tab w:leader="none" w:pos="329" w:val="left"/>
        </w:tabs>
        <w:numPr>
          <w:ilvl w:val="0"/>
          <w:numId w:val="24"/>
        </w:numPr>
        <w:rPr>
          <w:rFonts w:ascii="Arial" w:cs="Arial" w:eastAsia="Arial" w:hAnsi="Arial"/>
          <w:sz w:val="16"/>
          <w:szCs w:val="16"/>
          <w:b w:val="1"/>
          <w:bCs w:val="1"/>
          <w:color w:val="001C71"/>
        </w:rPr>
      </w:pPr>
      <w:r>
        <w:rPr>
          <w:rFonts w:ascii="Arial" w:cs="Arial" w:eastAsia="Arial" w:hAnsi="Arial"/>
          <w:sz w:val="16"/>
          <w:szCs w:val="16"/>
          <w:color w:val="auto"/>
        </w:rPr>
        <w:t>presiding at all meetings of our Board at which our Chairperson is not present;</w:t>
      </w:r>
    </w:p>
    <w:p>
      <w:pPr>
        <w:spacing w:after="0" w:line="47" w:lineRule="exact"/>
        <w:rPr>
          <w:rFonts w:ascii="Arial" w:cs="Arial" w:eastAsia="Arial" w:hAnsi="Arial"/>
          <w:sz w:val="16"/>
          <w:szCs w:val="16"/>
          <w:b w:val="1"/>
          <w:bCs w:val="1"/>
          <w:color w:val="001C71"/>
        </w:rPr>
      </w:pPr>
    </w:p>
    <w:p>
      <w:pPr>
        <w:ind w:left="340" w:right="1340" w:hanging="250"/>
        <w:spacing w:after="0" w:line="321" w:lineRule="auto"/>
        <w:tabs>
          <w:tab w:leader="none" w:pos="329" w:val="left"/>
        </w:tabs>
        <w:numPr>
          <w:ilvl w:val="0"/>
          <w:numId w:val="24"/>
        </w:numPr>
        <w:rPr>
          <w:rFonts w:ascii="Arial" w:cs="Arial" w:eastAsia="Arial" w:hAnsi="Arial"/>
          <w:sz w:val="16"/>
          <w:szCs w:val="16"/>
          <w:b w:val="1"/>
          <w:bCs w:val="1"/>
          <w:color w:val="001C71"/>
        </w:rPr>
      </w:pPr>
      <w:r>
        <w:rPr>
          <w:rFonts w:ascii="Arial" w:cs="Arial" w:eastAsia="Arial" w:hAnsi="Arial"/>
          <w:sz w:val="16"/>
          <w:szCs w:val="16"/>
          <w:color w:val="auto"/>
        </w:rPr>
        <w:t>serving as the principal liaison between the independent directors and our Chairperson;</w:t>
      </w:r>
    </w:p>
    <w:p>
      <w:pPr>
        <w:spacing w:after="0" w:line="47" w:lineRule="exact"/>
        <w:rPr>
          <w:rFonts w:ascii="Arial" w:cs="Arial" w:eastAsia="Arial" w:hAnsi="Arial"/>
          <w:sz w:val="16"/>
          <w:szCs w:val="16"/>
          <w:b w:val="1"/>
          <w:bCs w:val="1"/>
          <w:color w:val="001C71"/>
        </w:rPr>
      </w:pPr>
    </w:p>
    <w:p>
      <w:pPr>
        <w:ind w:left="340" w:right="1600" w:hanging="250"/>
        <w:spacing w:after="0" w:line="301" w:lineRule="auto"/>
        <w:tabs>
          <w:tab w:leader="none" w:pos="329" w:val="left"/>
        </w:tabs>
        <w:numPr>
          <w:ilvl w:val="0"/>
          <w:numId w:val="24"/>
        </w:numPr>
        <w:rPr>
          <w:rFonts w:ascii="Arial" w:cs="Arial" w:eastAsia="Arial" w:hAnsi="Arial"/>
          <w:sz w:val="16"/>
          <w:szCs w:val="16"/>
          <w:b w:val="1"/>
          <w:bCs w:val="1"/>
          <w:color w:val="001C71"/>
        </w:rPr>
      </w:pPr>
      <w:r>
        <w:rPr>
          <w:rFonts w:ascii="Arial" w:cs="Arial" w:eastAsia="Arial" w:hAnsi="Arial"/>
          <w:sz w:val="16"/>
          <w:szCs w:val="16"/>
          <w:color w:val="auto"/>
        </w:rPr>
        <w:t>coordinating the activities of the independent directors, including developing agendas for and presiding at executive sessions of the independent directors;</w:t>
      </w:r>
    </w:p>
    <w:p>
      <w:pPr>
        <w:spacing w:after="0" w:line="63" w:lineRule="exact"/>
        <w:rPr>
          <w:rFonts w:ascii="Arial" w:cs="Arial" w:eastAsia="Arial" w:hAnsi="Arial"/>
          <w:sz w:val="16"/>
          <w:szCs w:val="16"/>
          <w:b w:val="1"/>
          <w:bCs w:val="1"/>
          <w:color w:val="001C71"/>
        </w:rPr>
      </w:pPr>
    </w:p>
    <w:p>
      <w:pPr>
        <w:ind w:left="340" w:right="1120" w:hanging="250"/>
        <w:spacing w:after="0" w:line="321" w:lineRule="auto"/>
        <w:tabs>
          <w:tab w:leader="none" w:pos="329" w:val="left"/>
        </w:tabs>
        <w:numPr>
          <w:ilvl w:val="0"/>
          <w:numId w:val="24"/>
        </w:numPr>
        <w:rPr>
          <w:rFonts w:ascii="Arial" w:cs="Arial" w:eastAsia="Arial" w:hAnsi="Arial"/>
          <w:sz w:val="16"/>
          <w:szCs w:val="16"/>
          <w:b w:val="1"/>
          <w:bCs w:val="1"/>
          <w:color w:val="001C71"/>
        </w:rPr>
      </w:pPr>
      <w:r>
        <w:rPr>
          <w:rFonts w:ascii="Arial" w:cs="Arial" w:eastAsia="Arial" w:hAnsi="Arial"/>
          <w:sz w:val="16"/>
          <w:szCs w:val="16"/>
          <w:color w:val="auto"/>
        </w:rPr>
        <w:t>advising our Chairperson on our Board and committee agendas, meeting schedules and information provided to other directors;</w:t>
      </w:r>
    </w:p>
    <w:p>
      <w:pPr>
        <w:spacing w:after="0" w:line="34" w:lineRule="exact"/>
        <w:rPr>
          <w:rFonts w:ascii="Arial" w:cs="Arial" w:eastAsia="Arial" w:hAnsi="Arial"/>
          <w:sz w:val="16"/>
          <w:szCs w:val="16"/>
          <w:b w:val="1"/>
          <w:bCs w:val="1"/>
          <w:color w:val="001C71"/>
        </w:rPr>
      </w:pPr>
    </w:p>
    <w:p>
      <w:pPr>
        <w:ind w:left="340" w:right="1480" w:hanging="250"/>
        <w:spacing w:after="0" w:line="321" w:lineRule="auto"/>
        <w:tabs>
          <w:tab w:leader="none" w:pos="329" w:val="left"/>
        </w:tabs>
        <w:numPr>
          <w:ilvl w:val="0"/>
          <w:numId w:val="24"/>
        </w:numPr>
        <w:rPr>
          <w:rFonts w:ascii="Arial" w:cs="Arial" w:eastAsia="Arial" w:hAnsi="Arial"/>
          <w:sz w:val="16"/>
          <w:szCs w:val="16"/>
          <w:b w:val="1"/>
          <w:bCs w:val="1"/>
          <w:color w:val="001C71"/>
        </w:rPr>
      </w:pPr>
      <w:r>
        <w:rPr>
          <w:rFonts w:ascii="Arial" w:cs="Arial" w:eastAsia="Arial" w:hAnsi="Arial"/>
          <w:sz w:val="16"/>
          <w:szCs w:val="16"/>
          <w:color w:val="auto"/>
        </w:rPr>
        <w:t>discussing the results of the CEO’s performance evaluation with the chair of our Compensation Committee; and</w:t>
      </w:r>
    </w:p>
    <w:p>
      <w:pPr>
        <w:spacing w:after="0" w:line="47" w:lineRule="exact"/>
        <w:rPr>
          <w:rFonts w:ascii="Arial" w:cs="Arial" w:eastAsia="Arial" w:hAnsi="Arial"/>
          <w:sz w:val="16"/>
          <w:szCs w:val="16"/>
          <w:b w:val="1"/>
          <w:bCs w:val="1"/>
          <w:color w:val="001C71"/>
        </w:rPr>
      </w:pPr>
    </w:p>
    <w:p>
      <w:pPr>
        <w:ind w:left="340" w:right="1660" w:hanging="250"/>
        <w:spacing w:after="0" w:line="321" w:lineRule="auto"/>
        <w:tabs>
          <w:tab w:leader="none" w:pos="329" w:val="left"/>
        </w:tabs>
        <w:numPr>
          <w:ilvl w:val="0"/>
          <w:numId w:val="24"/>
        </w:numPr>
        <w:rPr>
          <w:rFonts w:ascii="Arial" w:cs="Arial" w:eastAsia="Arial" w:hAnsi="Arial"/>
          <w:sz w:val="16"/>
          <w:szCs w:val="16"/>
          <w:b w:val="1"/>
          <w:bCs w:val="1"/>
          <w:color w:val="001C71"/>
        </w:rPr>
      </w:pPr>
      <w:r>
        <w:rPr>
          <w:rFonts w:ascii="Arial" w:cs="Arial" w:eastAsia="Arial" w:hAnsi="Arial"/>
          <w:sz w:val="16"/>
          <w:szCs w:val="16"/>
          <w:color w:val="auto"/>
        </w:rPr>
        <w:t>calling meetings of the independent directors of our Board, where necessary.</w:t>
      </w:r>
    </w:p>
    <w:p>
      <w:pPr>
        <w:spacing w:after="0" w:line="200" w:lineRule="exact"/>
        <w:rPr>
          <w:sz w:val="20"/>
          <w:szCs w:val="20"/>
          <w:color w:val="auto"/>
        </w:rPr>
      </w:pPr>
    </w:p>
    <w:p>
      <w:pPr>
        <w:sectPr>
          <w:pgSz w:w="11900" w:h="16838" w:orient="portrait"/>
          <w:cols w:equalWidth="0" w:num="2">
            <w:col w:w="3860" w:space="720"/>
            <w:col w:w="6660"/>
          </w:cols>
          <w:pgMar w:left="320" w:top="522" w:right="339" w:bottom="1440" w:gutter="0" w:footer="0" w:header="0"/>
          <w:type w:val="continuous"/>
        </w:sectPr>
      </w:pPr>
    </w:p>
    <w:p>
      <w:pPr>
        <w:spacing w:after="0" w:line="239"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In addition, Mr. Winningham attends meetings of committees where he is not a member to remain informed. He regularly communicates with our Chairperson and CEO on matters involving our Company, seeks input from other independent directors relating to significant developments affecting our Company between regular board meetings and attends certain meetings involving strategic portfolio and/or scientific reviews. Mr. Winningham also makes himself available for direct communication with significant shareholders as necessary.</w:t>
      </w:r>
    </w:p>
    <w:p>
      <w:pPr>
        <w:spacing w:after="0" w:line="144" w:lineRule="exact"/>
        <w:rPr>
          <w:sz w:val="20"/>
          <w:szCs w:val="20"/>
          <w:color w:val="auto"/>
        </w:rPr>
      </w:pPr>
    </w:p>
    <w:p>
      <w:pPr>
        <w:spacing w:after="0"/>
        <w:rPr>
          <w:sz w:val="20"/>
          <w:szCs w:val="20"/>
          <w:color w:val="auto"/>
        </w:rPr>
      </w:pPr>
      <w:r>
        <w:rPr>
          <w:rFonts w:ascii="Arial" w:cs="Arial" w:eastAsia="Arial" w:hAnsi="Arial"/>
          <w:sz w:val="29"/>
          <w:szCs w:val="29"/>
          <w:color w:val="852166"/>
        </w:rPr>
        <w:t>Independence of our Board</w:t>
      </w:r>
    </w:p>
    <w:p>
      <w:pPr>
        <w:spacing w:after="0" w:line="198"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The Nasdaq listing rules require that a majority of the members of a listed company’s board of directors qualify as “independent,” as affirmatively determined by our Board.</w:t>
      </w:r>
    </w:p>
    <w:p>
      <w:pPr>
        <w:spacing w:after="0" w:line="102"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At least annually, our Nominating Committee consults with counsel to ensure that our Board’s determinations are consistent with the applicable Nasdaq and SEC rules and regulations regarding the definition of “independent”.</w:t>
      </w:r>
    </w:p>
    <w:p>
      <w:pPr>
        <w:spacing w:after="0" w:line="10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Following a review of all relevant transactions or relationships between each director, or any of his or her family members, and us, our senior management and our independent registered public accounting firm, our Board has affirmatively determined that all of our current directors, are independent directors within the meaning of the applicable Nasdaq listing standards, except that Ms. Gala, our President, CEO and Director, and Mr. Cozadd, our Chairperson and former CEO, are not independent by virtue of Ms. Gala’s employment with our company and Mr. Cozadd’s previous employment with our Company, which ended in September 2025. In addition, our Board has determined that each member of our Audit Committee, Compensation Committee and Nominating Committee meets the applicable Nasdaq and SEC rules and regulations regarding “independence” and that each member is free of any relationship that would impair their individual exercise of independent judgment regarding our Company. Our Board had previously determined that Kenneth W. O’Keefe, who retired from our Board in December 2025, was an “independent director” as defined under the applicable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177165</wp:posOffset>
            </wp:positionV>
            <wp:extent cx="1242695" cy="2057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25</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33" w:name="page34"/>
    <w:bookmarkEnd w:id="33"/>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3003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Board Management and Oversight</w:t>
      </w:r>
    </w:p>
    <w:p>
      <w:pPr>
        <w:spacing w:after="0" w:line="19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primary duties of our Board are to provide counseling and oversight of the business and affairs of our Company, provide direction to the management of our Company in the interests, and for the benefit, of our Company’s shareholders and to seek to enhance shareholder value. In performing their duties, the directors are required to exercise their business judgment in the best interests of our Company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291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BOARD RESPONSIBILITIES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36175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3617595"/>
                    </a:xfrm>
                    <a:prstGeom prst="rect">
                      <a:avLst/>
                    </a:prstGeom>
                    <a:noFill/>
                  </pic:spPr>
                </pic:pic>
              </a:graphicData>
            </a:graphic>
          </wp:anchor>
        </w:drawing>
      </w:r>
    </w:p>
    <w:p>
      <w:pPr>
        <w:spacing w:after="0" w:line="291" w:lineRule="exact"/>
        <w:rPr>
          <w:sz w:val="20"/>
          <w:szCs w:val="20"/>
          <w:color w:val="auto"/>
        </w:rPr>
      </w:pPr>
    </w:p>
    <w:p>
      <w:pPr>
        <w:ind w:left="480" w:hanging="225"/>
        <w:spacing w:after="0"/>
        <w:tabs>
          <w:tab w:leader="none" w:pos="480" w:val="left"/>
        </w:tabs>
        <w:numPr>
          <w:ilvl w:val="0"/>
          <w:numId w:val="25"/>
        </w:numPr>
        <w:rPr>
          <w:rFonts w:ascii="Arial" w:cs="Arial" w:eastAsia="Arial" w:hAnsi="Arial"/>
          <w:sz w:val="16"/>
          <w:szCs w:val="16"/>
          <w:b w:val="1"/>
          <w:bCs w:val="1"/>
          <w:color w:val="636466"/>
        </w:rPr>
      </w:pPr>
      <w:r>
        <w:rPr>
          <w:rFonts w:ascii="Arial" w:cs="Arial" w:eastAsia="Arial" w:hAnsi="Arial"/>
          <w:sz w:val="16"/>
          <w:szCs w:val="16"/>
          <w:color w:val="636466"/>
        </w:rPr>
        <w:t>Selecting and electing our CEO;</w:t>
      </w:r>
    </w:p>
    <w:p>
      <w:pPr>
        <w:spacing w:after="0" w:line="140" w:lineRule="exact"/>
        <w:rPr>
          <w:rFonts w:ascii="Arial" w:cs="Arial" w:eastAsia="Arial" w:hAnsi="Arial"/>
          <w:sz w:val="16"/>
          <w:szCs w:val="16"/>
          <w:b w:val="1"/>
          <w:bCs w:val="1"/>
          <w:color w:val="636466"/>
        </w:rPr>
      </w:pPr>
    </w:p>
    <w:p>
      <w:pPr>
        <w:ind w:left="500" w:right="440" w:hanging="245"/>
        <w:spacing w:after="0" w:line="321" w:lineRule="auto"/>
        <w:tabs>
          <w:tab w:leader="none" w:pos="489" w:val="left"/>
        </w:tabs>
        <w:numPr>
          <w:ilvl w:val="0"/>
          <w:numId w:val="25"/>
        </w:numPr>
        <w:rPr>
          <w:rFonts w:ascii="Arial" w:cs="Arial" w:eastAsia="Arial" w:hAnsi="Arial"/>
          <w:sz w:val="16"/>
          <w:szCs w:val="16"/>
          <w:b w:val="1"/>
          <w:bCs w:val="1"/>
          <w:color w:val="636466"/>
        </w:rPr>
      </w:pPr>
      <w:r>
        <w:rPr>
          <w:rFonts w:ascii="Arial" w:cs="Arial" w:eastAsia="Arial" w:hAnsi="Arial"/>
          <w:sz w:val="16"/>
          <w:szCs w:val="16"/>
          <w:color w:val="636466"/>
        </w:rPr>
        <w:t>Annually evaluating the performance of our CEO, and, upon the recommendation of our Compensation Committee, approving the compensation and other terms of employment of the CEO;</w:t>
      </w:r>
    </w:p>
    <w:p>
      <w:pPr>
        <w:spacing w:after="0" w:line="47" w:lineRule="exact"/>
        <w:rPr>
          <w:rFonts w:ascii="Arial" w:cs="Arial" w:eastAsia="Arial" w:hAnsi="Arial"/>
          <w:sz w:val="16"/>
          <w:szCs w:val="16"/>
          <w:b w:val="1"/>
          <w:bCs w:val="1"/>
          <w:color w:val="636466"/>
        </w:rPr>
      </w:pPr>
    </w:p>
    <w:p>
      <w:pPr>
        <w:jc w:val="both"/>
        <w:ind w:left="500" w:right="280" w:hanging="245"/>
        <w:spacing w:after="0" w:line="301" w:lineRule="auto"/>
        <w:tabs>
          <w:tab w:leader="none" w:pos="489" w:val="left"/>
        </w:tabs>
        <w:numPr>
          <w:ilvl w:val="0"/>
          <w:numId w:val="25"/>
        </w:numPr>
        <w:rPr>
          <w:rFonts w:ascii="Arial" w:cs="Arial" w:eastAsia="Arial" w:hAnsi="Arial"/>
          <w:sz w:val="16"/>
          <w:szCs w:val="16"/>
          <w:b w:val="1"/>
          <w:bCs w:val="1"/>
          <w:color w:val="636466"/>
        </w:rPr>
      </w:pPr>
      <w:r>
        <w:rPr>
          <w:rFonts w:ascii="Arial" w:cs="Arial" w:eastAsia="Arial" w:hAnsi="Arial"/>
          <w:sz w:val="16"/>
          <w:szCs w:val="16"/>
          <w:color w:val="636466"/>
        </w:rPr>
        <w:t>Acting through the authority delegated to our Compensation Committee, conferring with our CEO regarding the performance of all other executive officers of our Company (other than our CEO), determining the compensation arrangements for all such other executive officers (other than for our CEO);</w:t>
      </w:r>
    </w:p>
    <w:p>
      <w:pPr>
        <w:spacing w:after="0" w:line="63" w:lineRule="exact"/>
        <w:rPr>
          <w:rFonts w:ascii="Arial" w:cs="Arial" w:eastAsia="Arial" w:hAnsi="Arial"/>
          <w:sz w:val="16"/>
          <w:szCs w:val="16"/>
          <w:b w:val="1"/>
          <w:bCs w:val="1"/>
          <w:color w:val="636466"/>
        </w:rPr>
      </w:pPr>
    </w:p>
    <w:p>
      <w:pPr>
        <w:ind w:left="500" w:right="460" w:hanging="245"/>
        <w:spacing w:after="0" w:line="321" w:lineRule="auto"/>
        <w:tabs>
          <w:tab w:leader="none" w:pos="489" w:val="left"/>
        </w:tabs>
        <w:numPr>
          <w:ilvl w:val="0"/>
          <w:numId w:val="25"/>
        </w:numPr>
        <w:rPr>
          <w:rFonts w:ascii="Arial" w:cs="Arial" w:eastAsia="Arial" w:hAnsi="Arial"/>
          <w:sz w:val="16"/>
          <w:szCs w:val="16"/>
          <w:b w:val="1"/>
          <w:bCs w:val="1"/>
          <w:color w:val="636466"/>
        </w:rPr>
      </w:pPr>
      <w:r>
        <w:rPr>
          <w:rFonts w:ascii="Arial" w:cs="Arial" w:eastAsia="Arial" w:hAnsi="Arial"/>
          <w:sz w:val="16"/>
          <w:szCs w:val="16"/>
          <w:color w:val="636466"/>
        </w:rPr>
        <w:t>Acting through the authority delegated to our Compensation Committee, periodically reviewing, together with our CEO, succession planning and management development;</w:t>
      </w:r>
    </w:p>
    <w:p>
      <w:pPr>
        <w:spacing w:after="0" w:line="47" w:lineRule="exact"/>
        <w:rPr>
          <w:rFonts w:ascii="Arial" w:cs="Arial" w:eastAsia="Arial" w:hAnsi="Arial"/>
          <w:sz w:val="16"/>
          <w:szCs w:val="16"/>
          <w:b w:val="1"/>
          <w:bCs w:val="1"/>
          <w:color w:val="636466"/>
        </w:rPr>
      </w:pPr>
    </w:p>
    <w:p>
      <w:pPr>
        <w:ind w:left="480" w:hanging="225"/>
        <w:spacing w:after="0"/>
        <w:tabs>
          <w:tab w:leader="none" w:pos="480" w:val="left"/>
        </w:tabs>
        <w:numPr>
          <w:ilvl w:val="0"/>
          <w:numId w:val="25"/>
        </w:numPr>
        <w:rPr>
          <w:rFonts w:ascii="Arial" w:cs="Arial" w:eastAsia="Arial" w:hAnsi="Arial"/>
          <w:sz w:val="16"/>
          <w:szCs w:val="16"/>
          <w:b w:val="1"/>
          <w:bCs w:val="1"/>
          <w:color w:val="636466"/>
        </w:rPr>
      </w:pPr>
      <w:r>
        <w:rPr>
          <w:rFonts w:ascii="Arial" w:cs="Arial" w:eastAsia="Arial" w:hAnsi="Arial"/>
          <w:sz w:val="16"/>
          <w:szCs w:val="16"/>
          <w:color w:val="636466"/>
        </w:rPr>
        <w:t>Reviewing and, where appropriate, approving our Company’s major financial objectives, strategic and operating plans and actions;</w:t>
      </w:r>
    </w:p>
    <w:p>
      <w:pPr>
        <w:spacing w:after="0" w:line="140" w:lineRule="exact"/>
        <w:rPr>
          <w:rFonts w:ascii="Arial" w:cs="Arial" w:eastAsia="Arial" w:hAnsi="Arial"/>
          <w:sz w:val="16"/>
          <w:szCs w:val="16"/>
          <w:b w:val="1"/>
          <w:bCs w:val="1"/>
          <w:color w:val="636466"/>
        </w:rPr>
      </w:pPr>
    </w:p>
    <w:p>
      <w:pPr>
        <w:ind w:left="500" w:right="500" w:hanging="245"/>
        <w:spacing w:after="0" w:line="321" w:lineRule="auto"/>
        <w:tabs>
          <w:tab w:leader="none" w:pos="489" w:val="left"/>
        </w:tabs>
        <w:numPr>
          <w:ilvl w:val="0"/>
          <w:numId w:val="25"/>
        </w:numPr>
        <w:rPr>
          <w:rFonts w:ascii="Arial" w:cs="Arial" w:eastAsia="Arial" w:hAnsi="Arial"/>
          <w:sz w:val="16"/>
          <w:szCs w:val="16"/>
          <w:b w:val="1"/>
          <w:bCs w:val="1"/>
          <w:color w:val="636466"/>
        </w:rPr>
      </w:pPr>
      <w:r>
        <w:rPr>
          <w:rFonts w:ascii="Arial" w:cs="Arial" w:eastAsia="Arial" w:hAnsi="Arial"/>
          <w:sz w:val="16"/>
          <w:szCs w:val="16"/>
          <w:color w:val="636466"/>
        </w:rPr>
        <w:t>Overseeing the conduct of our Company’s business to monitor whether our business is being appropriately managed, including specifically with respect to ERM;</w:t>
      </w:r>
    </w:p>
    <w:p>
      <w:pPr>
        <w:spacing w:after="0" w:line="47" w:lineRule="exact"/>
        <w:rPr>
          <w:rFonts w:ascii="Arial" w:cs="Arial" w:eastAsia="Arial" w:hAnsi="Arial"/>
          <w:sz w:val="16"/>
          <w:szCs w:val="16"/>
          <w:b w:val="1"/>
          <w:bCs w:val="1"/>
          <w:color w:val="636466"/>
        </w:rPr>
      </w:pPr>
    </w:p>
    <w:p>
      <w:pPr>
        <w:ind w:left="500" w:right="380" w:hanging="245"/>
        <w:spacing w:after="0" w:line="291" w:lineRule="auto"/>
        <w:tabs>
          <w:tab w:leader="none" w:pos="489" w:val="left"/>
        </w:tabs>
        <w:numPr>
          <w:ilvl w:val="0"/>
          <w:numId w:val="25"/>
        </w:numPr>
        <w:rPr>
          <w:rFonts w:ascii="Arial" w:cs="Arial" w:eastAsia="Arial" w:hAnsi="Arial"/>
          <w:sz w:val="16"/>
          <w:szCs w:val="16"/>
          <w:b w:val="1"/>
          <w:bCs w:val="1"/>
          <w:color w:val="636466"/>
        </w:rPr>
      </w:pPr>
      <w:r>
        <w:rPr>
          <w:rFonts w:ascii="Arial" w:cs="Arial" w:eastAsia="Arial" w:hAnsi="Arial"/>
          <w:sz w:val="16"/>
          <w:szCs w:val="16"/>
          <w:color w:val="636466"/>
        </w:rPr>
        <w:t>Acting through authority delegated to our Audit Committee, overseeing the processes for maintaining the integrity of our Company with regard to its financial statements and other public disclosures, including its ESG-related disclosures, and compliance with our Company’s programs and policies designed to ensure adherence to applicable laws and rules, as well as to our Code of Conduct and Ethics, as it relates to our Company’s financial statements, accounting practices, and independent registered public accounting firm or auditors for the purpose of preparing or issuing an audit report or performing audit services; and</w:t>
      </w:r>
    </w:p>
    <w:p>
      <w:pPr>
        <w:spacing w:after="0" w:line="72" w:lineRule="exact"/>
        <w:rPr>
          <w:rFonts w:ascii="Arial" w:cs="Arial" w:eastAsia="Arial" w:hAnsi="Arial"/>
          <w:sz w:val="16"/>
          <w:szCs w:val="16"/>
          <w:b w:val="1"/>
          <w:bCs w:val="1"/>
          <w:color w:val="636466"/>
        </w:rPr>
      </w:pPr>
    </w:p>
    <w:p>
      <w:pPr>
        <w:ind w:left="500" w:right="340" w:hanging="245"/>
        <w:spacing w:after="0" w:line="291" w:lineRule="auto"/>
        <w:tabs>
          <w:tab w:leader="none" w:pos="489" w:val="left"/>
        </w:tabs>
        <w:numPr>
          <w:ilvl w:val="0"/>
          <w:numId w:val="25"/>
        </w:numPr>
        <w:rPr>
          <w:rFonts w:ascii="Arial" w:cs="Arial" w:eastAsia="Arial" w:hAnsi="Arial"/>
          <w:sz w:val="16"/>
          <w:szCs w:val="16"/>
          <w:b w:val="1"/>
          <w:bCs w:val="1"/>
          <w:color w:val="636466"/>
        </w:rPr>
      </w:pPr>
      <w:r>
        <w:rPr>
          <w:rFonts w:ascii="Arial" w:cs="Arial" w:eastAsia="Arial" w:hAnsi="Arial"/>
          <w:sz w:val="16"/>
          <w:szCs w:val="16"/>
          <w:color w:val="636466"/>
        </w:rPr>
        <w:t>Acting through authority delegated to our Nominating Committee, overseeing our Company’s adherence to our corporate governance standards and compliance with our key corporate governance documents, including our Corporate Governance Guidelines and our Code of Conduct and Ethics and compliance with our Company's programs and policies designed to ensure adherence to applicable laws and rules, in each case other than as related to our Company's financial statements, accounting practices and auditors, as well as overseeing our Company’s ESG program and strategy and our Company’s compliance, ethics and privacy programs.</w:t>
      </w:r>
    </w:p>
    <w:p>
      <w:pPr>
        <w:spacing w:after="0" w:line="200" w:lineRule="exact"/>
        <w:rPr>
          <w:sz w:val="20"/>
          <w:szCs w:val="20"/>
          <w:color w:val="auto"/>
        </w:rPr>
      </w:pPr>
    </w:p>
    <w:p>
      <w:pPr>
        <w:spacing w:after="0" w:line="30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Our Board has delegated to our CEO, working with our other executive officers, the authority and responsibility for managing the business of our Company in a manner consistent with the standards and practices of our Company, and in accordance with any specific plans, instructions or directions of our Board. Our CEO and management are responsible for seeking the advice and, in appropriate situations, the approval of our Board with respect to extraordinary actions to be undertaken by our Company.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Oversight of Corporate Strategy</w:t>
      </w:r>
    </w:p>
    <w:p>
      <w:pPr>
        <w:spacing w:after="0" w:line="18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Our Board plays a crucial role in overseeing our long-term corporate strategy, approving strategic plans, monitoring performance with key metrics, allocating resources effectively, and making informed investment decisions. By promoting innovation and adaptability, our Board strives to ensure that our Company remains agile and competitive in a dynamic market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182880</wp:posOffset>
            </wp:positionV>
            <wp:extent cx="1242695" cy="2057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9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26</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4" w:name="page35"/>
    <w:bookmarkEnd w:id="34"/>
    <w:p>
      <w:pPr>
        <w:ind w:left="91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5617210</wp:posOffset>
            </wp:positionH>
            <wp:positionV relativeFrom="page">
              <wp:posOffset>208915</wp:posOffset>
            </wp:positionV>
            <wp:extent cx="1722755" cy="3003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Oversight of Risk</w:t>
      </w:r>
    </w:p>
    <w:p>
      <w:pPr>
        <w:spacing w:after="0" w:line="18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Acting as a full Board and through its four standing committees, our Board provides oversight of risk management including, financial, operational, business, intellectual property, information technology (including cybersecurity), public policy, reputational risk, governance and compliance. Our Board has delegated oversight of certain risks to its committees, each of which regularly reports to our Board on their risk management oversight activities. Management also regularly report to our Board with updates on certain key risks and 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132080</wp:posOffset>
            </wp:positionV>
            <wp:extent cx="196850" cy="2228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96850" cy="22288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40" w:type="dxa"/>
            <w:vAlign w:val="bottom"/>
          </w:tcPr>
          <w:p>
            <w:pPr>
              <w:ind w:left="480"/>
              <w:spacing w:after="0"/>
              <w:rPr>
                <w:sz w:val="20"/>
                <w:szCs w:val="20"/>
                <w:color w:val="auto"/>
              </w:rPr>
            </w:pPr>
            <w:r>
              <w:rPr>
                <w:rFonts w:ascii="Arial" w:cs="Arial" w:eastAsia="Arial" w:hAnsi="Arial"/>
                <w:sz w:val="14"/>
                <w:szCs w:val="14"/>
                <w:b w:val="1"/>
                <w:bCs w:val="1"/>
                <w:color w:val="852166"/>
              </w:rPr>
              <w:t>Audit Committee</w:t>
            </w:r>
          </w:p>
        </w:tc>
        <w:tc>
          <w:tcPr>
            <w:tcW w:w="9500" w:type="dxa"/>
            <w:vAlign w:val="bottom"/>
          </w:tcPr>
          <w:p>
            <w:pPr>
              <w:ind w:left="120"/>
              <w:spacing w:after="0"/>
              <w:rPr>
                <w:sz w:val="20"/>
                <w:szCs w:val="20"/>
                <w:color w:val="auto"/>
              </w:rPr>
            </w:pPr>
            <w:r>
              <w:rPr>
                <w:rFonts w:ascii="Arial" w:cs="Arial" w:eastAsia="Arial" w:hAnsi="Arial"/>
                <w:sz w:val="14"/>
                <w:szCs w:val="14"/>
                <w:color w:val="auto"/>
              </w:rPr>
              <w:t>Our Audit Committee is responsible for overseeing our financial reporting process on behalf of our Board and reviewing with management and our</w:t>
            </w:r>
          </w:p>
        </w:tc>
      </w:tr>
      <w:tr>
        <w:trPr>
          <w:trHeight w:val="176"/>
        </w:trPr>
        <w:tc>
          <w:tcPr>
            <w:tcW w:w="1740" w:type="dxa"/>
            <w:vAlign w:val="bottom"/>
          </w:tcPr>
          <w:p>
            <w:pPr>
              <w:spacing w:after="0"/>
              <w:rPr>
                <w:sz w:val="15"/>
                <w:szCs w:val="15"/>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auditors, as appropriate, our major financial risk exposures and the steps taken by management to monitor and control these exposures. Our Audit</w:t>
            </w:r>
          </w:p>
        </w:tc>
      </w:tr>
      <w:tr>
        <w:trPr>
          <w:trHeight w:val="162"/>
        </w:trPr>
        <w:tc>
          <w:tcPr>
            <w:tcW w:w="1740" w:type="dxa"/>
            <w:vAlign w:val="bottom"/>
          </w:tcPr>
          <w:p>
            <w:pPr>
              <w:spacing w:after="0"/>
              <w:rPr>
                <w:sz w:val="14"/>
                <w:szCs w:val="14"/>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Committee helps oversee our cybersecurity risk management processes, including oversight of risks from cybersecurity threats. Our Audit</w:t>
            </w:r>
          </w:p>
        </w:tc>
      </w:tr>
      <w:tr>
        <w:trPr>
          <w:trHeight w:val="176"/>
        </w:trPr>
        <w:tc>
          <w:tcPr>
            <w:tcW w:w="1740" w:type="dxa"/>
            <w:vAlign w:val="bottom"/>
          </w:tcPr>
          <w:p>
            <w:pPr>
              <w:spacing w:after="0"/>
              <w:rPr>
                <w:sz w:val="15"/>
                <w:szCs w:val="15"/>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Committee receives quarterly updates on information security developments, cybersecurity incidents and the steps taken by management to</w:t>
            </w:r>
          </w:p>
        </w:tc>
      </w:tr>
      <w:tr>
        <w:trPr>
          <w:trHeight w:val="190"/>
        </w:trPr>
        <w:tc>
          <w:tcPr>
            <w:tcW w:w="1740" w:type="dxa"/>
            <w:vAlign w:val="bottom"/>
          </w:tcPr>
          <w:p>
            <w:pPr>
              <w:spacing w:after="0"/>
              <w:rPr>
                <w:sz w:val="16"/>
                <w:szCs w:val="16"/>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monitor and mitigate risk exposures in these areas.</w:t>
            </w:r>
          </w:p>
        </w:tc>
      </w:tr>
      <w:tr>
        <w:trPr>
          <w:trHeight w:val="76"/>
        </w:trPr>
        <w:tc>
          <w:tcPr>
            <w:tcW w:w="1740" w:type="dxa"/>
            <w:vAlign w:val="bottom"/>
            <w:tcBorders>
              <w:bottom w:val="single" w:sz="8" w:color="5673B8"/>
            </w:tcBorders>
          </w:tcPr>
          <w:p>
            <w:pPr>
              <w:spacing w:after="0"/>
              <w:rPr>
                <w:sz w:val="6"/>
                <w:szCs w:val="6"/>
                <w:color w:val="auto"/>
              </w:rPr>
            </w:pPr>
          </w:p>
        </w:tc>
        <w:tc>
          <w:tcPr>
            <w:tcW w:w="9500" w:type="dxa"/>
            <w:vAlign w:val="bottom"/>
            <w:tcBorders>
              <w:bottom w:val="single" w:sz="8" w:color="5673B8"/>
            </w:tcBorders>
          </w:tcPr>
          <w:p>
            <w:pPr>
              <w:spacing w:after="0"/>
              <w:rPr>
                <w:sz w:val="6"/>
                <w:szCs w:val="6"/>
                <w:color w:val="auto"/>
              </w:rPr>
            </w:pPr>
          </w:p>
        </w:tc>
      </w:tr>
      <w:tr>
        <w:trPr>
          <w:trHeight w:val="227"/>
        </w:trPr>
        <w:tc>
          <w:tcPr>
            <w:tcW w:w="1740" w:type="dxa"/>
            <w:vAlign w:val="bottom"/>
          </w:tcPr>
          <w:p>
            <w:pPr>
              <w:ind w:left="480"/>
              <w:spacing w:after="0"/>
              <w:rPr>
                <w:sz w:val="20"/>
                <w:szCs w:val="20"/>
                <w:color w:val="auto"/>
              </w:rPr>
            </w:pPr>
            <w:r>
              <w:rPr>
                <w:rFonts w:ascii="Arial" w:cs="Arial" w:eastAsia="Arial" w:hAnsi="Arial"/>
                <w:sz w:val="14"/>
                <w:szCs w:val="14"/>
                <w:b w:val="1"/>
                <w:bCs w:val="1"/>
                <w:color w:val="852166"/>
              </w:rPr>
              <w:t>Compensation</w:t>
            </w:r>
          </w:p>
        </w:tc>
        <w:tc>
          <w:tcPr>
            <w:tcW w:w="9500" w:type="dxa"/>
            <w:vAlign w:val="bottom"/>
          </w:tcPr>
          <w:p>
            <w:pPr>
              <w:ind w:left="120"/>
              <w:spacing w:after="0"/>
              <w:rPr>
                <w:sz w:val="20"/>
                <w:szCs w:val="20"/>
                <w:color w:val="auto"/>
              </w:rPr>
            </w:pPr>
            <w:r>
              <w:rPr>
                <w:rFonts w:ascii="Arial" w:cs="Arial" w:eastAsia="Arial" w:hAnsi="Arial"/>
                <w:sz w:val="14"/>
                <w:szCs w:val="14"/>
                <w:color w:val="auto"/>
              </w:rPr>
              <w:t>Our Compensation Committee approves compensation of executive officers and all material compensation plans and reviews our compensation</w:t>
            </w:r>
          </w:p>
        </w:tc>
      </w:tr>
      <w:tr>
        <w:trPr>
          <w:trHeight w:val="175"/>
        </w:trPr>
        <w:tc>
          <w:tcPr>
            <w:tcW w:w="1740" w:type="dxa"/>
            <w:vAlign w:val="bottom"/>
          </w:tcPr>
          <w:p>
            <w:pPr>
              <w:ind w:left="480"/>
              <w:spacing w:after="0"/>
              <w:rPr>
                <w:sz w:val="20"/>
                <w:szCs w:val="20"/>
                <w:color w:val="auto"/>
              </w:rPr>
            </w:pPr>
            <w:r>
              <w:rPr>
                <w:rFonts w:ascii="Arial" w:cs="Arial" w:eastAsia="Arial" w:hAnsi="Arial"/>
                <w:sz w:val="14"/>
                <w:szCs w:val="14"/>
                <w:b w:val="1"/>
                <w:bCs w:val="1"/>
                <w:color w:val="852166"/>
              </w:rPr>
              <w:t>Committee</w:t>
            </w:r>
          </w:p>
        </w:tc>
        <w:tc>
          <w:tcPr>
            <w:tcW w:w="9500" w:type="dxa"/>
            <w:vAlign w:val="bottom"/>
          </w:tcPr>
          <w:p>
            <w:pPr>
              <w:ind w:left="120"/>
              <w:spacing w:after="0"/>
              <w:rPr>
                <w:sz w:val="20"/>
                <w:szCs w:val="20"/>
                <w:color w:val="auto"/>
              </w:rPr>
            </w:pPr>
            <w:r>
              <w:rPr>
                <w:rFonts w:ascii="Arial" w:cs="Arial" w:eastAsia="Arial" w:hAnsi="Arial"/>
                <w:sz w:val="14"/>
                <w:szCs w:val="14"/>
                <w:color w:val="auto"/>
              </w:rPr>
              <w:t>practices to ensure that they do not encourage excessive risk taking and provide appropriate incentives for meeting both short-term and long-term</w:t>
            </w:r>
          </w:p>
        </w:tc>
      </w:tr>
      <w:tr>
        <w:trPr>
          <w:trHeight w:val="162"/>
        </w:trPr>
        <w:tc>
          <w:tcPr>
            <w:tcW w:w="1740" w:type="dxa"/>
            <w:vAlign w:val="bottom"/>
          </w:tcPr>
          <w:p>
            <w:pPr>
              <w:spacing w:after="0"/>
              <w:rPr>
                <w:sz w:val="14"/>
                <w:szCs w:val="14"/>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objectives and increasing shareholder value over time. Our Compensation Committee also works with our Board to oversee matters related to</w:t>
            </w:r>
          </w:p>
        </w:tc>
      </w:tr>
      <w:tr>
        <w:trPr>
          <w:trHeight w:val="175"/>
        </w:trPr>
        <w:tc>
          <w:tcPr>
            <w:tcW w:w="1740" w:type="dxa"/>
            <w:vAlign w:val="bottom"/>
          </w:tcPr>
          <w:p>
            <w:pPr>
              <w:spacing w:after="0"/>
              <w:rPr>
                <w:sz w:val="15"/>
                <w:szCs w:val="15"/>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talent and culture including human capital programs and policies regarding management development, talent planning, and employee</w:t>
            </w:r>
          </w:p>
        </w:tc>
      </w:tr>
      <w:tr>
        <w:trPr>
          <w:trHeight w:val="176"/>
        </w:trPr>
        <w:tc>
          <w:tcPr>
            <w:tcW w:w="1740" w:type="dxa"/>
            <w:vAlign w:val="bottom"/>
          </w:tcPr>
          <w:p>
            <w:pPr>
              <w:spacing w:after="0"/>
              <w:rPr>
                <w:sz w:val="15"/>
                <w:szCs w:val="15"/>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engagement, as well as human capital management, which includes reviewing workforce trends, executive succession plans and talent risk and</w:t>
            </w:r>
          </w:p>
        </w:tc>
      </w:tr>
      <w:tr>
        <w:trPr>
          <w:trHeight w:val="175"/>
        </w:trPr>
        <w:tc>
          <w:tcPr>
            <w:tcW w:w="1740" w:type="dxa"/>
            <w:vAlign w:val="bottom"/>
          </w:tcPr>
          <w:p>
            <w:pPr>
              <w:spacing w:after="0"/>
              <w:rPr>
                <w:sz w:val="15"/>
                <w:szCs w:val="15"/>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maintaining compensation objectives and corporate policies that appropriately incentivize creating and maintaining a positive workplace and</w:t>
            </w:r>
          </w:p>
        </w:tc>
      </w:tr>
      <w:tr>
        <w:trPr>
          <w:trHeight w:val="190"/>
        </w:trPr>
        <w:tc>
          <w:tcPr>
            <w:tcW w:w="1740" w:type="dxa"/>
            <w:vAlign w:val="bottom"/>
          </w:tcPr>
          <w:p>
            <w:pPr>
              <w:spacing w:after="0"/>
              <w:rPr>
                <w:sz w:val="16"/>
                <w:szCs w:val="16"/>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corporate culture.</w:t>
            </w:r>
          </w:p>
        </w:tc>
      </w:tr>
      <w:tr>
        <w:trPr>
          <w:trHeight w:val="76"/>
        </w:trPr>
        <w:tc>
          <w:tcPr>
            <w:tcW w:w="1740" w:type="dxa"/>
            <w:vAlign w:val="bottom"/>
            <w:tcBorders>
              <w:bottom w:val="single" w:sz="8" w:color="5673B8"/>
            </w:tcBorders>
          </w:tcPr>
          <w:p>
            <w:pPr>
              <w:spacing w:after="0"/>
              <w:rPr>
                <w:sz w:val="6"/>
                <w:szCs w:val="6"/>
                <w:color w:val="auto"/>
              </w:rPr>
            </w:pPr>
          </w:p>
        </w:tc>
        <w:tc>
          <w:tcPr>
            <w:tcW w:w="9500" w:type="dxa"/>
            <w:vAlign w:val="bottom"/>
            <w:tcBorders>
              <w:bottom w:val="single" w:sz="8" w:color="5673B8"/>
            </w:tcBorders>
          </w:tcPr>
          <w:p>
            <w:pPr>
              <w:spacing w:after="0"/>
              <w:rPr>
                <w:sz w:val="6"/>
                <w:szCs w:val="6"/>
                <w:color w:val="auto"/>
              </w:rPr>
            </w:pPr>
          </w:p>
        </w:tc>
      </w:tr>
      <w:tr>
        <w:trPr>
          <w:trHeight w:val="227"/>
        </w:trPr>
        <w:tc>
          <w:tcPr>
            <w:tcW w:w="1740" w:type="dxa"/>
            <w:vAlign w:val="bottom"/>
          </w:tcPr>
          <w:p>
            <w:pPr>
              <w:ind w:left="480"/>
              <w:spacing w:after="0"/>
              <w:rPr>
                <w:sz w:val="20"/>
                <w:szCs w:val="20"/>
                <w:color w:val="auto"/>
              </w:rPr>
            </w:pPr>
            <w:r>
              <w:rPr>
                <w:rFonts w:ascii="Arial" w:cs="Arial" w:eastAsia="Arial" w:hAnsi="Arial"/>
                <w:sz w:val="14"/>
                <w:szCs w:val="14"/>
                <w:b w:val="1"/>
                <w:bCs w:val="1"/>
                <w:color w:val="852166"/>
              </w:rPr>
              <w:t>Nominating</w:t>
            </w:r>
          </w:p>
        </w:tc>
        <w:tc>
          <w:tcPr>
            <w:tcW w:w="9500" w:type="dxa"/>
            <w:vAlign w:val="bottom"/>
          </w:tcPr>
          <w:p>
            <w:pPr>
              <w:ind w:left="120"/>
              <w:spacing w:after="0"/>
              <w:rPr>
                <w:sz w:val="20"/>
                <w:szCs w:val="20"/>
                <w:color w:val="auto"/>
              </w:rPr>
            </w:pPr>
            <w:r>
              <w:rPr>
                <w:rFonts w:ascii="Arial" w:cs="Arial" w:eastAsia="Arial" w:hAnsi="Arial"/>
                <w:sz w:val="14"/>
                <w:szCs w:val="14"/>
                <w:color w:val="auto"/>
              </w:rPr>
              <w:t>Our Nominating Committee oversees our risk management other than those risks concerning our major financial, business or cybersecurity risk</w:t>
            </w:r>
          </w:p>
        </w:tc>
      </w:tr>
      <w:tr>
        <w:trPr>
          <w:trHeight w:val="175"/>
        </w:trPr>
        <w:tc>
          <w:tcPr>
            <w:tcW w:w="1740" w:type="dxa"/>
            <w:vAlign w:val="bottom"/>
          </w:tcPr>
          <w:p>
            <w:pPr>
              <w:ind w:left="480"/>
              <w:spacing w:after="0"/>
              <w:rPr>
                <w:sz w:val="20"/>
                <w:szCs w:val="20"/>
                <w:color w:val="auto"/>
              </w:rPr>
            </w:pPr>
            <w:r>
              <w:rPr>
                <w:rFonts w:ascii="Arial" w:cs="Arial" w:eastAsia="Arial" w:hAnsi="Arial"/>
                <w:sz w:val="14"/>
                <w:szCs w:val="14"/>
                <w:b w:val="1"/>
                <w:bCs w:val="1"/>
                <w:color w:val="852166"/>
              </w:rPr>
              <w:t>Committee</w:t>
            </w:r>
          </w:p>
        </w:tc>
        <w:tc>
          <w:tcPr>
            <w:tcW w:w="9500" w:type="dxa"/>
            <w:vAlign w:val="bottom"/>
          </w:tcPr>
          <w:p>
            <w:pPr>
              <w:ind w:left="120"/>
              <w:spacing w:after="0"/>
              <w:rPr>
                <w:sz w:val="20"/>
                <w:szCs w:val="20"/>
                <w:color w:val="auto"/>
              </w:rPr>
            </w:pPr>
            <w:r>
              <w:rPr>
                <w:rFonts w:ascii="Arial" w:cs="Arial" w:eastAsia="Arial" w:hAnsi="Arial"/>
                <w:sz w:val="14"/>
                <w:szCs w:val="14"/>
                <w:color w:val="auto"/>
              </w:rPr>
              <w:t>exposures or risks related to our compensation programs and policies, on behalf of our Board. Our Nominating Committee has oversight</w:t>
            </w:r>
          </w:p>
        </w:tc>
      </w:tr>
      <w:tr>
        <w:trPr>
          <w:trHeight w:val="162"/>
        </w:trPr>
        <w:tc>
          <w:tcPr>
            <w:tcW w:w="1740" w:type="dxa"/>
            <w:vAlign w:val="bottom"/>
          </w:tcPr>
          <w:p>
            <w:pPr>
              <w:spacing w:after="0"/>
              <w:rPr>
                <w:sz w:val="14"/>
                <w:szCs w:val="14"/>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responsibility over our CSSI program and strategy and compliance and ethics program. Additionally, our Nominating Committee maintains</w:t>
            </w:r>
          </w:p>
        </w:tc>
      </w:tr>
      <w:tr>
        <w:trPr>
          <w:trHeight w:val="175"/>
        </w:trPr>
        <w:tc>
          <w:tcPr>
            <w:tcW w:w="1740" w:type="dxa"/>
            <w:vAlign w:val="bottom"/>
          </w:tcPr>
          <w:p>
            <w:pPr>
              <w:spacing w:after="0"/>
              <w:rPr>
                <w:sz w:val="15"/>
                <w:szCs w:val="15"/>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oversight over our ERM program, which is a comprehensive framework designed to identify, assess, prepare for and mitigate risks that may affect</w:t>
            </w:r>
          </w:p>
        </w:tc>
      </w:tr>
      <w:tr>
        <w:trPr>
          <w:trHeight w:val="190"/>
        </w:trPr>
        <w:tc>
          <w:tcPr>
            <w:tcW w:w="1740" w:type="dxa"/>
            <w:vAlign w:val="bottom"/>
          </w:tcPr>
          <w:p>
            <w:pPr>
              <w:spacing w:after="0"/>
              <w:rPr>
                <w:sz w:val="16"/>
                <w:szCs w:val="16"/>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our Company.</w:t>
            </w:r>
          </w:p>
        </w:tc>
      </w:tr>
      <w:tr>
        <w:trPr>
          <w:trHeight w:val="76"/>
        </w:trPr>
        <w:tc>
          <w:tcPr>
            <w:tcW w:w="1740" w:type="dxa"/>
            <w:vAlign w:val="bottom"/>
            <w:tcBorders>
              <w:bottom w:val="single" w:sz="8" w:color="5673B8"/>
            </w:tcBorders>
          </w:tcPr>
          <w:p>
            <w:pPr>
              <w:spacing w:after="0"/>
              <w:rPr>
                <w:sz w:val="6"/>
                <w:szCs w:val="6"/>
                <w:color w:val="auto"/>
              </w:rPr>
            </w:pPr>
          </w:p>
        </w:tc>
        <w:tc>
          <w:tcPr>
            <w:tcW w:w="9500" w:type="dxa"/>
            <w:vAlign w:val="bottom"/>
            <w:tcBorders>
              <w:bottom w:val="single" w:sz="8" w:color="5673B8"/>
            </w:tcBorders>
          </w:tcPr>
          <w:p>
            <w:pPr>
              <w:spacing w:after="0"/>
              <w:rPr>
                <w:sz w:val="6"/>
                <w:szCs w:val="6"/>
                <w:color w:val="auto"/>
              </w:rPr>
            </w:pPr>
          </w:p>
        </w:tc>
      </w:tr>
      <w:tr>
        <w:trPr>
          <w:trHeight w:val="227"/>
        </w:trPr>
        <w:tc>
          <w:tcPr>
            <w:tcW w:w="1740" w:type="dxa"/>
            <w:vAlign w:val="bottom"/>
          </w:tcPr>
          <w:p>
            <w:pPr>
              <w:ind w:left="480"/>
              <w:spacing w:after="0"/>
              <w:rPr>
                <w:sz w:val="20"/>
                <w:szCs w:val="20"/>
                <w:color w:val="auto"/>
              </w:rPr>
            </w:pPr>
            <w:r>
              <w:rPr>
                <w:rFonts w:ascii="Arial" w:cs="Arial" w:eastAsia="Arial" w:hAnsi="Arial"/>
                <w:sz w:val="14"/>
                <w:szCs w:val="14"/>
                <w:b w:val="1"/>
                <w:bCs w:val="1"/>
                <w:color w:val="852166"/>
              </w:rPr>
              <w:t>SMC</w:t>
            </w:r>
          </w:p>
        </w:tc>
        <w:tc>
          <w:tcPr>
            <w:tcW w:w="9500" w:type="dxa"/>
            <w:vAlign w:val="bottom"/>
          </w:tcPr>
          <w:p>
            <w:pPr>
              <w:ind w:left="120"/>
              <w:spacing w:after="0"/>
              <w:rPr>
                <w:sz w:val="20"/>
                <w:szCs w:val="20"/>
                <w:color w:val="auto"/>
              </w:rPr>
            </w:pPr>
            <w:r>
              <w:rPr>
                <w:rFonts w:ascii="Arial" w:cs="Arial" w:eastAsia="Arial" w:hAnsi="Arial"/>
                <w:sz w:val="14"/>
                <w:szCs w:val="14"/>
                <w:color w:val="auto"/>
              </w:rPr>
              <w:t>Our SMC is responsible for overseeing research, development and technology initiatives. Our SMC also discusses significant emerging trends,</w:t>
            </w:r>
          </w:p>
        </w:tc>
      </w:tr>
      <w:tr>
        <w:trPr>
          <w:trHeight w:val="190"/>
        </w:trPr>
        <w:tc>
          <w:tcPr>
            <w:tcW w:w="1740" w:type="dxa"/>
            <w:vAlign w:val="bottom"/>
          </w:tcPr>
          <w:p>
            <w:pPr>
              <w:spacing w:after="0"/>
              <w:rPr>
                <w:sz w:val="16"/>
                <w:szCs w:val="16"/>
                <w:color w:val="auto"/>
              </w:rPr>
            </w:pPr>
          </w:p>
        </w:tc>
        <w:tc>
          <w:tcPr>
            <w:tcW w:w="9500" w:type="dxa"/>
            <w:vAlign w:val="bottom"/>
          </w:tcPr>
          <w:p>
            <w:pPr>
              <w:ind w:left="120"/>
              <w:spacing w:after="0"/>
              <w:rPr>
                <w:sz w:val="20"/>
                <w:szCs w:val="20"/>
                <w:color w:val="auto"/>
              </w:rPr>
            </w:pPr>
            <w:r>
              <w:rPr>
                <w:rFonts w:ascii="Arial" w:cs="Arial" w:eastAsia="Arial" w:hAnsi="Arial"/>
                <w:sz w:val="14"/>
                <w:szCs w:val="14"/>
                <w:color w:val="auto"/>
              </w:rPr>
              <w:t>issues and risks in science and technology and considers the potential impact these may have on us.</w:t>
            </w:r>
          </w:p>
        </w:tc>
      </w:tr>
      <w:tr>
        <w:trPr>
          <w:trHeight w:val="130"/>
        </w:trPr>
        <w:tc>
          <w:tcPr>
            <w:tcW w:w="1740" w:type="dxa"/>
            <w:vAlign w:val="bottom"/>
            <w:tcBorders>
              <w:bottom w:val="single" w:sz="8" w:color="852166"/>
            </w:tcBorders>
          </w:tcPr>
          <w:p>
            <w:pPr>
              <w:spacing w:after="0"/>
              <w:rPr>
                <w:sz w:val="11"/>
                <w:szCs w:val="11"/>
                <w:color w:val="auto"/>
              </w:rPr>
            </w:pPr>
          </w:p>
        </w:tc>
        <w:tc>
          <w:tcPr>
            <w:tcW w:w="9500" w:type="dxa"/>
            <w:vAlign w:val="bottom"/>
            <w:tcBorders>
              <w:bottom w:val="single" w:sz="8" w:color="852166"/>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-1859280</wp:posOffset>
            </wp:positionV>
            <wp:extent cx="214630" cy="1631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4630" cy="16319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-984885</wp:posOffset>
            </wp:positionV>
            <wp:extent cx="214630" cy="1885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4630" cy="18859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-333375</wp:posOffset>
            </wp:positionV>
            <wp:extent cx="162560" cy="2317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62560" cy="23177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Oversight of Cybersecurity</w:t>
      </w:r>
    </w:p>
    <w:p>
      <w:pPr>
        <w:spacing w:after="0" w:line="171" w:lineRule="exact"/>
        <w:rPr>
          <w:sz w:val="20"/>
          <w:szCs w:val="20"/>
          <w:color w:val="auto"/>
        </w:rPr>
      </w:pPr>
    </w:p>
    <w:p>
      <w:pPr>
        <w:jc w:val="both"/>
        <w:ind w:right="60"/>
        <w:spacing w:after="0" w:line="321" w:lineRule="auto"/>
        <w:rPr>
          <w:sz w:val="20"/>
          <w:szCs w:val="20"/>
          <w:color w:val="auto"/>
        </w:rPr>
      </w:pPr>
      <w:r>
        <w:rPr>
          <w:rFonts w:ascii="Arial" w:cs="Arial" w:eastAsia="Arial" w:hAnsi="Arial"/>
          <w:sz w:val="16"/>
          <w:szCs w:val="16"/>
          <w:color w:val="auto"/>
        </w:rPr>
        <w:t>Our Board addresses our cybersecurity risk management as part of its general oversight function. Our Audit Committee helps oversee our cybersecurity risk management processes, including oversight of risks from cybersecurity threats.</w:t>
      </w:r>
    </w:p>
    <w:p>
      <w:pPr>
        <w:spacing w:after="0" w:line="1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Information Security Governance Committee (which is composed of our CISO, Chief Digital Officer, Chief Legal Officer, CFO and Chief Ethics &amp; Compliance Officers) and our Audit Committee receive various reports from our CISO and Chief Digital Officer. The CISO (or their designee) reports to our Audit Committee on cybersecurity risk on at least a quarterly basis. Written reports and presentation materials regarding cybersecurity risk provided to our Audit Committee are made available to our Board and they can discuss the materials and cybersecurity risk with our Audit Committee members. Our internal audit team oversees internal controls implemented by us under our information security program.</w:t>
      </w:r>
    </w:p>
    <w:p>
      <w:pPr>
        <w:spacing w:after="0" w:line="127"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Our information security program is implemented and maintained by certain of our management, including the CISO, Chief Digital Officer and other members of our Information Security Governance Committee.</w:t>
      </w:r>
    </w:p>
    <w:p>
      <w:pPr>
        <w:spacing w:after="0" w:line="10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Information Security Governance Committee helps assess and manage our cybersecurity risks and monitor the effectiveness of our information security program and risk management. Management, including those serving on our Information Security Governance Committee, is responsible for hiring appropriate cybersecurity personnel, helping to integrate cybersecurity considerations into our overall risk management strategy, providing appropriate resources for cybersecurity risk management, and communicating key priorities to relevant personnel. Our cybersecurity incident response plan includes processes designed to escalate certain cybersecurity incidents that cause a significant impact to our Company, to members of the Information Governance Security Committee and certain members of executive management depending on the circumstances. In addition, our incident response plan includes reporting to our Audit Committee for certain cybersecurity incidents, including those that have potentially had a material impact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176530</wp:posOffset>
            </wp:positionV>
            <wp:extent cx="1242695" cy="2057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27</w:t>
            </w:r>
          </w:p>
        </w:tc>
      </w:tr>
      <w:tr>
        <w:trPr>
          <w:trHeight w:val="494"/>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5" w:name="page36"/>
    <w:bookmarkEnd w:id="35"/>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3003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Oversight of Compliance</w:t>
      </w:r>
    </w:p>
    <w:p>
      <w:pPr>
        <w:spacing w:after="0" w:line="185" w:lineRule="exact"/>
        <w:rPr>
          <w:sz w:val="20"/>
          <w:szCs w:val="20"/>
          <w:color w:val="auto"/>
        </w:rPr>
      </w:pPr>
    </w:p>
    <w:p>
      <w:pPr>
        <w:ind w:right="680"/>
        <w:spacing w:after="0" w:line="321" w:lineRule="auto"/>
        <w:rPr>
          <w:sz w:val="20"/>
          <w:szCs w:val="20"/>
          <w:color w:val="auto"/>
        </w:rPr>
      </w:pPr>
      <w:r>
        <w:rPr>
          <w:rFonts w:ascii="Arial" w:cs="Arial" w:eastAsia="Arial" w:hAnsi="Arial"/>
          <w:sz w:val="16"/>
          <w:szCs w:val="16"/>
          <w:color w:val="auto"/>
        </w:rPr>
        <w:t>Our Chief Ethics and Compliance Officer, who reports to our Chief Legal Officer and has direct access to our CEO and our Board, is responsible for designing and implementing our compliance program, managing the Ethics and Compliance team and compliance program elements.</w:t>
      </w:r>
    </w:p>
    <w:p>
      <w:pPr>
        <w:spacing w:after="0" w:line="10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Our Board oversees matters related to compliance requirements and our compliance program generally, including: the adequacy of resources dedicated to the compliance function; the identification and handling of instances of non-compliance; and the overall effectiveness of the design and implementation of the compliance program. Our Nominating Committee has responsibility for review and oversight of matters related to compliance with U.S. federal health care program requirements. Our Nominating Committee meets at least quarterly with the Chief Ethics and Compliance Officer to review our compliance program and annually adopt a resolution summarizing its review and oversight of our Company’s compliance with U.S. federal health care program requirements. Our Board meets regularly with our Chief Ethics and Compliance Officer.</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Oversight of CSSI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-130175</wp:posOffset>
            </wp:positionV>
            <wp:extent cx="2468880" cy="9944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468880" cy="994410"/>
                    </a:xfrm>
                    <a:prstGeom prst="rect">
                      <a:avLst/>
                    </a:prstGeom>
                    <a:noFill/>
                  </pic:spPr>
                </pic:pic>
              </a:graphicData>
            </a:graphic>
          </wp:anchor>
        </w:drawing>
      </w:r>
    </w:p>
    <w:p>
      <w:pPr>
        <w:spacing w:after="0" w:line="165" w:lineRule="exact"/>
        <w:rPr>
          <w:sz w:val="20"/>
          <w:szCs w:val="20"/>
          <w:color w:val="auto"/>
        </w:rPr>
      </w:pPr>
    </w:p>
    <w:p>
      <w:pPr>
        <w:ind w:right="5600"/>
        <w:spacing w:after="0" w:line="295" w:lineRule="auto"/>
        <w:rPr>
          <w:sz w:val="20"/>
          <w:szCs w:val="20"/>
          <w:color w:val="auto"/>
        </w:rPr>
      </w:pPr>
      <w:r>
        <w:rPr>
          <w:rFonts w:ascii="Arial" w:cs="Arial" w:eastAsia="Arial" w:hAnsi="Arial"/>
          <w:sz w:val="16"/>
          <w:szCs w:val="16"/>
          <w:color w:val="auto"/>
        </w:rPr>
        <w:t>Our Board oversees the strategy for addressing ESG-related risks and opportunities significant to us and our shareholders. Certain committees of our Board oversee ESG matters across our business operations in the areas that align with their respective responsibilities.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CSSI Commitment</w:t>
      </w:r>
    </w:p>
    <w:p>
      <w:pPr>
        <w:spacing w:after="0" w:line="122"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Our values, underpinned by strong corporate governance, social responsibility and environmental stewardship anchor our corporate strategy and make up key elements of our vision to deliver on our commitment to generate positive outcomes for patients, employees, shareholders, and other stakeholders. The pillars of our CSSI strategy are Patients, People, Community and Planet. We recognize the critical importance of these CSSI pillars in achieving our near and long-term business objectives.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CSSI Governance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103505</wp:posOffset>
            </wp:positionV>
            <wp:extent cx="5760720" cy="23488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760720" cy="234886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p>
      <w:pPr>
        <w:spacing w:after="0" w:line="356"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852166"/>
        </w:rPr>
        <w:t>BOARD OVERSIGHT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636466"/>
        </w:rPr>
        <w:t>Nominating Committee</w:t>
      </w:r>
    </w:p>
    <w:p>
      <w:pPr>
        <w:spacing w:after="0" w:line="82" w:lineRule="exact"/>
        <w:rPr>
          <w:sz w:val="20"/>
          <w:szCs w:val="20"/>
          <w:color w:val="auto"/>
        </w:rPr>
      </w:pPr>
    </w:p>
    <w:p>
      <w:pPr>
        <w:ind w:left="1260"/>
        <w:spacing w:after="0"/>
        <w:rPr>
          <w:sz w:val="20"/>
          <w:szCs w:val="20"/>
          <w:color w:val="auto"/>
        </w:rPr>
      </w:pPr>
      <w:r>
        <w:rPr>
          <w:rFonts w:ascii="Arial" w:cs="Arial" w:eastAsia="Arial" w:hAnsi="Arial"/>
          <w:sz w:val="14"/>
          <w:szCs w:val="14"/>
          <w:color w:val="636466"/>
        </w:rPr>
        <w:t>Oversees development and</w:t>
      </w:r>
    </w:p>
    <w:p>
      <w:pPr>
        <w:spacing w:after="0" w:line="29" w:lineRule="exact"/>
        <w:rPr>
          <w:sz w:val="20"/>
          <w:szCs w:val="20"/>
          <w:color w:val="auto"/>
        </w:rPr>
      </w:pPr>
    </w:p>
    <w:p>
      <w:pPr>
        <w:ind w:left="1260"/>
        <w:spacing w:after="0"/>
        <w:rPr>
          <w:sz w:val="20"/>
          <w:szCs w:val="20"/>
          <w:color w:val="auto"/>
        </w:rPr>
      </w:pPr>
      <w:r>
        <w:rPr>
          <w:rFonts w:ascii="Arial" w:cs="Arial" w:eastAsia="Arial" w:hAnsi="Arial"/>
          <w:sz w:val="14"/>
          <w:szCs w:val="14"/>
          <w:color w:val="636466"/>
        </w:rPr>
        <w:t>implementation of CSSI strategy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636466"/>
        </w:rPr>
        <w:t>Audit Committee</w:t>
      </w:r>
    </w:p>
    <w:p>
      <w:pPr>
        <w:spacing w:after="0" w:line="82" w:lineRule="exact"/>
        <w:rPr>
          <w:sz w:val="20"/>
          <w:szCs w:val="20"/>
          <w:color w:val="auto"/>
        </w:rPr>
      </w:pPr>
    </w:p>
    <w:p>
      <w:pPr>
        <w:ind w:left="1260" w:right="60"/>
        <w:spacing w:after="0" w:line="313" w:lineRule="auto"/>
        <w:rPr>
          <w:sz w:val="20"/>
          <w:szCs w:val="20"/>
          <w:color w:val="auto"/>
        </w:rPr>
      </w:pPr>
      <w:r>
        <w:rPr>
          <w:rFonts w:ascii="Arial" w:cs="Arial" w:eastAsia="Arial" w:hAnsi="Arial"/>
          <w:sz w:val="14"/>
          <w:szCs w:val="14"/>
          <w:color w:val="636466"/>
        </w:rPr>
        <w:t>Oversees processes for maintaining the integrity of ESG-related disclosures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MANAGEMENT ROLES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636466"/>
        </w:rPr>
        <w:t>CEO, Chief Legal Officer and CFO</w:t>
      </w:r>
    </w:p>
    <w:p>
      <w:pPr>
        <w:spacing w:after="0" w:line="82" w:lineRule="exact"/>
        <w:rPr>
          <w:sz w:val="20"/>
          <w:szCs w:val="20"/>
          <w:color w:val="auto"/>
        </w:rPr>
      </w:pPr>
    </w:p>
    <w:p>
      <w:pPr>
        <w:jc w:val="both"/>
        <w:ind w:right="220"/>
        <w:spacing w:after="0" w:line="303" w:lineRule="auto"/>
        <w:rPr>
          <w:sz w:val="20"/>
          <w:szCs w:val="20"/>
          <w:color w:val="auto"/>
        </w:rPr>
      </w:pPr>
      <w:r>
        <w:rPr>
          <w:rFonts w:ascii="Arial" w:cs="Arial" w:eastAsia="Arial" w:hAnsi="Arial"/>
          <w:sz w:val="14"/>
          <w:szCs w:val="14"/>
          <w:color w:val="636466"/>
        </w:rPr>
        <w:t>Provides managerial oversight and direction relative to the scope and implementation of CSSI strategy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636466"/>
        </w:rPr>
        <w:t>EC Sponsors</w:t>
      </w:r>
    </w:p>
    <w:p>
      <w:pPr>
        <w:spacing w:after="0" w:line="82" w:lineRule="exact"/>
        <w:rPr>
          <w:sz w:val="20"/>
          <w:szCs w:val="20"/>
          <w:color w:val="auto"/>
        </w:rPr>
      </w:pPr>
    </w:p>
    <w:p>
      <w:pPr>
        <w:ind w:right="80"/>
        <w:spacing w:after="0" w:line="345" w:lineRule="auto"/>
        <w:rPr>
          <w:sz w:val="20"/>
          <w:szCs w:val="20"/>
          <w:color w:val="auto"/>
        </w:rPr>
      </w:pPr>
      <w:r>
        <w:rPr>
          <w:rFonts w:ascii="Arial" w:cs="Arial" w:eastAsia="Arial" w:hAnsi="Arial"/>
          <w:sz w:val="14"/>
          <w:szCs w:val="14"/>
          <w:color w:val="636466"/>
        </w:rPr>
        <w:t>Accountable for CSSI strategy development, execution and updates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STRATEGY &amp; EXECUTION ROLES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636466"/>
        </w:rPr>
        <w:t>CSSI Strategy Team</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636466"/>
        </w:rPr>
        <w:t>Leads CSSI strategy development,</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636466"/>
        </w:rPr>
        <w:t>implementation and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636466"/>
        </w:rPr>
        <w:t>CSSI Pillar Leaders</w:t>
      </w:r>
    </w:p>
    <w:p>
      <w:pPr>
        <w:spacing w:after="0" w:line="82" w:lineRule="exact"/>
        <w:rPr>
          <w:sz w:val="20"/>
          <w:szCs w:val="20"/>
          <w:color w:val="auto"/>
        </w:rPr>
      </w:pPr>
    </w:p>
    <w:p>
      <w:pPr>
        <w:jc w:val="both"/>
        <w:ind w:right="1340"/>
        <w:spacing w:after="0" w:line="313" w:lineRule="auto"/>
        <w:rPr>
          <w:sz w:val="20"/>
          <w:szCs w:val="20"/>
          <w:color w:val="auto"/>
        </w:rPr>
      </w:pPr>
      <w:r>
        <w:rPr>
          <w:rFonts w:ascii="Arial" w:cs="Arial" w:eastAsia="Arial" w:hAnsi="Arial"/>
          <w:sz w:val="14"/>
          <w:szCs w:val="14"/>
          <w:color w:val="636466"/>
        </w:rPr>
        <w:t>Leads Impact Area activities; ensures validity of CSSI reports; accountable for delivery of CSSI initiatives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636466"/>
        </w:rPr>
        <w:t>ESG Disclosure Team</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636466"/>
        </w:rPr>
        <w:t>Reports data externally; provides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636466"/>
        </w:rPr>
        <w:t>validity assessment and sign-off</w:t>
      </w:r>
    </w:p>
    <w:p>
      <w:pPr>
        <w:spacing w:after="0" w:line="200" w:lineRule="exact"/>
        <w:rPr>
          <w:sz w:val="20"/>
          <w:szCs w:val="20"/>
          <w:color w:val="auto"/>
        </w:rPr>
      </w:pPr>
    </w:p>
    <w:p>
      <w:pPr>
        <w:sectPr>
          <w:pgSz w:w="11900" w:h="16838" w:orient="portrait"/>
          <w:cols w:equalWidth="0" w:num="3">
            <w:col w:w="3620" w:space="720"/>
            <w:col w:w="2440" w:space="720"/>
            <w:col w:w="3720"/>
          </w:cols>
          <w:pgMar w:left="320" w:top="5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2025 CSSI Summary</w:t>
      </w:r>
    </w:p>
    <w:p>
      <w:pPr>
        <w:spacing w:after="0" w:line="12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In 2025, we made significant strides in preparing for upcoming sustainability reporting regulations, including advancing our reporting mechanisms to meet the requirements of the CSRD. Our Company completed a CSRD double materiality assessment with an external advisor designed to identify our required disclosures. We also conducted gap assessments and remediations aligned with the ESRS to support our Company’s readiness for CSRD reporting in 2027. We continue to integrate these results into our broader CSSI strategy, ERM, and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172085</wp:posOffset>
            </wp:positionV>
            <wp:extent cx="1242695" cy="2057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82"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28</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type w:val="continuous"/>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2025 CSSI Pillars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602740" cy="291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602740" cy="291465"/>
                    </a:xfrm>
                    <a:prstGeom prst="rect">
                      <a:avLst/>
                    </a:prstGeom>
                    <a:noFill/>
                  </pic:spPr>
                </pic:pic>
              </a:graphicData>
            </a:graphic>
          </wp:anchor>
        </w:drawing>
      </w:r>
    </w:p>
    <w:p>
      <w:pPr>
        <w:spacing w:after="0" w:line="24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FFFFFF"/>
        </w:rPr>
        <w:t>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02740" cy="18599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602740" cy="1859915"/>
                    </a:xfrm>
                    <a:prstGeom prst="rect">
                      <a:avLst/>
                    </a:prstGeom>
                    <a:noFill/>
                  </pic:spPr>
                </pic:pic>
              </a:graphicData>
            </a:graphic>
          </wp:anchor>
        </w:drawing>
      </w:r>
    </w:p>
    <w:p>
      <w:pPr>
        <w:spacing w:after="0" w:line="242" w:lineRule="exact"/>
        <w:rPr>
          <w:sz w:val="20"/>
          <w:szCs w:val="20"/>
          <w:color w:val="auto"/>
        </w:rPr>
      </w:pPr>
    </w:p>
    <w:p>
      <w:pPr>
        <w:ind w:left="400" w:right="180" w:hanging="253"/>
        <w:spacing w:after="0" w:line="281" w:lineRule="auto"/>
        <w:tabs>
          <w:tab w:leader="none" w:pos="396" w:val="left"/>
        </w:tabs>
        <w:numPr>
          <w:ilvl w:val="0"/>
          <w:numId w:val="26"/>
        </w:numPr>
        <w:rPr>
          <w:rFonts w:ascii="Arial" w:cs="Arial" w:eastAsia="Arial" w:hAnsi="Arial"/>
          <w:sz w:val="14"/>
          <w:szCs w:val="14"/>
          <w:b w:val="1"/>
          <w:bCs w:val="1"/>
          <w:color w:val="636466"/>
        </w:rPr>
      </w:pPr>
      <w:r>
        <w:rPr>
          <w:rFonts w:ascii="Arial" w:cs="Arial" w:eastAsia="Arial" w:hAnsi="Arial"/>
          <w:sz w:val="14"/>
          <w:szCs w:val="14"/>
          <w:color w:val="636466"/>
        </w:rPr>
        <w:t>Continued process for including patient insights into patient facing materials</w:t>
      </w:r>
    </w:p>
    <w:p>
      <w:pPr>
        <w:spacing w:after="0" w:line="1" w:lineRule="exact"/>
        <w:rPr>
          <w:rFonts w:ascii="Arial" w:cs="Arial" w:eastAsia="Arial" w:hAnsi="Arial"/>
          <w:sz w:val="14"/>
          <w:szCs w:val="14"/>
          <w:b w:val="1"/>
          <w:bCs w:val="1"/>
          <w:color w:val="636466"/>
        </w:rPr>
      </w:pPr>
    </w:p>
    <w:p>
      <w:pPr>
        <w:ind w:left="400" w:right="140" w:hanging="253"/>
        <w:spacing w:after="0" w:line="272" w:lineRule="auto"/>
        <w:tabs>
          <w:tab w:leader="none" w:pos="396" w:val="left"/>
        </w:tabs>
        <w:numPr>
          <w:ilvl w:val="0"/>
          <w:numId w:val="26"/>
        </w:numPr>
        <w:rPr>
          <w:rFonts w:ascii="Arial" w:cs="Arial" w:eastAsia="Arial" w:hAnsi="Arial"/>
          <w:sz w:val="14"/>
          <w:szCs w:val="14"/>
          <w:b w:val="1"/>
          <w:bCs w:val="1"/>
          <w:color w:val="636466"/>
        </w:rPr>
      </w:pPr>
      <w:r>
        <w:rPr>
          <w:rFonts w:ascii="Arial" w:cs="Arial" w:eastAsia="Arial" w:hAnsi="Arial"/>
          <w:sz w:val="14"/>
          <w:szCs w:val="14"/>
          <w:color w:val="636466"/>
        </w:rPr>
        <w:t>Formed the GEA Patient Advisory Steering Committee to provide input on materials, resources and business decisions related to GEA</w:t>
      </w:r>
    </w:p>
    <w:p>
      <w:pPr>
        <w:spacing w:after="0" w:line="5" w:lineRule="exact"/>
        <w:rPr>
          <w:rFonts w:ascii="Arial" w:cs="Arial" w:eastAsia="Arial" w:hAnsi="Arial"/>
          <w:sz w:val="14"/>
          <w:szCs w:val="14"/>
          <w:b w:val="1"/>
          <w:bCs w:val="1"/>
          <w:color w:val="636466"/>
        </w:rPr>
      </w:pPr>
    </w:p>
    <w:p>
      <w:pPr>
        <w:ind w:left="400" w:right="160" w:hanging="253"/>
        <w:spacing w:after="0" w:line="266" w:lineRule="auto"/>
        <w:tabs>
          <w:tab w:leader="none" w:pos="396" w:val="left"/>
        </w:tabs>
        <w:numPr>
          <w:ilvl w:val="0"/>
          <w:numId w:val="26"/>
        </w:numPr>
        <w:rPr>
          <w:rFonts w:ascii="Arial" w:cs="Arial" w:eastAsia="Arial" w:hAnsi="Arial"/>
          <w:sz w:val="14"/>
          <w:szCs w:val="14"/>
          <w:b w:val="1"/>
          <w:bCs w:val="1"/>
          <w:color w:val="636466"/>
        </w:rPr>
      </w:pPr>
      <w:r>
        <w:rPr>
          <w:rFonts w:ascii="Arial" w:cs="Arial" w:eastAsia="Arial" w:hAnsi="Arial"/>
          <w:sz w:val="14"/>
          <w:szCs w:val="14"/>
          <w:color w:val="636466"/>
        </w:rPr>
        <w:t>Provided Patient assistance programs for eligible patients who cannot afford them and offered early access to products for those with high unmet medical needs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78"/>
        <w:spacing w:after="0"/>
        <w:rPr>
          <w:sz w:val="20"/>
          <w:szCs w:val="20"/>
          <w:color w:val="auto"/>
        </w:rPr>
      </w:pPr>
      <w:r>
        <w:rPr>
          <w:rFonts w:ascii="Arial" w:cs="Arial" w:eastAsia="Arial" w:hAnsi="Arial"/>
          <w:sz w:val="18"/>
          <w:szCs w:val="18"/>
          <w:b w:val="1"/>
          <w:bCs w:val="1"/>
          <w:color w:val="FFFFFF"/>
        </w:rPr>
        <w:t>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-196215</wp:posOffset>
            </wp:positionV>
            <wp:extent cx="1628775" cy="21513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628775" cy="2151380"/>
                    </a:xfrm>
                    <a:prstGeom prst="rect">
                      <a:avLst/>
                    </a:prstGeom>
                    <a:noFill/>
                  </pic:spPr>
                </pic:pic>
              </a:graphicData>
            </a:graphic>
          </wp:anchor>
        </w:drawing>
      </w:r>
    </w:p>
    <w:p>
      <w:pPr>
        <w:spacing w:after="0" w:line="242" w:lineRule="exact"/>
        <w:rPr>
          <w:sz w:val="20"/>
          <w:szCs w:val="20"/>
          <w:color w:val="auto"/>
        </w:rPr>
      </w:pPr>
    </w:p>
    <w:p>
      <w:pPr>
        <w:ind w:left="251" w:right="212" w:hanging="251"/>
        <w:spacing w:after="0" w:line="281" w:lineRule="auto"/>
        <w:tabs>
          <w:tab w:leader="none" w:pos="247" w:val="left"/>
        </w:tabs>
        <w:numPr>
          <w:ilvl w:val="0"/>
          <w:numId w:val="27"/>
        </w:numPr>
        <w:rPr>
          <w:rFonts w:ascii="Arial" w:cs="Arial" w:eastAsia="Arial" w:hAnsi="Arial"/>
          <w:sz w:val="14"/>
          <w:szCs w:val="14"/>
          <w:b w:val="1"/>
          <w:bCs w:val="1"/>
          <w:color w:val="636466"/>
        </w:rPr>
      </w:pPr>
      <w:r>
        <w:rPr>
          <w:rFonts w:ascii="Arial" w:cs="Arial" w:eastAsia="Arial" w:hAnsi="Arial"/>
          <w:sz w:val="14"/>
          <w:szCs w:val="14"/>
          <w:color w:val="636466"/>
        </w:rPr>
        <w:t>Continued enhancement of scientific and clinical capabilities</w:t>
      </w:r>
    </w:p>
    <w:p>
      <w:pPr>
        <w:spacing w:after="0" w:line="1" w:lineRule="exact"/>
        <w:rPr>
          <w:rFonts w:ascii="Arial" w:cs="Arial" w:eastAsia="Arial" w:hAnsi="Arial"/>
          <w:sz w:val="14"/>
          <w:szCs w:val="14"/>
          <w:b w:val="1"/>
          <w:bCs w:val="1"/>
          <w:color w:val="636466"/>
        </w:rPr>
      </w:pPr>
    </w:p>
    <w:p>
      <w:pPr>
        <w:ind w:left="251" w:right="212" w:hanging="251"/>
        <w:spacing w:after="0" w:line="283" w:lineRule="auto"/>
        <w:tabs>
          <w:tab w:leader="none" w:pos="247" w:val="left"/>
        </w:tabs>
        <w:numPr>
          <w:ilvl w:val="0"/>
          <w:numId w:val="27"/>
        </w:numPr>
        <w:rPr>
          <w:rFonts w:ascii="Arial" w:cs="Arial" w:eastAsia="Arial" w:hAnsi="Arial"/>
          <w:sz w:val="14"/>
          <w:szCs w:val="14"/>
          <w:b w:val="1"/>
          <w:bCs w:val="1"/>
          <w:color w:val="636466"/>
        </w:rPr>
      </w:pPr>
      <w:r>
        <w:rPr>
          <w:rFonts w:ascii="Arial" w:cs="Arial" w:eastAsia="Arial" w:hAnsi="Arial"/>
          <w:sz w:val="14"/>
          <w:szCs w:val="14"/>
          <w:color w:val="636466"/>
        </w:rPr>
        <w:t>Built deeper capabilities in artificial intelligence and broadened responsible use</w:t>
      </w:r>
    </w:p>
    <w:p>
      <w:pPr>
        <w:spacing w:after="0" w:line="10" w:lineRule="exact"/>
        <w:rPr>
          <w:rFonts w:ascii="Arial" w:cs="Arial" w:eastAsia="Arial" w:hAnsi="Arial"/>
          <w:sz w:val="14"/>
          <w:szCs w:val="14"/>
          <w:b w:val="1"/>
          <w:bCs w:val="1"/>
          <w:color w:val="636466"/>
        </w:rPr>
      </w:pPr>
    </w:p>
    <w:p>
      <w:pPr>
        <w:ind w:left="251" w:right="12" w:hanging="251"/>
        <w:spacing w:after="0" w:line="273" w:lineRule="auto"/>
        <w:tabs>
          <w:tab w:leader="none" w:pos="247" w:val="left"/>
        </w:tabs>
        <w:numPr>
          <w:ilvl w:val="0"/>
          <w:numId w:val="27"/>
        </w:numPr>
        <w:rPr>
          <w:rFonts w:ascii="Arial" w:cs="Arial" w:eastAsia="Arial" w:hAnsi="Arial"/>
          <w:sz w:val="14"/>
          <w:szCs w:val="14"/>
          <w:b w:val="1"/>
          <w:bCs w:val="1"/>
          <w:color w:val="636466"/>
        </w:rPr>
      </w:pPr>
      <w:r>
        <w:rPr>
          <w:rFonts w:ascii="Arial" w:cs="Arial" w:eastAsia="Arial" w:hAnsi="Arial"/>
          <w:sz w:val="14"/>
          <w:szCs w:val="14"/>
          <w:color w:val="636466"/>
        </w:rPr>
        <w:t>Held first-ever, global company-wide Jazz Wellbeing Week</w:t>
      </w:r>
    </w:p>
    <w:p>
      <w:pPr>
        <w:spacing w:after="0" w:line="17" w:lineRule="exact"/>
        <w:rPr>
          <w:rFonts w:ascii="Arial" w:cs="Arial" w:eastAsia="Arial" w:hAnsi="Arial"/>
          <w:sz w:val="14"/>
          <w:szCs w:val="14"/>
          <w:b w:val="1"/>
          <w:bCs w:val="1"/>
          <w:color w:val="636466"/>
        </w:rPr>
      </w:pPr>
    </w:p>
    <w:p>
      <w:pPr>
        <w:ind w:left="251" w:right="292" w:hanging="251"/>
        <w:spacing w:after="0" w:line="305" w:lineRule="auto"/>
        <w:tabs>
          <w:tab w:leader="none" w:pos="247" w:val="left"/>
        </w:tabs>
        <w:numPr>
          <w:ilvl w:val="0"/>
          <w:numId w:val="27"/>
        </w:numPr>
        <w:rPr>
          <w:rFonts w:ascii="Arial" w:cs="Arial" w:eastAsia="Arial" w:hAnsi="Arial"/>
          <w:sz w:val="14"/>
          <w:szCs w:val="14"/>
          <w:b w:val="1"/>
          <w:bCs w:val="1"/>
          <w:color w:val="636466"/>
        </w:rPr>
      </w:pPr>
      <w:r>
        <w:rPr>
          <w:rFonts w:ascii="Arial" w:cs="Arial" w:eastAsia="Arial" w:hAnsi="Arial"/>
          <w:sz w:val="14"/>
          <w:szCs w:val="14"/>
          <w:color w:val="636466"/>
        </w:rPr>
        <w:t>39% employees active in employee resource teams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27"/>
        <w:spacing w:after="0"/>
        <w:rPr>
          <w:sz w:val="20"/>
          <w:szCs w:val="20"/>
          <w:color w:val="auto"/>
        </w:rPr>
      </w:pPr>
      <w:r>
        <w:rPr>
          <w:rFonts w:ascii="Arial" w:cs="Arial" w:eastAsia="Arial" w:hAnsi="Arial"/>
          <w:sz w:val="18"/>
          <w:szCs w:val="18"/>
          <w:b w:val="1"/>
          <w:bCs w:val="1"/>
          <w:color w:val="FFFFFF"/>
        </w:rPr>
        <w:t>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-196215</wp:posOffset>
            </wp:positionV>
            <wp:extent cx="1637030" cy="21513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637030" cy="2151380"/>
                    </a:xfrm>
                    <a:prstGeom prst="rect">
                      <a:avLst/>
                    </a:prstGeom>
                    <a:noFill/>
                  </pic:spPr>
                </pic:pic>
              </a:graphicData>
            </a:graphic>
          </wp:anchor>
        </w:drawing>
      </w:r>
    </w:p>
    <w:p>
      <w:pPr>
        <w:spacing w:after="0" w:line="242" w:lineRule="exact"/>
        <w:rPr>
          <w:sz w:val="20"/>
          <w:szCs w:val="20"/>
          <w:color w:val="auto"/>
        </w:rPr>
      </w:pPr>
    </w:p>
    <w:p>
      <w:pPr>
        <w:ind w:left="248" w:right="40" w:hanging="248"/>
        <w:spacing w:after="0" w:line="266" w:lineRule="auto"/>
        <w:tabs>
          <w:tab w:leader="none" w:pos="244" w:val="left"/>
        </w:tabs>
        <w:numPr>
          <w:ilvl w:val="0"/>
          <w:numId w:val="28"/>
        </w:numPr>
        <w:rPr>
          <w:rFonts w:ascii="Arial" w:cs="Arial" w:eastAsia="Arial" w:hAnsi="Arial"/>
          <w:sz w:val="14"/>
          <w:szCs w:val="14"/>
          <w:b w:val="1"/>
          <w:bCs w:val="1"/>
          <w:color w:val="636466"/>
        </w:rPr>
      </w:pPr>
      <w:r>
        <w:rPr>
          <w:rFonts w:ascii="Arial" w:cs="Arial" w:eastAsia="Arial" w:hAnsi="Arial"/>
          <w:sz w:val="14"/>
          <w:szCs w:val="14"/>
          <w:color w:val="636466"/>
        </w:rPr>
        <w:t>Corporate giving initiatives supporting approximately 80 organizations supporting patients and caregivers, health equity, education and scientific development</w:t>
      </w:r>
    </w:p>
    <w:p>
      <w:pPr>
        <w:spacing w:after="0" w:line="22" w:lineRule="exact"/>
        <w:rPr>
          <w:rFonts w:ascii="Arial" w:cs="Arial" w:eastAsia="Arial" w:hAnsi="Arial"/>
          <w:sz w:val="14"/>
          <w:szCs w:val="14"/>
          <w:b w:val="1"/>
          <w:bCs w:val="1"/>
          <w:color w:val="636466"/>
        </w:rPr>
      </w:pPr>
    </w:p>
    <w:p>
      <w:pPr>
        <w:ind w:left="248" w:hanging="248"/>
        <w:spacing w:after="0" w:line="266" w:lineRule="auto"/>
        <w:tabs>
          <w:tab w:leader="none" w:pos="244" w:val="left"/>
        </w:tabs>
        <w:numPr>
          <w:ilvl w:val="0"/>
          <w:numId w:val="28"/>
        </w:numPr>
        <w:rPr>
          <w:rFonts w:ascii="Arial" w:cs="Arial" w:eastAsia="Arial" w:hAnsi="Arial"/>
          <w:sz w:val="14"/>
          <w:szCs w:val="14"/>
          <w:b w:val="1"/>
          <w:bCs w:val="1"/>
          <w:color w:val="636466"/>
        </w:rPr>
      </w:pPr>
      <w:r>
        <w:rPr>
          <w:rFonts w:ascii="Arial" w:cs="Arial" w:eastAsia="Arial" w:hAnsi="Arial"/>
          <w:sz w:val="14"/>
          <w:szCs w:val="14"/>
          <w:color w:val="636466"/>
        </w:rPr>
        <w:t>Employees volunteered over 870 hours of service with Life Science Cares who combats poverty and improve lives through support for basic needs, education, and job skills</w:t>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4"/>
          <w:szCs w:val="14"/>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-224155</wp:posOffset>
            </wp:positionV>
            <wp:extent cx="1722755" cy="3003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722755" cy="300355"/>
                    </a:xfrm>
                    <a:prstGeom prst="rect">
                      <a:avLst/>
                    </a:prstGeom>
                    <a:noFill/>
                  </pic:spPr>
                </pic:pic>
              </a:graphicData>
            </a:graphic>
          </wp:anchor>
        </w:drawing>
        <w:drawing>
          <wp:anchor simplePos="0" relativeHeight="251657728" behindDoc="1" locked="0" layoutInCell="0" allowOverlap="1">
            <wp:simplePos x="0" y="0"/>
            <wp:positionH relativeFrom="column">
              <wp:posOffset>-91440</wp:posOffset>
            </wp:positionH>
            <wp:positionV relativeFrom="paragraph">
              <wp:posOffset>735330</wp:posOffset>
            </wp:positionV>
            <wp:extent cx="1628775" cy="291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6287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FFFFFF"/>
        </w:rPr>
        <w:t>PLANET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94615</wp:posOffset>
            </wp:positionV>
            <wp:extent cx="1628775" cy="18599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628775" cy="1859915"/>
                    </a:xfrm>
                    <a:prstGeom prst="rect">
                      <a:avLst/>
                    </a:prstGeom>
                    <a:noFill/>
                  </pic:spPr>
                </pic:pic>
              </a:graphicData>
            </a:graphic>
          </wp:anchor>
        </w:drawing>
      </w:r>
    </w:p>
    <w:p>
      <w:pPr>
        <w:spacing w:after="0" w:line="242" w:lineRule="exact"/>
        <w:rPr>
          <w:sz w:val="20"/>
          <w:szCs w:val="20"/>
          <w:color w:val="auto"/>
        </w:rPr>
      </w:pPr>
    </w:p>
    <w:p>
      <w:pPr>
        <w:ind w:left="260" w:right="200" w:hanging="252"/>
        <w:spacing w:after="0" w:line="267" w:lineRule="auto"/>
        <w:tabs>
          <w:tab w:leader="none" w:pos="256" w:val="left"/>
        </w:tabs>
        <w:numPr>
          <w:ilvl w:val="0"/>
          <w:numId w:val="29"/>
        </w:numPr>
        <w:rPr>
          <w:rFonts w:ascii="Arial" w:cs="Arial" w:eastAsia="Arial" w:hAnsi="Arial"/>
          <w:sz w:val="14"/>
          <w:szCs w:val="14"/>
          <w:b w:val="1"/>
          <w:bCs w:val="1"/>
          <w:color w:val="636466"/>
        </w:rPr>
      </w:pPr>
      <w:r>
        <w:rPr>
          <w:rFonts w:ascii="Arial" w:cs="Arial" w:eastAsia="Arial" w:hAnsi="Arial"/>
          <w:sz w:val="14"/>
          <w:szCs w:val="14"/>
          <w:color w:val="636466"/>
        </w:rPr>
        <w:t>Completed a Scope 1 and 2 greenhouse gas emissions inventory and established a target to reduce Scope 1 and 2 greenhouse gas emissions</w:t>
      </w:r>
    </w:p>
    <w:p>
      <w:pPr>
        <w:spacing w:after="0" w:line="22" w:lineRule="exact"/>
        <w:rPr>
          <w:rFonts w:ascii="Arial" w:cs="Arial" w:eastAsia="Arial" w:hAnsi="Arial"/>
          <w:sz w:val="14"/>
          <w:szCs w:val="14"/>
          <w:b w:val="1"/>
          <w:bCs w:val="1"/>
          <w:color w:val="636466"/>
        </w:rPr>
      </w:pPr>
    </w:p>
    <w:p>
      <w:pPr>
        <w:ind w:left="260" w:right="300" w:hanging="252"/>
        <w:spacing w:after="0" w:line="281" w:lineRule="auto"/>
        <w:tabs>
          <w:tab w:leader="none" w:pos="256" w:val="left"/>
        </w:tabs>
        <w:numPr>
          <w:ilvl w:val="0"/>
          <w:numId w:val="29"/>
        </w:numPr>
        <w:rPr>
          <w:rFonts w:ascii="Arial" w:cs="Arial" w:eastAsia="Arial" w:hAnsi="Arial"/>
          <w:sz w:val="14"/>
          <w:szCs w:val="14"/>
          <w:b w:val="1"/>
          <w:bCs w:val="1"/>
          <w:color w:val="636466"/>
        </w:rPr>
      </w:pPr>
      <w:r>
        <w:rPr>
          <w:rFonts w:ascii="Arial" w:cs="Arial" w:eastAsia="Arial" w:hAnsi="Arial"/>
          <w:sz w:val="14"/>
          <w:szCs w:val="14"/>
          <w:color w:val="636466"/>
        </w:rPr>
        <w:t>Completed the transition to 100% renewable electricity at key sites</w:t>
      </w:r>
    </w:p>
    <w:p>
      <w:pPr>
        <w:spacing w:after="0" w:line="1" w:lineRule="exact"/>
        <w:rPr>
          <w:rFonts w:ascii="Arial" w:cs="Arial" w:eastAsia="Arial" w:hAnsi="Arial"/>
          <w:sz w:val="14"/>
          <w:szCs w:val="14"/>
          <w:b w:val="1"/>
          <w:bCs w:val="1"/>
          <w:color w:val="636466"/>
        </w:rPr>
      </w:pPr>
    </w:p>
    <w:p>
      <w:pPr>
        <w:ind w:left="260" w:right="600" w:hanging="252"/>
        <w:spacing w:after="0" w:line="283" w:lineRule="auto"/>
        <w:tabs>
          <w:tab w:leader="none" w:pos="256" w:val="left"/>
        </w:tabs>
        <w:numPr>
          <w:ilvl w:val="0"/>
          <w:numId w:val="29"/>
        </w:numPr>
        <w:rPr>
          <w:rFonts w:ascii="Arial" w:cs="Arial" w:eastAsia="Arial" w:hAnsi="Arial"/>
          <w:sz w:val="14"/>
          <w:szCs w:val="14"/>
          <w:b w:val="1"/>
          <w:bCs w:val="1"/>
          <w:color w:val="636466"/>
        </w:rPr>
      </w:pPr>
      <w:r>
        <w:rPr>
          <w:rFonts w:ascii="Arial" w:cs="Arial" w:eastAsia="Arial" w:hAnsi="Arial"/>
          <w:sz w:val="14"/>
          <w:szCs w:val="14"/>
          <w:color w:val="636466"/>
        </w:rPr>
        <w:t>7 labs certified under My Green Lab Certification program</w:t>
      </w:r>
    </w:p>
    <w:p>
      <w:pPr>
        <w:spacing w:after="0" w:line="10" w:lineRule="exact"/>
        <w:rPr>
          <w:rFonts w:ascii="Arial" w:cs="Arial" w:eastAsia="Arial" w:hAnsi="Arial"/>
          <w:sz w:val="14"/>
          <w:szCs w:val="14"/>
          <w:b w:val="1"/>
          <w:bCs w:val="1"/>
          <w:color w:val="636466"/>
        </w:rPr>
      </w:pPr>
    </w:p>
    <w:p>
      <w:pPr>
        <w:ind w:left="260" w:right="480" w:hanging="252"/>
        <w:spacing w:after="0" w:line="273" w:lineRule="auto"/>
        <w:tabs>
          <w:tab w:leader="none" w:pos="256" w:val="left"/>
        </w:tabs>
        <w:numPr>
          <w:ilvl w:val="0"/>
          <w:numId w:val="29"/>
        </w:numPr>
        <w:rPr>
          <w:rFonts w:ascii="Arial" w:cs="Arial" w:eastAsia="Arial" w:hAnsi="Arial"/>
          <w:sz w:val="14"/>
          <w:szCs w:val="14"/>
          <w:b w:val="1"/>
          <w:bCs w:val="1"/>
          <w:color w:val="636466"/>
        </w:rPr>
      </w:pPr>
      <w:r>
        <w:rPr>
          <w:rFonts w:ascii="Arial" w:cs="Arial" w:eastAsia="Arial" w:hAnsi="Arial"/>
          <w:sz w:val="14"/>
          <w:szCs w:val="14"/>
          <w:color w:val="636466"/>
        </w:rPr>
        <w:t>ISO 14001 and ISO 45001 certification at all internal manufacturing sites</w:t>
      </w:r>
    </w:p>
    <w:p>
      <w:pPr>
        <w:spacing w:after="0" w:line="200" w:lineRule="exact"/>
        <w:rPr>
          <w:sz w:val="20"/>
          <w:szCs w:val="20"/>
          <w:color w:val="auto"/>
        </w:rPr>
      </w:pPr>
    </w:p>
    <w:p>
      <w:pPr>
        <w:sectPr>
          <w:pgSz w:w="11900" w:h="16838" w:orient="portrait"/>
          <w:cols w:equalWidth="0" w:num="4">
            <w:col w:w="2400" w:space="609"/>
            <w:col w:w="2183" w:space="720"/>
            <w:col w:w="2248" w:space="660"/>
            <w:col w:w="2420"/>
          </w:cols>
          <w:pgMar w:left="320" w:top="522" w:right="339" w:bottom="1440" w:gutter="0" w:footer="0" w:header="0"/>
        </w:sect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Sustainability Reporting</w:t>
      </w:r>
    </w:p>
    <w:p>
      <w:pPr>
        <w:spacing w:after="0" w:line="122"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For more information about our CSSI program and our sustainability performance and data for 2025, we encourage you to read our 2025 CSSI Report, which will be available on our Website the end of June 2026. This report will reference the Global Reporting Initiative Standards and aligns with the Task Force on Climate-related Financial Disclosures framework and Sustainability Accounting Standards Board Biotechnology &amp; Pharmaceuticals Standards.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852166"/>
        </w:rPr>
        <w:t>Board Operations</w:t>
      </w:r>
    </w:p>
    <w:p>
      <w:pPr>
        <w:spacing w:after="0" w:line="184" w:lineRule="exact"/>
        <w:rPr>
          <w:sz w:val="20"/>
          <w:szCs w:val="20"/>
          <w:color w:val="auto"/>
        </w:rPr>
      </w:pPr>
    </w:p>
    <w:p>
      <w:pPr>
        <w:ind w:right="560"/>
        <w:spacing w:after="0" w:line="321" w:lineRule="auto"/>
        <w:rPr>
          <w:sz w:val="20"/>
          <w:szCs w:val="20"/>
          <w:color w:val="auto"/>
        </w:rPr>
      </w:pPr>
      <w:r>
        <w:rPr>
          <w:rFonts w:ascii="Arial" w:cs="Arial" w:eastAsia="Arial" w:hAnsi="Arial"/>
          <w:sz w:val="16"/>
          <w:szCs w:val="16"/>
          <w:color w:val="auto"/>
        </w:rPr>
        <w:t>During fiscal 2025, our Board met seven times. Each of our directors attended at least 75% of the total number of meetings of our Board and the total number of all meetings of committees on which such director served, in each case during the periods in which they served.</w:t>
      </w:r>
    </w:p>
    <w:p>
      <w:pPr>
        <w:spacing w:after="0" w:line="102"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Our directors are typically invited to and often participate in the meetings of our four standing committees, except for certain sessions that are exclusive to committee members. Our directors can only vote at meetings of the committees to which they are appointed.</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Executive Sessions</w:t>
      </w:r>
    </w:p>
    <w:p>
      <w:pPr>
        <w:spacing w:after="0" w:line="185"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Our Board considers regular executive sessions, where independent directors meet without management, as a crucial aspect of effective and independent oversight. As required under applicable Nasdaq listing standards, in 2025, the independent directors generally met at each regular board meeting in scheduled executive sessions at which only independent directors were present.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Director Attendance at AGMs</w:t>
      </w:r>
    </w:p>
    <w:p>
      <w:pPr>
        <w:spacing w:after="0" w:line="185"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It is our policy to invite directors and director nominees to attend our AGM. Each director is encouraged to attend our AGM in person. All 12 directors then in office attended our 2025 AGM.</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New Director Orientation and Continuing Education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Company provides orientation for new directors, which includes matching newly elected directors with an experienced director for ongoing mentorship.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orientation is designed to familiarize new directors with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226695</wp:posOffset>
            </wp:positionV>
            <wp:extent cx="1242695" cy="2057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29</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37" w:name="page38"/>
    <w:bookmarkEnd w:id="37"/>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3003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37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Nominating Committee is responsible for overseeing the need for continuing education of directors and encourages all directors to attend or participate in ongoing education programs for directors. Our Company also encourages directors to attend appropriate Company and health care industry meetings and events.</w:t>
      </w:r>
    </w:p>
    <w:p>
      <w:pPr>
        <w:spacing w:after="0" w:line="118"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auto"/>
        </w:rPr>
        <w:t xml:space="preserve">More information on our Company’s ongoing commitment to the continuing education of directors can be found under the section of our proxy statement entitled </w:t>
      </w:r>
      <w:r>
        <w:rPr>
          <w:rFonts w:ascii="Arial" w:cs="Arial" w:eastAsia="Arial" w:hAnsi="Arial"/>
          <w:sz w:val="16"/>
          <w:szCs w:val="16"/>
          <w:i w:val="1"/>
          <w:iCs w:val="1"/>
          <w:color w:val="auto"/>
        </w:rPr>
        <w:t>“Director Compensation—Directors Continuing Education.”</w:t>
      </w:r>
    </w:p>
    <w:p>
      <w:pPr>
        <w:spacing w:after="0" w:line="138" w:lineRule="exact"/>
        <w:rPr>
          <w:sz w:val="20"/>
          <w:szCs w:val="20"/>
          <w:color w:val="auto"/>
        </w:rPr>
      </w:pPr>
    </w:p>
    <w:p>
      <w:pPr>
        <w:spacing w:after="0"/>
        <w:rPr>
          <w:sz w:val="20"/>
          <w:szCs w:val="20"/>
          <w:color w:val="auto"/>
        </w:rPr>
      </w:pPr>
      <w:r>
        <w:rPr>
          <w:rFonts w:ascii="Arial" w:cs="Arial" w:eastAsia="Arial" w:hAnsi="Arial"/>
          <w:sz w:val="29"/>
          <w:szCs w:val="29"/>
          <w:color w:val="852166"/>
        </w:rPr>
        <w:t>Committees of our Board</w:t>
      </w:r>
    </w:p>
    <w:p>
      <w:pPr>
        <w:spacing w:after="0" w:line="184"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Our Board has four standing committees: our Audit Committee, Compensation Committee, Nominating Committee and SMC. In addition to our standing committees, we have a Transaction Committee, which meets on an ad hoc basis when necessary to approve specific transactions.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Committee Membership</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membership information for each standing committee as of June 8,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shd w:val="clear" w:color="auto" w:fill="001C71"/>
          </w:tcPr>
          <w:p>
            <w:pPr>
              <w:ind w:left="100"/>
              <w:spacing w:after="0"/>
              <w:rPr>
                <w:sz w:val="20"/>
                <w:szCs w:val="20"/>
                <w:color w:val="auto"/>
              </w:rPr>
            </w:pPr>
            <w:r>
              <w:rPr>
                <w:rFonts w:ascii="Arial" w:cs="Arial" w:eastAsia="Arial" w:hAnsi="Arial"/>
                <w:sz w:val="14"/>
                <w:szCs w:val="14"/>
                <w:b w:val="1"/>
                <w:bCs w:val="1"/>
                <w:color w:val="FFFFFF"/>
              </w:rPr>
              <w:t>Name</w:t>
            </w:r>
          </w:p>
        </w:tc>
        <w:tc>
          <w:tcPr>
            <w:tcW w:w="3180" w:type="dxa"/>
            <w:vAlign w:val="bottom"/>
            <w:shd w:val="clear" w:color="auto" w:fill="001C71"/>
          </w:tcPr>
          <w:p>
            <w:pPr>
              <w:jc w:val="center"/>
              <w:ind w:left="1028"/>
              <w:spacing w:after="0"/>
              <w:rPr>
                <w:sz w:val="20"/>
                <w:szCs w:val="20"/>
                <w:color w:val="auto"/>
              </w:rPr>
            </w:pPr>
            <w:r>
              <w:rPr>
                <w:rFonts w:ascii="Arial" w:cs="Arial" w:eastAsia="Arial" w:hAnsi="Arial"/>
                <w:sz w:val="14"/>
                <w:szCs w:val="14"/>
                <w:b w:val="1"/>
                <w:bCs w:val="1"/>
                <w:color w:val="FFFFFF"/>
              </w:rPr>
              <w:t>Audit Committee</w:t>
            </w:r>
          </w:p>
        </w:tc>
        <w:tc>
          <w:tcPr>
            <w:tcW w:w="2720" w:type="dxa"/>
            <w:vAlign w:val="bottom"/>
            <w:shd w:val="clear" w:color="auto" w:fill="001C71"/>
          </w:tcPr>
          <w:p>
            <w:pPr>
              <w:jc w:val="center"/>
              <w:spacing w:after="0"/>
              <w:rPr>
                <w:sz w:val="20"/>
                <w:szCs w:val="20"/>
                <w:color w:val="auto"/>
              </w:rPr>
            </w:pPr>
            <w:r>
              <w:rPr>
                <w:rFonts w:ascii="Arial" w:cs="Arial" w:eastAsia="Arial" w:hAnsi="Arial"/>
                <w:sz w:val="14"/>
                <w:szCs w:val="14"/>
                <w:b w:val="1"/>
                <w:bCs w:val="1"/>
                <w:color w:val="FFFFFF"/>
              </w:rPr>
              <w:t>Compensation Committee</w:t>
            </w:r>
          </w:p>
        </w:tc>
        <w:tc>
          <w:tcPr>
            <w:tcW w:w="2460" w:type="dxa"/>
            <w:vAlign w:val="bottom"/>
            <w:shd w:val="clear" w:color="auto" w:fill="001C71"/>
          </w:tcPr>
          <w:p>
            <w:pPr>
              <w:jc w:val="center"/>
              <w:ind w:left="8"/>
              <w:spacing w:after="0"/>
              <w:rPr>
                <w:sz w:val="20"/>
                <w:szCs w:val="20"/>
                <w:color w:val="auto"/>
              </w:rPr>
            </w:pPr>
            <w:r>
              <w:rPr>
                <w:rFonts w:ascii="Arial" w:cs="Arial" w:eastAsia="Arial" w:hAnsi="Arial"/>
                <w:sz w:val="14"/>
                <w:szCs w:val="14"/>
                <w:b w:val="1"/>
                <w:bCs w:val="1"/>
                <w:color w:val="FFFFFF"/>
              </w:rPr>
              <w:t>Nominating Committee</w:t>
            </w:r>
          </w:p>
        </w:tc>
        <w:tc>
          <w:tcPr>
            <w:tcW w:w="1120" w:type="dxa"/>
            <w:vAlign w:val="bottom"/>
            <w:shd w:val="clear" w:color="auto" w:fill="001C71"/>
          </w:tcPr>
          <w:p>
            <w:pPr>
              <w:jc w:val="center"/>
              <w:spacing w:after="0"/>
              <w:rPr>
                <w:sz w:val="20"/>
                <w:szCs w:val="20"/>
                <w:color w:val="auto"/>
              </w:rPr>
            </w:pPr>
            <w:r>
              <w:rPr>
                <w:rFonts w:ascii="Arial" w:cs="Arial" w:eastAsia="Arial" w:hAnsi="Arial"/>
                <w:sz w:val="14"/>
                <w:szCs w:val="14"/>
                <w:b w:val="1"/>
                <w:bCs w:val="1"/>
                <w:color w:val="FFFFFF"/>
              </w:rPr>
              <w:t>SMC</w:t>
            </w:r>
          </w:p>
        </w:tc>
      </w:tr>
      <w:tr>
        <w:trPr>
          <w:trHeight w:val="67"/>
        </w:trPr>
        <w:tc>
          <w:tcPr>
            <w:tcW w:w="1760" w:type="dxa"/>
            <w:vAlign w:val="bottom"/>
            <w:shd w:val="clear" w:color="auto" w:fill="001C71"/>
          </w:tcPr>
          <w:p>
            <w:pPr>
              <w:spacing w:after="0"/>
              <w:rPr>
                <w:sz w:val="5"/>
                <w:szCs w:val="5"/>
                <w:color w:val="auto"/>
              </w:rPr>
            </w:pPr>
          </w:p>
        </w:tc>
        <w:tc>
          <w:tcPr>
            <w:tcW w:w="3180" w:type="dxa"/>
            <w:vAlign w:val="bottom"/>
            <w:shd w:val="clear" w:color="auto" w:fill="001C71"/>
          </w:tcPr>
          <w:p>
            <w:pPr>
              <w:spacing w:after="0"/>
              <w:rPr>
                <w:sz w:val="5"/>
                <w:szCs w:val="5"/>
                <w:color w:val="auto"/>
              </w:rPr>
            </w:pPr>
          </w:p>
        </w:tc>
        <w:tc>
          <w:tcPr>
            <w:tcW w:w="2720" w:type="dxa"/>
            <w:vAlign w:val="bottom"/>
            <w:shd w:val="clear" w:color="auto" w:fill="001C71"/>
          </w:tcPr>
          <w:p>
            <w:pPr>
              <w:spacing w:after="0"/>
              <w:rPr>
                <w:sz w:val="5"/>
                <w:szCs w:val="5"/>
                <w:color w:val="auto"/>
              </w:rPr>
            </w:pPr>
          </w:p>
        </w:tc>
        <w:tc>
          <w:tcPr>
            <w:tcW w:w="2460" w:type="dxa"/>
            <w:vAlign w:val="bottom"/>
            <w:shd w:val="clear" w:color="auto" w:fill="001C71"/>
          </w:tcPr>
          <w:p>
            <w:pPr>
              <w:spacing w:after="0"/>
              <w:rPr>
                <w:sz w:val="5"/>
                <w:szCs w:val="5"/>
                <w:color w:val="auto"/>
              </w:rPr>
            </w:pPr>
          </w:p>
        </w:tc>
        <w:tc>
          <w:tcPr>
            <w:tcW w:w="1120" w:type="dxa"/>
            <w:vAlign w:val="bottom"/>
            <w:shd w:val="clear" w:color="auto" w:fill="001C71"/>
          </w:tcPr>
          <w:p>
            <w:pPr>
              <w:spacing w:after="0"/>
              <w:rPr>
                <w:sz w:val="5"/>
                <w:szCs w:val="5"/>
                <w:color w:val="auto"/>
              </w:rPr>
            </w:pPr>
          </w:p>
        </w:tc>
      </w:tr>
      <w:tr>
        <w:trPr>
          <w:trHeight w:val="297"/>
        </w:trPr>
        <w:tc>
          <w:tcPr>
            <w:tcW w:w="176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Jennifer E. Cook</w:t>
            </w:r>
          </w:p>
        </w:tc>
        <w:tc>
          <w:tcPr>
            <w:tcW w:w="3180" w:type="dxa"/>
            <w:vAlign w:val="bottom"/>
            <w:tcBorders>
              <w:bottom w:val="single" w:sz="8" w:color="5673B8"/>
            </w:tcBorders>
          </w:tcPr>
          <w:p>
            <w:pPr>
              <w:spacing w:after="0"/>
              <w:rPr>
                <w:sz w:val="24"/>
                <w:szCs w:val="24"/>
                <w:color w:val="auto"/>
              </w:rPr>
            </w:pPr>
          </w:p>
        </w:tc>
        <w:tc>
          <w:tcPr>
            <w:tcW w:w="2720" w:type="dxa"/>
            <w:vAlign w:val="bottom"/>
            <w:tcBorders>
              <w:bottom w:val="single" w:sz="8" w:color="5673B8"/>
            </w:tcBorders>
          </w:tcPr>
          <w:p>
            <w:pPr>
              <w:spacing w:after="0"/>
              <w:rPr>
                <w:sz w:val="24"/>
                <w:szCs w:val="24"/>
                <w:color w:val="auto"/>
              </w:rPr>
            </w:pPr>
          </w:p>
        </w:tc>
        <w:tc>
          <w:tcPr>
            <w:tcW w:w="2460" w:type="dxa"/>
            <w:vAlign w:val="bottom"/>
            <w:tcBorders>
              <w:bottom w:val="single" w:sz="8" w:color="5673B8"/>
            </w:tcBorders>
          </w:tcPr>
          <w:p>
            <w:pPr>
              <w:spacing w:after="0"/>
              <w:rPr>
                <w:sz w:val="24"/>
                <w:szCs w:val="24"/>
                <w:color w:val="auto"/>
              </w:rPr>
            </w:pPr>
          </w:p>
        </w:tc>
        <w:tc>
          <w:tcPr>
            <w:tcW w:w="1120" w:type="dxa"/>
            <w:vAlign w:val="bottom"/>
            <w:tcBorders>
              <w:bottom w:val="single" w:sz="8" w:color="5673B8"/>
            </w:tcBorders>
          </w:tcPr>
          <w:p>
            <w:pPr>
              <w:spacing w:after="0"/>
              <w:rPr>
                <w:sz w:val="24"/>
                <w:szCs w:val="24"/>
                <w:color w:val="auto"/>
              </w:rPr>
            </w:pPr>
          </w:p>
        </w:tc>
      </w:tr>
      <w:tr>
        <w:trPr>
          <w:trHeight w:val="290"/>
        </w:trPr>
        <w:tc>
          <w:tcPr>
            <w:tcW w:w="176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Patrick G. Enright</w:t>
            </w:r>
          </w:p>
        </w:tc>
        <w:tc>
          <w:tcPr>
            <w:tcW w:w="3180" w:type="dxa"/>
            <w:vAlign w:val="bottom"/>
            <w:tcBorders>
              <w:bottom w:val="single" w:sz="8" w:color="5673B8"/>
            </w:tcBorders>
          </w:tcPr>
          <w:p>
            <w:pPr>
              <w:spacing w:after="0"/>
              <w:rPr>
                <w:sz w:val="24"/>
                <w:szCs w:val="24"/>
                <w:color w:val="auto"/>
              </w:rPr>
            </w:pPr>
          </w:p>
        </w:tc>
        <w:tc>
          <w:tcPr>
            <w:tcW w:w="2720" w:type="dxa"/>
            <w:vAlign w:val="bottom"/>
            <w:tcBorders>
              <w:bottom w:val="single" w:sz="8" w:color="5673B8"/>
            </w:tcBorders>
          </w:tcPr>
          <w:p>
            <w:pPr>
              <w:spacing w:after="0"/>
              <w:rPr>
                <w:sz w:val="24"/>
                <w:szCs w:val="24"/>
                <w:color w:val="auto"/>
              </w:rPr>
            </w:pPr>
          </w:p>
        </w:tc>
        <w:tc>
          <w:tcPr>
            <w:tcW w:w="2460" w:type="dxa"/>
            <w:vAlign w:val="bottom"/>
            <w:tcBorders>
              <w:bottom w:val="single" w:sz="8" w:color="5673B8"/>
            </w:tcBorders>
          </w:tcPr>
          <w:p>
            <w:pPr>
              <w:spacing w:after="0"/>
              <w:rPr>
                <w:sz w:val="24"/>
                <w:szCs w:val="24"/>
                <w:color w:val="auto"/>
              </w:rPr>
            </w:pPr>
          </w:p>
        </w:tc>
        <w:tc>
          <w:tcPr>
            <w:tcW w:w="1120" w:type="dxa"/>
            <w:vAlign w:val="bottom"/>
            <w:tcBorders>
              <w:bottom w:val="single" w:sz="8" w:color="5673B8"/>
            </w:tcBorders>
          </w:tcPr>
          <w:p>
            <w:pPr>
              <w:spacing w:after="0"/>
              <w:rPr>
                <w:sz w:val="24"/>
                <w:szCs w:val="24"/>
                <w:color w:val="auto"/>
              </w:rPr>
            </w:pPr>
          </w:p>
        </w:tc>
      </w:tr>
      <w:tr>
        <w:trPr>
          <w:trHeight w:val="291"/>
        </w:trPr>
        <w:tc>
          <w:tcPr>
            <w:tcW w:w="176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Laura J. Hamill</w:t>
            </w:r>
          </w:p>
        </w:tc>
        <w:tc>
          <w:tcPr>
            <w:tcW w:w="3180" w:type="dxa"/>
            <w:vAlign w:val="bottom"/>
            <w:tcBorders>
              <w:bottom w:val="single" w:sz="8" w:color="5673B8"/>
            </w:tcBorders>
          </w:tcPr>
          <w:p>
            <w:pPr>
              <w:spacing w:after="0"/>
              <w:rPr>
                <w:sz w:val="24"/>
                <w:szCs w:val="24"/>
                <w:color w:val="auto"/>
              </w:rPr>
            </w:pPr>
          </w:p>
        </w:tc>
        <w:tc>
          <w:tcPr>
            <w:tcW w:w="2720" w:type="dxa"/>
            <w:vAlign w:val="bottom"/>
            <w:tcBorders>
              <w:bottom w:val="single" w:sz="8" w:color="5673B8"/>
            </w:tcBorders>
          </w:tcPr>
          <w:p>
            <w:pPr>
              <w:spacing w:after="0"/>
              <w:rPr>
                <w:sz w:val="24"/>
                <w:szCs w:val="24"/>
                <w:color w:val="auto"/>
              </w:rPr>
            </w:pPr>
          </w:p>
        </w:tc>
        <w:tc>
          <w:tcPr>
            <w:tcW w:w="2460" w:type="dxa"/>
            <w:vAlign w:val="bottom"/>
            <w:tcBorders>
              <w:bottom w:val="single" w:sz="8" w:color="5673B8"/>
            </w:tcBorders>
          </w:tcPr>
          <w:p>
            <w:pPr>
              <w:spacing w:after="0"/>
              <w:rPr>
                <w:sz w:val="24"/>
                <w:szCs w:val="24"/>
                <w:color w:val="auto"/>
              </w:rPr>
            </w:pPr>
          </w:p>
        </w:tc>
        <w:tc>
          <w:tcPr>
            <w:tcW w:w="1120" w:type="dxa"/>
            <w:vAlign w:val="bottom"/>
            <w:tcBorders>
              <w:bottom w:val="single" w:sz="8" w:color="5673B8"/>
            </w:tcBorders>
          </w:tcPr>
          <w:p>
            <w:pPr>
              <w:spacing w:after="0"/>
              <w:rPr>
                <w:sz w:val="24"/>
                <w:szCs w:val="24"/>
                <w:color w:val="auto"/>
              </w:rPr>
            </w:pPr>
          </w:p>
        </w:tc>
      </w:tr>
      <w:tr>
        <w:trPr>
          <w:trHeight w:val="236"/>
        </w:trPr>
        <w:tc>
          <w:tcPr>
            <w:tcW w:w="176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Patrick Kennedy</w:t>
            </w:r>
          </w:p>
        </w:tc>
        <w:tc>
          <w:tcPr>
            <w:tcW w:w="3180" w:type="dxa"/>
            <w:vAlign w:val="bottom"/>
            <w:tcBorders>
              <w:bottom w:val="single" w:sz="8" w:color="5673B8"/>
            </w:tcBorders>
          </w:tcPr>
          <w:p>
            <w:pPr>
              <w:spacing w:after="0"/>
              <w:rPr>
                <w:sz w:val="20"/>
                <w:szCs w:val="20"/>
                <w:color w:val="auto"/>
              </w:rPr>
            </w:pPr>
          </w:p>
        </w:tc>
        <w:tc>
          <w:tcPr>
            <w:tcW w:w="2720" w:type="dxa"/>
            <w:vAlign w:val="bottom"/>
            <w:tcBorders>
              <w:bottom w:val="single" w:sz="8" w:color="5673B8"/>
            </w:tcBorders>
          </w:tcPr>
          <w:p>
            <w:pPr>
              <w:spacing w:after="0"/>
              <w:rPr>
                <w:sz w:val="20"/>
                <w:szCs w:val="20"/>
                <w:color w:val="auto"/>
              </w:rPr>
            </w:pPr>
          </w:p>
        </w:tc>
        <w:tc>
          <w:tcPr>
            <w:tcW w:w="2460" w:type="dxa"/>
            <w:vAlign w:val="bottom"/>
            <w:tcBorders>
              <w:bottom w:val="single" w:sz="8" w:color="5673B8"/>
            </w:tcBorders>
          </w:tcPr>
          <w:p>
            <w:pPr>
              <w:spacing w:after="0"/>
              <w:rPr>
                <w:sz w:val="20"/>
                <w:szCs w:val="20"/>
                <w:color w:val="auto"/>
              </w:rPr>
            </w:pPr>
          </w:p>
        </w:tc>
        <w:tc>
          <w:tcPr>
            <w:tcW w:w="1120" w:type="dxa"/>
            <w:vAlign w:val="bottom"/>
            <w:tcBorders>
              <w:bottom w:val="single" w:sz="8" w:color="5673B8"/>
            </w:tcBorders>
          </w:tcPr>
          <w:p>
            <w:pPr>
              <w:spacing w:after="0"/>
              <w:rPr>
                <w:sz w:val="20"/>
                <w:szCs w:val="20"/>
                <w:color w:val="auto"/>
              </w:rPr>
            </w:pPr>
          </w:p>
        </w:tc>
      </w:tr>
      <w:tr>
        <w:trPr>
          <w:trHeight w:val="291"/>
        </w:trPr>
        <w:tc>
          <w:tcPr>
            <w:tcW w:w="176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Ted W. Love, M.D.</w:t>
            </w:r>
          </w:p>
        </w:tc>
        <w:tc>
          <w:tcPr>
            <w:tcW w:w="3180" w:type="dxa"/>
            <w:vAlign w:val="bottom"/>
            <w:tcBorders>
              <w:bottom w:val="single" w:sz="8" w:color="5673B8"/>
            </w:tcBorders>
          </w:tcPr>
          <w:p>
            <w:pPr>
              <w:spacing w:after="0"/>
              <w:rPr>
                <w:sz w:val="24"/>
                <w:szCs w:val="24"/>
                <w:color w:val="auto"/>
              </w:rPr>
            </w:pPr>
          </w:p>
        </w:tc>
        <w:tc>
          <w:tcPr>
            <w:tcW w:w="2720" w:type="dxa"/>
            <w:vAlign w:val="bottom"/>
            <w:tcBorders>
              <w:bottom w:val="single" w:sz="8" w:color="5673B8"/>
            </w:tcBorders>
          </w:tcPr>
          <w:p>
            <w:pPr>
              <w:spacing w:after="0"/>
              <w:rPr>
                <w:sz w:val="24"/>
                <w:szCs w:val="24"/>
                <w:color w:val="auto"/>
              </w:rPr>
            </w:pPr>
          </w:p>
        </w:tc>
        <w:tc>
          <w:tcPr>
            <w:tcW w:w="2460" w:type="dxa"/>
            <w:vAlign w:val="bottom"/>
            <w:tcBorders>
              <w:bottom w:val="single" w:sz="8" w:color="5673B8"/>
            </w:tcBorders>
          </w:tcPr>
          <w:p>
            <w:pPr>
              <w:spacing w:after="0"/>
              <w:rPr>
                <w:sz w:val="24"/>
                <w:szCs w:val="24"/>
                <w:color w:val="auto"/>
              </w:rPr>
            </w:pPr>
          </w:p>
        </w:tc>
        <w:tc>
          <w:tcPr>
            <w:tcW w:w="1120" w:type="dxa"/>
            <w:vAlign w:val="bottom"/>
            <w:tcBorders>
              <w:bottom w:val="single" w:sz="8" w:color="5673B8"/>
            </w:tcBorders>
          </w:tcPr>
          <w:p>
            <w:pPr>
              <w:spacing w:after="0"/>
              <w:rPr>
                <w:sz w:val="24"/>
                <w:szCs w:val="24"/>
                <w:color w:val="auto"/>
              </w:rPr>
            </w:pPr>
          </w:p>
        </w:tc>
      </w:tr>
      <w:tr>
        <w:trPr>
          <w:trHeight w:val="291"/>
        </w:trPr>
        <w:tc>
          <w:tcPr>
            <w:tcW w:w="176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Heather Ann McSharry</w:t>
            </w:r>
          </w:p>
        </w:tc>
        <w:tc>
          <w:tcPr>
            <w:tcW w:w="3180" w:type="dxa"/>
            <w:vAlign w:val="bottom"/>
            <w:tcBorders>
              <w:bottom w:val="single" w:sz="8" w:color="5673B8"/>
            </w:tcBorders>
          </w:tcPr>
          <w:p>
            <w:pPr>
              <w:spacing w:after="0"/>
              <w:rPr>
                <w:sz w:val="24"/>
                <w:szCs w:val="24"/>
                <w:color w:val="auto"/>
              </w:rPr>
            </w:pPr>
          </w:p>
        </w:tc>
        <w:tc>
          <w:tcPr>
            <w:tcW w:w="2720" w:type="dxa"/>
            <w:vAlign w:val="bottom"/>
            <w:tcBorders>
              <w:bottom w:val="single" w:sz="8" w:color="5673B8"/>
            </w:tcBorders>
          </w:tcPr>
          <w:p>
            <w:pPr>
              <w:spacing w:after="0"/>
              <w:rPr>
                <w:sz w:val="24"/>
                <w:szCs w:val="24"/>
                <w:color w:val="auto"/>
              </w:rPr>
            </w:pPr>
          </w:p>
        </w:tc>
        <w:tc>
          <w:tcPr>
            <w:tcW w:w="2460" w:type="dxa"/>
            <w:vAlign w:val="bottom"/>
            <w:tcBorders>
              <w:bottom w:val="single" w:sz="8" w:color="5673B8"/>
            </w:tcBorders>
          </w:tcPr>
          <w:p>
            <w:pPr>
              <w:spacing w:after="0"/>
              <w:rPr>
                <w:sz w:val="24"/>
                <w:szCs w:val="24"/>
                <w:color w:val="auto"/>
              </w:rPr>
            </w:pPr>
          </w:p>
        </w:tc>
        <w:tc>
          <w:tcPr>
            <w:tcW w:w="1120" w:type="dxa"/>
            <w:vAlign w:val="bottom"/>
            <w:tcBorders>
              <w:bottom w:val="single" w:sz="8" w:color="5673B8"/>
            </w:tcBorders>
          </w:tcPr>
          <w:p>
            <w:pPr>
              <w:spacing w:after="0"/>
              <w:rPr>
                <w:sz w:val="24"/>
                <w:szCs w:val="24"/>
                <w:color w:val="auto"/>
              </w:rPr>
            </w:pPr>
          </w:p>
        </w:tc>
      </w:tr>
      <w:tr>
        <w:trPr>
          <w:trHeight w:val="290"/>
        </w:trPr>
        <w:tc>
          <w:tcPr>
            <w:tcW w:w="176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Seamus C. Mulligan</w:t>
            </w:r>
          </w:p>
        </w:tc>
        <w:tc>
          <w:tcPr>
            <w:tcW w:w="3180" w:type="dxa"/>
            <w:vAlign w:val="bottom"/>
            <w:tcBorders>
              <w:bottom w:val="single" w:sz="8" w:color="5673B8"/>
            </w:tcBorders>
          </w:tcPr>
          <w:p>
            <w:pPr>
              <w:spacing w:after="0"/>
              <w:rPr>
                <w:sz w:val="24"/>
                <w:szCs w:val="24"/>
                <w:color w:val="auto"/>
              </w:rPr>
            </w:pPr>
          </w:p>
        </w:tc>
        <w:tc>
          <w:tcPr>
            <w:tcW w:w="2720" w:type="dxa"/>
            <w:vAlign w:val="bottom"/>
            <w:tcBorders>
              <w:bottom w:val="single" w:sz="8" w:color="5673B8"/>
            </w:tcBorders>
          </w:tcPr>
          <w:p>
            <w:pPr>
              <w:spacing w:after="0"/>
              <w:rPr>
                <w:sz w:val="24"/>
                <w:szCs w:val="24"/>
                <w:color w:val="auto"/>
              </w:rPr>
            </w:pPr>
          </w:p>
        </w:tc>
        <w:tc>
          <w:tcPr>
            <w:tcW w:w="2460" w:type="dxa"/>
            <w:vAlign w:val="bottom"/>
            <w:tcBorders>
              <w:bottom w:val="single" w:sz="8" w:color="5673B8"/>
            </w:tcBorders>
          </w:tcPr>
          <w:p>
            <w:pPr>
              <w:spacing w:after="0"/>
              <w:rPr>
                <w:sz w:val="24"/>
                <w:szCs w:val="24"/>
                <w:color w:val="auto"/>
              </w:rPr>
            </w:pPr>
          </w:p>
        </w:tc>
        <w:tc>
          <w:tcPr>
            <w:tcW w:w="1120" w:type="dxa"/>
            <w:vAlign w:val="bottom"/>
            <w:tcBorders>
              <w:bottom w:val="single" w:sz="8" w:color="5673B8"/>
            </w:tcBorders>
          </w:tcPr>
          <w:p>
            <w:pPr>
              <w:spacing w:after="0"/>
              <w:rPr>
                <w:sz w:val="24"/>
                <w:szCs w:val="24"/>
                <w:color w:val="auto"/>
              </w:rPr>
            </w:pPr>
          </w:p>
        </w:tc>
      </w:tr>
      <w:tr>
        <w:trPr>
          <w:trHeight w:val="290"/>
        </w:trPr>
        <w:tc>
          <w:tcPr>
            <w:tcW w:w="176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Anne O’Riordan</w:t>
            </w:r>
            <w:r>
              <w:rPr>
                <w:rFonts w:ascii="Arial" w:cs="Arial" w:eastAsia="Arial" w:hAnsi="Arial"/>
                <w:sz w:val="18"/>
                <w:szCs w:val="18"/>
                <w:b w:val="1"/>
                <w:bCs w:val="1"/>
                <w:color w:val="852166"/>
                <w:vertAlign w:val="superscript"/>
              </w:rPr>
              <w:t>(1)</w:t>
            </w:r>
          </w:p>
        </w:tc>
        <w:tc>
          <w:tcPr>
            <w:tcW w:w="3180" w:type="dxa"/>
            <w:vAlign w:val="bottom"/>
            <w:tcBorders>
              <w:bottom w:val="single" w:sz="8" w:color="5673B8"/>
            </w:tcBorders>
          </w:tcPr>
          <w:p>
            <w:pPr>
              <w:spacing w:after="0"/>
              <w:rPr>
                <w:sz w:val="24"/>
                <w:szCs w:val="24"/>
                <w:color w:val="auto"/>
              </w:rPr>
            </w:pPr>
          </w:p>
        </w:tc>
        <w:tc>
          <w:tcPr>
            <w:tcW w:w="2720" w:type="dxa"/>
            <w:vAlign w:val="bottom"/>
            <w:tcBorders>
              <w:bottom w:val="single" w:sz="8" w:color="5673B8"/>
            </w:tcBorders>
          </w:tcPr>
          <w:p>
            <w:pPr>
              <w:spacing w:after="0"/>
              <w:rPr>
                <w:sz w:val="24"/>
                <w:szCs w:val="24"/>
                <w:color w:val="auto"/>
              </w:rPr>
            </w:pPr>
          </w:p>
        </w:tc>
        <w:tc>
          <w:tcPr>
            <w:tcW w:w="2460" w:type="dxa"/>
            <w:vAlign w:val="bottom"/>
            <w:tcBorders>
              <w:bottom w:val="single" w:sz="8" w:color="5673B8"/>
            </w:tcBorders>
          </w:tcPr>
          <w:p>
            <w:pPr>
              <w:spacing w:after="0"/>
              <w:rPr>
                <w:sz w:val="24"/>
                <w:szCs w:val="24"/>
                <w:color w:val="auto"/>
              </w:rPr>
            </w:pPr>
          </w:p>
        </w:tc>
        <w:tc>
          <w:tcPr>
            <w:tcW w:w="1120" w:type="dxa"/>
            <w:vAlign w:val="bottom"/>
            <w:tcBorders>
              <w:bottom w:val="single" w:sz="8" w:color="5673B8"/>
            </w:tcBorders>
          </w:tcPr>
          <w:p>
            <w:pPr>
              <w:spacing w:after="0"/>
              <w:rPr>
                <w:sz w:val="24"/>
                <w:szCs w:val="24"/>
                <w:color w:val="auto"/>
              </w:rPr>
            </w:pPr>
          </w:p>
        </w:tc>
      </w:tr>
      <w:tr>
        <w:trPr>
          <w:trHeight w:val="290"/>
        </w:trPr>
        <w:tc>
          <w:tcPr>
            <w:tcW w:w="176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Norbert G. Riedel, Ph.D.</w:t>
            </w:r>
          </w:p>
        </w:tc>
        <w:tc>
          <w:tcPr>
            <w:tcW w:w="3180" w:type="dxa"/>
            <w:vAlign w:val="bottom"/>
            <w:tcBorders>
              <w:bottom w:val="single" w:sz="8" w:color="5673B8"/>
            </w:tcBorders>
          </w:tcPr>
          <w:p>
            <w:pPr>
              <w:spacing w:after="0"/>
              <w:rPr>
                <w:sz w:val="24"/>
                <w:szCs w:val="24"/>
                <w:color w:val="auto"/>
              </w:rPr>
            </w:pPr>
          </w:p>
        </w:tc>
        <w:tc>
          <w:tcPr>
            <w:tcW w:w="2720" w:type="dxa"/>
            <w:vAlign w:val="bottom"/>
            <w:tcBorders>
              <w:bottom w:val="single" w:sz="8" w:color="5673B8"/>
            </w:tcBorders>
          </w:tcPr>
          <w:p>
            <w:pPr>
              <w:spacing w:after="0"/>
              <w:rPr>
                <w:sz w:val="24"/>
                <w:szCs w:val="24"/>
                <w:color w:val="auto"/>
              </w:rPr>
            </w:pPr>
          </w:p>
        </w:tc>
        <w:tc>
          <w:tcPr>
            <w:tcW w:w="2460" w:type="dxa"/>
            <w:vAlign w:val="bottom"/>
            <w:tcBorders>
              <w:bottom w:val="single" w:sz="8" w:color="5673B8"/>
            </w:tcBorders>
          </w:tcPr>
          <w:p>
            <w:pPr>
              <w:spacing w:after="0"/>
              <w:rPr>
                <w:sz w:val="24"/>
                <w:szCs w:val="24"/>
                <w:color w:val="auto"/>
              </w:rPr>
            </w:pPr>
          </w:p>
        </w:tc>
        <w:tc>
          <w:tcPr>
            <w:tcW w:w="1120" w:type="dxa"/>
            <w:vAlign w:val="bottom"/>
            <w:tcBorders>
              <w:bottom w:val="single" w:sz="8" w:color="5673B8"/>
            </w:tcBorders>
          </w:tcPr>
          <w:p>
            <w:pPr>
              <w:spacing w:after="0"/>
              <w:rPr>
                <w:sz w:val="24"/>
                <w:szCs w:val="24"/>
                <w:color w:val="auto"/>
              </w:rPr>
            </w:pPr>
          </w:p>
        </w:tc>
      </w:tr>
      <w:tr>
        <w:trPr>
          <w:trHeight w:val="290"/>
        </w:trPr>
        <w:tc>
          <w:tcPr>
            <w:tcW w:w="176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Mark D. Smith, M.D.</w:t>
            </w:r>
          </w:p>
        </w:tc>
        <w:tc>
          <w:tcPr>
            <w:tcW w:w="3180" w:type="dxa"/>
            <w:vAlign w:val="bottom"/>
            <w:tcBorders>
              <w:bottom w:val="single" w:sz="8" w:color="5673B8"/>
            </w:tcBorders>
          </w:tcPr>
          <w:p>
            <w:pPr>
              <w:spacing w:after="0"/>
              <w:rPr>
                <w:sz w:val="24"/>
                <w:szCs w:val="24"/>
                <w:color w:val="auto"/>
              </w:rPr>
            </w:pPr>
          </w:p>
        </w:tc>
        <w:tc>
          <w:tcPr>
            <w:tcW w:w="2720" w:type="dxa"/>
            <w:vAlign w:val="bottom"/>
            <w:tcBorders>
              <w:bottom w:val="single" w:sz="8" w:color="5673B8"/>
            </w:tcBorders>
          </w:tcPr>
          <w:p>
            <w:pPr>
              <w:spacing w:after="0"/>
              <w:rPr>
                <w:sz w:val="24"/>
                <w:szCs w:val="24"/>
                <w:color w:val="auto"/>
              </w:rPr>
            </w:pPr>
          </w:p>
        </w:tc>
        <w:tc>
          <w:tcPr>
            <w:tcW w:w="2460" w:type="dxa"/>
            <w:vAlign w:val="bottom"/>
            <w:tcBorders>
              <w:bottom w:val="single" w:sz="8" w:color="5673B8"/>
            </w:tcBorders>
          </w:tcPr>
          <w:p>
            <w:pPr>
              <w:spacing w:after="0"/>
              <w:rPr>
                <w:sz w:val="24"/>
                <w:szCs w:val="24"/>
                <w:color w:val="auto"/>
              </w:rPr>
            </w:pPr>
          </w:p>
        </w:tc>
        <w:tc>
          <w:tcPr>
            <w:tcW w:w="1120" w:type="dxa"/>
            <w:vAlign w:val="bottom"/>
            <w:tcBorders>
              <w:bottom w:val="single" w:sz="8" w:color="5673B8"/>
            </w:tcBorders>
          </w:tcPr>
          <w:p>
            <w:pPr>
              <w:spacing w:after="0"/>
              <w:rPr>
                <w:sz w:val="24"/>
                <w:szCs w:val="24"/>
                <w:color w:val="auto"/>
              </w:rPr>
            </w:pPr>
          </w:p>
        </w:tc>
      </w:tr>
      <w:tr>
        <w:trPr>
          <w:trHeight w:val="290"/>
        </w:trPr>
        <w:tc>
          <w:tcPr>
            <w:tcW w:w="176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852166"/>
              </w:rPr>
              <w:t>Rick E Winningham</w:t>
            </w:r>
          </w:p>
        </w:tc>
        <w:tc>
          <w:tcPr>
            <w:tcW w:w="3180" w:type="dxa"/>
            <w:vAlign w:val="bottom"/>
            <w:tcBorders>
              <w:bottom w:val="single" w:sz="8" w:color="852166"/>
            </w:tcBorders>
          </w:tcPr>
          <w:p>
            <w:pPr>
              <w:spacing w:after="0"/>
              <w:rPr>
                <w:sz w:val="24"/>
                <w:szCs w:val="24"/>
                <w:color w:val="auto"/>
              </w:rPr>
            </w:pPr>
          </w:p>
        </w:tc>
        <w:tc>
          <w:tcPr>
            <w:tcW w:w="2720" w:type="dxa"/>
            <w:vAlign w:val="bottom"/>
            <w:tcBorders>
              <w:bottom w:val="single" w:sz="8" w:color="852166"/>
            </w:tcBorders>
          </w:tcPr>
          <w:p>
            <w:pPr>
              <w:spacing w:after="0"/>
              <w:rPr>
                <w:sz w:val="24"/>
                <w:szCs w:val="24"/>
                <w:color w:val="auto"/>
              </w:rPr>
            </w:pPr>
          </w:p>
        </w:tc>
        <w:tc>
          <w:tcPr>
            <w:tcW w:w="2460" w:type="dxa"/>
            <w:vAlign w:val="bottom"/>
            <w:tcBorders>
              <w:bottom w:val="single" w:sz="8" w:color="852166"/>
            </w:tcBorders>
          </w:tcPr>
          <w:p>
            <w:pPr>
              <w:spacing w:after="0"/>
              <w:rPr>
                <w:sz w:val="24"/>
                <w:szCs w:val="24"/>
                <w:color w:val="auto"/>
              </w:rPr>
            </w:pPr>
          </w:p>
        </w:tc>
        <w:tc>
          <w:tcPr>
            <w:tcW w:w="1120" w:type="dxa"/>
            <w:vAlign w:val="bottom"/>
            <w:tcBorders>
              <w:bottom w:val="single" w:sz="8" w:color="852166"/>
            </w:tcBorders>
          </w:tcPr>
          <w:p>
            <w:pPr>
              <w:spacing w:after="0"/>
              <w:rPr>
                <w:sz w:val="24"/>
                <w:szCs w:val="24"/>
                <w:color w:val="auto"/>
              </w:rPr>
            </w:pPr>
          </w:p>
        </w:tc>
      </w:tr>
      <w:tr>
        <w:trPr>
          <w:trHeight w:val="403"/>
        </w:trPr>
        <w:tc>
          <w:tcPr>
            <w:tcW w:w="1760" w:type="dxa"/>
            <w:vAlign w:val="bottom"/>
          </w:tcPr>
          <w:p>
            <w:pPr>
              <w:spacing w:after="0"/>
              <w:rPr>
                <w:sz w:val="20"/>
                <w:szCs w:val="20"/>
                <w:color w:val="auto"/>
              </w:rPr>
            </w:pPr>
            <w:r>
              <w:rPr>
                <w:rFonts w:ascii="Arial" w:cs="Arial" w:eastAsia="Arial" w:hAnsi="Arial"/>
                <w:sz w:val="14"/>
                <w:szCs w:val="14"/>
                <w:color w:val="auto"/>
              </w:rPr>
              <w:t>= Committee Member</w:t>
            </w:r>
          </w:p>
        </w:tc>
        <w:tc>
          <w:tcPr>
            <w:tcW w:w="3180" w:type="dxa"/>
            <w:vAlign w:val="bottom"/>
          </w:tcPr>
          <w:p>
            <w:pPr>
              <w:ind w:left="40"/>
              <w:spacing w:after="0"/>
              <w:rPr>
                <w:sz w:val="20"/>
                <w:szCs w:val="20"/>
                <w:color w:val="auto"/>
              </w:rPr>
            </w:pPr>
            <w:r>
              <w:rPr>
                <w:rFonts w:ascii="Arial" w:cs="Arial" w:eastAsia="Arial" w:hAnsi="Arial"/>
                <w:sz w:val="14"/>
                <w:szCs w:val="14"/>
                <w:color w:val="auto"/>
              </w:rPr>
              <w:t>= Committee Chair</w:t>
            </w:r>
          </w:p>
        </w:tc>
        <w:tc>
          <w:tcPr>
            <w:tcW w:w="2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14"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Ms. O’Riordan notified us that she is not standing for re-election at the 2026 AGM. Her term of office as a director will expire at the 2026 AGM.</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Committee Rotation and Selection Process</w:t>
      </w:r>
    </w:p>
    <w:p>
      <w:pPr>
        <w:spacing w:after="0" w:line="18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Our Nominating Committee oversees the committee structure and operations, including authority to delegate to subcommittees. Our Board, with recommendations from our Nominating Committee, reviews and resolves upon our committee chairs and committee members annually. There are no fixed terms for committee chairs or members, however, our Board recognizes the importance of committee rotation and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2400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COMMITTEE REFRESHMENT HIGHLIGHTS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514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10" w:lineRule="exact"/>
        <w:rPr>
          <w:sz w:val="20"/>
          <w:szCs w:val="20"/>
          <w:color w:val="auto"/>
        </w:rPr>
      </w:pPr>
    </w:p>
    <w:p>
      <w:pPr>
        <w:ind w:left="480" w:hanging="225"/>
        <w:spacing w:after="0"/>
        <w:tabs>
          <w:tab w:leader="none" w:pos="480" w:val="left"/>
        </w:tabs>
        <w:numPr>
          <w:ilvl w:val="0"/>
          <w:numId w:val="31"/>
        </w:numPr>
        <w:rPr>
          <w:rFonts w:ascii="Arial" w:cs="Arial" w:eastAsia="Arial" w:hAnsi="Arial"/>
          <w:sz w:val="16"/>
          <w:szCs w:val="16"/>
          <w:b w:val="1"/>
          <w:bCs w:val="1"/>
          <w:color w:val="636466"/>
        </w:rPr>
      </w:pPr>
      <w:r>
        <w:rPr>
          <w:rFonts w:ascii="Arial" w:cs="Arial" w:eastAsia="Arial" w:hAnsi="Arial"/>
          <w:sz w:val="16"/>
          <w:szCs w:val="16"/>
          <w:color w:val="636466"/>
        </w:rPr>
        <w:t>Ted W. Love was appointed as a member of our Audit Committee and SMC; and</w:t>
      </w:r>
    </w:p>
    <w:p>
      <w:pPr>
        <w:spacing w:after="0" w:line="86" w:lineRule="exact"/>
        <w:rPr>
          <w:rFonts w:ascii="Arial" w:cs="Arial" w:eastAsia="Arial" w:hAnsi="Arial"/>
          <w:sz w:val="16"/>
          <w:szCs w:val="16"/>
          <w:b w:val="1"/>
          <w:bCs w:val="1"/>
          <w:color w:val="636466"/>
        </w:rPr>
      </w:pPr>
    </w:p>
    <w:p>
      <w:pPr>
        <w:ind w:left="480" w:hanging="225"/>
        <w:spacing w:after="0"/>
        <w:tabs>
          <w:tab w:leader="none" w:pos="480" w:val="left"/>
        </w:tabs>
        <w:numPr>
          <w:ilvl w:val="0"/>
          <w:numId w:val="31"/>
        </w:numPr>
        <w:rPr>
          <w:rFonts w:ascii="Arial" w:cs="Arial" w:eastAsia="Arial" w:hAnsi="Arial"/>
          <w:sz w:val="16"/>
          <w:szCs w:val="16"/>
          <w:b w:val="1"/>
          <w:bCs w:val="1"/>
          <w:color w:val="636466"/>
        </w:rPr>
      </w:pPr>
      <w:r>
        <w:rPr>
          <w:rFonts w:ascii="Arial" w:cs="Arial" w:eastAsia="Arial" w:hAnsi="Arial"/>
          <w:sz w:val="16"/>
          <w:szCs w:val="16"/>
          <w:color w:val="636466"/>
        </w:rPr>
        <w:t>Due to his retirement in December 2025, Kenneth W. O’Keefe rotated off our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501015</wp:posOffset>
            </wp:positionV>
            <wp:extent cx="1242695" cy="2057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30</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8" w:name="page39"/>
    <w:bookmarkEnd w:id="38"/>
    <w:p>
      <w:pPr>
        <w:ind w:left="91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5617210</wp:posOffset>
            </wp:positionH>
            <wp:positionV relativeFrom="page">
              <wp:posOffset>208915</wp:posOffset>
            </wp:positionV>
            <wp:extent cx="1722755" cy="3003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529590</wp:posOffset>
            </wp:positionV>
            <wp:extent cx="2040255" cy="66776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040255" cy="6677660"/>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40"/>
        <w:spacing w:after="0"/>
        <w:rPr>
          <w:sz w:val="20"/>
          <w:szCs w:val="20"/>
          <w:color w:val="auto"/>
        </w:rPr>
      </w:pPr>
      <w:r>
        <w:rPr>
          <w:rFonts w:ascii="Arial" w:cs="Arial" w:eastAsia="Arial" w:hAnsi="Arial"/>
          <w:sz w:val="36"/>
          <w:szCs w:val="36"/>
          <w:b w:val="1"/>
          <w:bCs w:val="1"/>
          <w:color w:val="001C71"/>
        </w:rPr>
        <w:t>Audit</w:t>
      </w:r>
    </w:p>
    <w:p>
      <w:pPr>
        <w:spacing w:after="0" w:line="54" w:lineRule="exact"/>
        <w:rPr>
          <w:sz w:val="20"/>
          <w:szCs w:val="20"/>
          <w:color w:val="auto"/>
        </w:rPr>
      </w:pPr>
    </w:p>
    <w:p>
      <w:pPr>
        <w:ind w:left="1340"/>
        <w:spacing w:after="0"/>
        <w:rPr>
          <w:sz w:val="20"/>
          <w:szCs w:val="20"/>
          <w:color w:val="auto"/>
        </w:rPr>
      </w:pPr>
      <w:r>
        <w:rPr>
          <w:rFonts w:ascii="Arial" w:cs="Arial" w:eastAsia="Arial" w:hAnsi="Arial"/>
          <w:sz w:val="36"/>
          <w:szCs w:val="36"/>
          <w:b w:val="1"/>
          <w:bCs w:val="1"/>
          <w:color w:val="001C71"/>
        </w:rPr>
        <w:t>Committee</w:t>
      </w:r>
    </w:p>
    <w:p>
      <w:pPr>
        <w:spacing w:after="0" w:line="173"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Patrick Kennedy</w:t>
      </w:r>
    </w:p>
    <w:p>
      <w:pPr>
        <w:spacing w:after="0" w:line="177"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MEMBERS:</w:t>
      </w:r>
    </w:p>
    <w:p>
      <w:pPr>
        <w:spacing w:after="0" w:line="82"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Patrick G. Enright</w:t>
      </w:r>
    </w:p>
    <w:p>
      <w:pPr>
        <w:spacing w:after="0" w:line="82"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Ted W. Love, M.D.</w:t>
      </w:r>
    </w:p>
    <w:p>
      <w:pPr>
        <w:spacing w:after="0" w:line="82"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Heather Ann McSharry</w:t>
      </w:r>
    </w:p>
    <w:p>
      <w:pPr>
        <w:spacing w:after="0" w:line="82"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Anne O’Riordan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340"/>
        <w:spacing w:after="0" w:line="297" w:lineRule="auto"/>
        <w:rPr>
          <w:sz w:val="20"/>
          <w:szCs w:val="20"/>
          <w:color w:val="auto"/>
        </w:rPr>
      </w:pPr>
      <w:r>
        <w:rPr>
          <w:rFonts w:ascii="Arial" w:cs="Arial" w:eastAsia="Arial" w:hAnsi="Arial"/>
          <w:sz w:val="14"/>
          <w:szCs w:val="14"/>
          <w:color w:val="636466"/>
        </w:rPr>
        <w:t>Our Board determined that all Members meet the independence requirements of Rule 10A-3 of the Exchange Act and the Nasdaq listing standards with respect to audit committee members</w:t>
      </w:r>
    </w:p>
    <w:p>
      <w:pPr>
        <w:spacing w:after="0" w:line="306" w:lineRule="exact"/>
        <w:rPr>
          <w:sz w:val="20"/>
          <w:szCs w:val="20"/>
          <w:color w:val="auto"/>
        </w:rPr>
      </w:pPr>
    </w:p>
    <w:p>
      <w:pPr>
        <w:ind w:left="1340"/>
        <w:spacing w:after="0"/>
        <w:rPr>
          <w:sz w:val="20"/>
          <w:szCs w:val="20"/>
          <w:color w:val="auto"/>
        </w:rPr>
      </w:pPr>
      <w:r>
        <w:rPr>
          <w:rFonts w:ascii="Arial" w:cs="Arial" w:eastAsia="Arial" w:hAnsi="Arial"/>
          <w:sz w:val="54"/>
          <w:szCs w:val="54"/>
          <w:color w:val="001C71"/>
        </w:rPr>
        <w:t>4</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MEETINGS HELD DURING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1160"/>
        <w:spacing w:after="0" w:line="292" w:lineRule="auto"/>
        <w:rPr>
          <w:sz w:val="20"/>
          <w:szCs w:val="20"/>
          <w:color w:val="auto"/>
        </w:rPr>
      </w:pPr>
      <w:r>
        <w:rPr>
          <w:rFonts w:ascii="Arial" w:cs="Arial" w:eastAsia="Arial" w:hAnsi="Arial"/>
          <w:sz w:val="16"/>
          <w:szCs w:val="16"/>
          <w:color w:val="auto"/>
        </w:rPr>
        <w:t>Our Audit Committee is governed by an annually reviewed, Board approved charter, which is available on our Website. The primary responsibilities of our Audit Committee include:</w:t>
      </w:r>
    </w:p>
    <w:p>
      <w:pPr>
        <w:spacing w:after="0" w:line="57" w:lineRule="exact"/>
        <w:rPr>
          <w:sz w:val="20"/>
          <w:szCs w:val="20"/>
          <w:color w:val="auto"/>
        </w:rPr>
      </w:pPr>
    </w:p>
    <w:p>
      <w:pPr>
        <w:ind w:left="340" w:right="1400" w:hanging="250"/>
        <w:spacing w:after="0" w:line="321"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evaluating the performance of and assessing the qualifications of our independent auditors;</w:t>
      </w:r>
    </w:p>
    <w:p>
      <w:pPr>
        <w:spacing w:after="0" w:line="20" w:lineRule="exact"/>
        <w:rPr>
          <w:rFonts w:ascii="Arial" w:cs="Arial" w:eastAsia="Arial" w:hAnsi="Arial"/>
          <w:sz w:val="16"/>
          <w:szCs w:val="16"/>
          <w:b w:val="1"/>
          <w:bCs w:val="1"/>
          <w:color w:val="001C71"/>
        </w:rPr>
      </w:pPr>
    </w:p>
    <w:p>
      <w:pPr>
        <w:ind w:left="340" w:right="1440" w:hanging="250"/>
        <w:spacing w:after="0" w:line="304"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determining and approving the engagement and remuneration of our independent auditors;</w:t>
      </w:r>
    </w:p>
    <w:p>
      <w:pPr>
        <w:spacing w:after="0" w:line="46" w:lineRule="exact"/>
        <w:rPr>
          <w:rFonts w:ascii="Arial" w:cs="Arial" w:eastAsia="Arial" w:hAnsi="Arial"/>
          <w:sz w:val="16"/>
          <w:szCs w:val="16"/>
          <w:b w:val="1"/>
          <w:bCs w:val="1"/>
          <w:color w:val="001C71"/>
        </w:rPr>
      </w:pPr>
    </w:p>
    <w:p>
      <w:pPr>
        <w:ind w:left="340" w:right="1520" w:hanging="250"/>
        <w:spacing w:after="0" w:line="304"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determining whether to retain or terminate our existing independent auditors or to appoint and engage new independent auditors;</w:t>
      </w:r>
    </w:p>
    <w:p>
      <w:pPr>
        <w:spacing w:after="0" w:line="33" w:lineRule="exact"/>
        <w:rPr>
          <w:rFonts w:ascii="Arial" w:cs="Arial" w:eastAsia="Arial" w:hAnsi="Arial"/>
          <w:sz w:val="16"/>
          <w:szCs w:val="16"/>
          <w:b w:val="1"/>
          <w:bCs w:val="1"/>
          <w:color w:val="001C71"/>
        </w:rPr>
      </w:pPr>
    </w:p>
    <w:p>
      <w:pPr>
        <w:ind w:left="340" w:right="1180" w:hanging="250"/>
        <w:spacing w:after="0" w:line="321"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determining and approving the engagement of our independent auditors to perform any proposed permissible non-audit services;</w:t>
      </w:r>
    </w:p>
    <w:p>
      <w:pPr>
        <w:spacing w:after="0" w:line="20" w:lineRule="exact"/>
        <w:rPr>
          <w:rFonts w:ascii="Arial" w:cs="Arial" w:eastAsia="Arial" w:hAnsi="Arial"/>
          <w:sz w:val="16"/>
          <w:szCs w:val="16"/>
          <w:b w:val="1"/>
          <w:bCs w:val="1"/>
          <w:color w:val="001C71"/>
        </w:rPr>
      </w:pPr>
    </w:p>
    <w:p>
      <w:pPr>
        <w:ind w:left="340" w:right="1400" w:hanging="250"/>
        <w:spacing w:after="0" w:line="304"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monitoring the rotation of partners of the independent auditors on our audit engagement team as required by applicable laws and rules;</w:t>
      </w:r>
    </w:p>
    <w:p>
      <w:pPr>
        <w:spacing w:after="0" w:line="33" w:lineRule="exact"/>
        <w:rPr>
          <w:rFonts w:ascii="Arial" w:cs="Arial" w:eastAsia="Arial" w:hAnsi="Arial"/>
          <w:sz w:val="16"/>
          <w:szCs w:val="16"/>
          <w:b w:val="1"/>
          <w:bCs w:val="1"/>
          <w:color w:val="001C71"/>
        </w:rPr>
      </w:pPr>
    </w:p>
    <w:p>
      <w:pPr>
        <w:jc w:val="both"/>
        <w:ind w:left="340" w:right="1260" w:hanging="250"/>
        <w:spacing w:after="0" w:line="292"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reviewing and advising on the selection and removal of our head of our internal audit function, the activities and organizational structure of our internal audit function and the results of internal audit activities;</w:t>
      </w:r>
    </w:p>
    <w:p>
      <w:pPr>
        <w:spacing w:after="0" w:line="43" w:lineRule="exact"/>
        <w:rPr>
          <w:rFonts w:ascii="Arial" w:cs="Arial" w:eastAsia="Arial" w:hAnsi="Arial"/>
          <w:sz w:val="16"/>
          <w:szCs w:val="16"/>
          <w:b w:val="1"/>
          <w:bCs w:val="1"/>
          <w:color w:val="001C71"/>
        </w:rPr>
      </w:pPr>
    </w:p>
    <w:p>
      <w:pPr>
        <w:ind w:left="340" w:right="1260" w:hanging="250"/>
        <w:spacing w:after="0" w:line="321"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reviewing and approving our internal audit charter at least annually and our annual internal audit plan and budget;</w:t>
      </w:r>
    </w:p>
    <w:p>
      <w:pPr>
        <w:spacing w:after="0" w:line="20" w:lineRule="exact"/>
        <w:rPr>
          <w:rFonts w:ascii="Arial" w:cs="Arial" w:eastAsia="Arial" w:hAnsi="Arial"/>
          <w:sz w:val="16"/>
          <w:szCs w:val="16"/>
          <w:b w:val="1"/>
          <w:bCs w:val="1"/>
          <w:color w:val="001C71"/>
        </w:rPr>
      </w:pPr>
    </w:p>
    <w:p>
      <w:pPr>
        <w:ind w:left="340" w:right="1180" w:hanging="250"/>
        <w:spacing w:after="0" w:line="279"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meeting to review our annual audited financial statements, our quarterly financial statements and our financial press releases with management and the independent auditors, including reviewing our disclosures under “Management’s Discussion and Analysis of Financial Condition and Results of Operations” included in our annual and quarterly reports filed with the SEC;</w:t>
      </w:r>
    </w:p>
    <w:p>
      <w:pPr>
        <w:spacing w:after="0" w:line="66" w:lineRule="exact"/>
        <w:rPr>
          <w:rFonts w:ascii="Arial" w:cs="Arial" w:eastAsia="Arial" w:hAnsi="Arial"/>
          <w:sz w:val="16"/>
          <w:szCs w:val="16"/>
          <w:b w:val="1"/>
          <w:bCs w:val="1"/>
          <w:color w:val="001C71"/>
        </w:rPr>
      </w:pPr>
    </w:p>
    <w:p>
      <w:pPr>
        <w:ind w:left="340" w:right="1280" w:hanging="250"/>
        <w:spacing w:after="0" w:line="304"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reviewing, overseeing and approving transactions between us and any related persons;</w:t>
      </w:r>
    </w:p>
    <w:p>
      <w:pPr>
        <w:spacing w:after="0" w:line="33" w:lineRule="exact"/>
        <w:rPr>
          <w:rFonts w:ascii="Arial" w:cs="Arial" w:eastAsia="Arial" w:hAnsi="Arial"/>
          <w:sz w:val="16"/>
          <w:szCs w:val="16"/>
          <w:b w:val="1"/>
          <w:bCs w:val="1"/>
          <w:color w:val="001C71"/>
        </w:rPr>
      </w:pPr>
    </w:p>
    <w:p>
      <w:pPr>
        <w:ind w:left="340" w:right="1240" w:hanging="250"/>
        <w:spacing w:after="0" w:line="292"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conferring with management, our internal audit function and our independent auditors regarding the scope, adequacy and effectiveness of our internal control over financial reporting;</w:t>
      </w:r>
    </w:p>
    <w:p>
      <w:pPr>
        <w:spacing w:after="0" w:line="43" w:lineRule="exact"/>
        <w:rPr>
          <w:rFonts w:ascii="Arial" w:cs="Arial" w:eastAsia="Arial" w:hAnsi="Arial"/>
          <w:sz w:val="16"/>
          <w:szCs w:val="16"/>
          <w:b w:val="1"/>
          <w:bCs w:val="1"/>
          <w:color w:val="001C71"/>
        </w:rPr>
      </w:pPr>
    </w:p>
    <w:p>
      <w:pPr>
        <w:ind w:left="340" w:right="1420" w:hanging="250"/>
        <w:spacing w:after="0" w:line="282"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reviewing with management, our internal audit function and our independent auditors, as appropriate, major financial risk exposures, including reviewing, evaluating and approving our hedging and other financial risk management policies, as well as the steps taken by management to monitor and control these exposures;</w:t>
      </w:r>
    </w:p>
    <w:p>
      <w:pPr>
        <w:spacing w:after="0" w:line="53" w:lineRule="exact"/>
        <w:rPr>
          <w:rFonts w:ascii="Arial" w:cs="Arial" w:eastAsia="Arial" w:hAnsi="Arial"/>
          <w:sz w:val="16"/>
          <w:szCs w:val="16"/>
          <w:b w:val="1"/>
          <w:bCs w:val="1"/>
          <w:color w:val="001C71"/>
        </w:rPr>
      </w:pPr>
    </w:p>
    <w:p>
      <w:pPr>
        <w:ind w:left="340" w:right="1340" w:hanging="250"/>
        <w:spacing w:after="0" w:line="282"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establishing procedures, when and as required under applicable laws and rules, for the receipt, retention and treatment of any complaints received by us regarding accounting, internal accounting controls or auditing matters and the confidential and anonymous submission by employees of concerns regarding questionable accounting or auditing matters; and</w:t>
      </w:r>
    </w:p>
    <w:p>
      <w:pPr>
        <w:spacing w:after="0" w:line="52" w:lineRule="exact"/>
        <w:rPr>
          <w:rFonts w:ascii="Arial" w:cs="Arial" w:eastAsia="Arial" w:hAnsi="Arial"/>
          <w:sz w:val="16"/>
          <w:szCs w:val="16"/>
          <w:b w:val="1"/>
          <w:bCs w:val="1"/>
          <w:color w:val="001C71"/>
        </w:rPr>
      </w:pPr>
    </w:p>
    <w:p>
      <w:pPr>
        <w:ind w:left="340" w:right="1380" w:hanging="250"/>
        <w:spacing w:after="0" w:line="292" w:lineRule="auto"/>
        <w:tabs>
          <w:tab w:leader="none" w:pos="329" w:val="left"/>
        </w:tabs>
        <w:numPr>
          <w:ilvl w:val="0"/>
          <w:numId w:val="32"/>
        </w:numPr>
        <w:rPr>
          <w:rFonts w:ascii="Arial" w:cs="Arial" w:eastAsia="Arial" w:hAnsi="Arial"/>
          <w:sz w:val="16"/>
          <w:szCs w:val="16"/>
          <w:b w:val="1"/>
          <w:bCs w:val="1"/>
          <w:color w:val="001C71"/>
        </w:rPr>
      </w:pPr>
      <w:r>
        <w:rPr>
          <w:rFonts w:ascii="Arial" w:cs="Arial" w:eastAsia="Arial" w:hAnsi="Arial"/>
          <w:sz w:val="16"/>
          <w:szCs w:val="16"/>
          <w:color w:val="auto"/>
        </w:rPr>
        <w:t>reviewing with management our information security (including cybersecurity) risk exposures and the steps taken by management to monitor and mitigate these exposures.</w:t>
      </w:r>
    </w:p>
    <w:p>
      <w:pPr>
        <w:spacing w:after="0" w:line="200" w:lineRule="exact"/>
        <w:rPr>
          <w:sz w:val="20"/>
          <w:szCs w:val="20"/>
          <w:color w:val="auto"/>
        </w:rPr>
      </w:pPr>
    </w:p>
    <w:p>
      <w:pPr>
        <w:sectPr>
          <w:pgSz w:w="11900" w:h="16838" w:orient="portrait"/>
          <w:cols w:equalWidth="0" w:num="2">
            <w:col w:w="3920" w:space="660"/>
            <w:col w:w="6660"/>
          </w:cols>
          <w:pgMar w:left="320" w:top="522" w:right="339" w:bottom="1440" w:gutter="0" w:footer="0" w:header="0"/>
          <w:type w:val="continuous"/>
        </w:sectPr>
      </w:pPr>
    </w:p>
    <w:p>
      <w:pPr>
        <w:spacing w:after="0" w:line="18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Our Board determined that each of Mr. Enright, Mr. Kennedy, Dr. Love and Ms. McSharry qualifies as an “audit committee financial expert” within the meaning of SEC regulations. In making this determination, our Board considered the overall knowledge, experience and familiarity of each with accounting matters, analyzing and evaluating financial statements, and, in the case of Mr. Enright, managing venture capital investments. Mr. Kennedy serves as chairperson of our Audit Committee. Kenneth W. O'Keefe previously served as a member of our Audit Committee until his retirement effective December 1, 2025. Our Board determined Mr. O'Keefe qualified as an "audit committee financial expert" within the meaning of SEC regulations, taking into consideration his overall knowledge, experience and familiarity with accounting matters, analyzing and evaluating financial statements, and managing private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186690</wp:posOffset>
            </wp:positionV>
            <wp:extent cx="1242695" cy="2057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31</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39" w:name="page40"/>
    <w:bookmarkEnd w:id="39"/>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3003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377"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color w:val="auto"/>
        </w:rPr>
        <w:t>In addition to meetings, our Audit Committee also had a number of informal discussions and consultations with one another, with our CFO, our Chief Accounting Officer, our Head of Internal Audit and our CEO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125095</wp:posOffset>
            </wp:positionV>
            <wp:extent cx="2040255" cy="51346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040255" cy="5134610"/>
                    </a:xfrm>
                    <a:prstGeom prst="rect">
                      <a:avLst/>
                    </a:prstGeom>
                    <a:noFill/>
                  </pic:spPr>
                </pic:pic>
              </a:graphicData>
            </a:graphic>
          </wp:anchor>
        </w:drawing>
      </w:r>
    </w:p>
    <w:p>
      <w:pPr>
        <w:sectPr>
          <w:pgSz w:w="11900" w:h="16838" w:orient="portrait"/>
          <w:cols w:equalWidth="0" w:num="1">
            <w:col w:w="11120"/>
          </w:cols>
          <w:pgMar w:left="320" w:top="522" w:right="45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1340"/>
        <w:spacing w:after="0"/>
        <w:rPr>
          <w:sz w:val="20"/>
          <w:szCs w:val="20"/>
          <w:color w:val="auto"/>
        </w:rPr>
      </w:pPr>
      <w:r>
        <w:rPr>
          <w:rFonts w:ascii="Arial" w:cs="Arial" w:eastAsia="Arial" w:hAnsi="Arial"/>
          <w:sz w:val="35"/>
          <w:szCs w:val="35"/>
          <w:b w:val="1"/>
          <w:bCs w:val="1"/>
          <w:color w:val="001C71"/>
        </w:rPr>
        <w:t>Compensation</w:t>
      </w:r>
    </w:p>
    <w:p>
      <w:pPr>
        <w:spacing w:after="0" w:line="66" w:lineRule="exact"/>
        <w:rPr>
          <w:sz w:val="20"/>
          <w:szCs w:val="20"/>
          <w:color w:val="auto"/>
        </w:rPr>
      </w:pPr>
    </w:p>
    <w:p>
      <w:pPr>
        <w:ind w:left="1340"/>
        <w:spacing w:after="0"/>
        <w:rPr>
          <w:sz w:val="20"/>
          <w:szCs w:val="20"/>
          <w:color w:val="auto"/>
        </w:rPr>
      </w:pPr>
      <w:r>
        <w:rPr>
          <w:rFonts w:ascii="Arial" w:cs="Arial" w:eastAsia="Arial" w:hAnsi="Arial"/>
          <w:sz w:val="36"/>
          <w:szCs w:val="36"/>
          <w:b w:val="1"/>
          <w:bCs w:val="1"/>
          <w:color w:val="001C71"/>
        </w:rPr>
        <w:t>and</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36"/>
          <w:szCs w:val="36"/>
          <w:b w:val="1"/>
          <w:bCs w:val="1"/>
          <w:color w:val="001C71"/>
        </w:rPr>
        <w:t>Management</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36"/>
          <w:szCs w:val="36"/>
          <w:b w:val="1"/>
          <w:bCs w:val="1"/>
          <w:color w:val="001C71"/>
        </w:rPr>
        <w:t>Development</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36"/>
          <w:szCs w:val="36"/>
          <w:b w:val="1"/>
          <w:bCs w:val="1"/>
          <w:color w:val="001C71"/>
        </w:rPr>
        <w:t>Committee</w:t>
      </w:r>
    </w:p>
    <w:p>
      <w:pPr>
        <w:spacing w:after="0" w:line="173"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Jennifer E. Cook</w:t>
      </w:r>
    </w:p>
    <w:p>
      <w:pPr>
        <w:spacing w:after="0" w:line="177"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MEMBERS:</w:t>
      </w:r>
    </w:p>
    <w:p>
      <w:pPr>
        <w:spacing w:after="0" w:line="82"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Patrick G. Enright</w:t>
      </w:r>
    </w:p>
    <w:p>
      <w:pPr>
        <w:spacing w:after="0" w:line="82"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Laura J. Hamill</w:t>
      </w:r>
    </w:p>
    <w:p>
      <w:pPr>
        <w:spacing w:after="0" w:line="82"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Anne O’Riordan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340"/>
        <w:spacing w:after="0"/>
        <w:rPr>
          <w:sz w:val="20"/>
          <w:szCs w:val="20"/>
          <w:color w:val="auto"/>
        </w:rPr>
      </w:pPr>
      <w:r>
        <w:rPr>
          <w:rFonts w:ascii="Arial" w:cs="Arial" w:eastAsia="Arial" w:hAnsi="Arial"/>
          <w:sz w:val="54"/>
          <w:szCs w:val="54"/>
          <w:color w:val="001C71"/>
        </w:rPr>
        <w:t>6</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4"/>
          <w:szCs w:val="14"/>
          <w:color w:val="636466"/>
        </w:rPr>
        <w:t>MEETINGS HELD DURING 2025</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1160"/>
        <w:spacing w:after="0" w:line="301" w:lineRule="auto"/>
        <w:rPr>
          <w:sz w:val="20"/>
          <w:szCs w:val="20"/>
          <w:color w:val="auto"/>
        </w:rPr>
      </w:pPr>
      <w:r>
        <w:rPr>
          <w:rFonts w:ascii="Arial" w:cs="Arial" w:eastAsia="Arial" w:hAnsi="Arial"/>
          <w:sz w:val="16"/>
          <w:szCs w:val="16"/>
          <w:color w:val="auto"/>
        </w:rPr>
        <w:t>Our Compensation Committee is governed by an annually reviewed, Board approved charter, which is available on our Website. The primary responsibilities of our Compensation Committee include:</w:t>
      </w:r>
    </w:p>
    <w:p>
      <w:pPr>
        <w:spacing w:after="0" w:line="64" w:lineRule="exact"/>
        <w:rPr>
          <w:sz w:val="20"/>
          <w:szCs w:val="20"/>
          <w:color w:val="auto"/>
        </w:rPr>
      </w:pPr>
    </w:p>
    <w:p>
      <w:pPr>
        <w:ind w:left="340" w:right="1200" w:hanging="250"/>
        <w:spacing w:after="0" w:line="304" w:lineRule="auto"/>
        <w:tabs>
          <w:tab w:leader="none" w:pos="329" w:val="left"/>
        </w:tabs>
        <w:numPr>
          <w:ilvl w:val="0"/>
          <w:numId w:val="33"/>
        </w:numPr>
        <w:rPr>
          <w:rFonts w:ascii="Arial" w:cs="Arial" w:eastAsia="Arial" w:hAnsi="Arial"/>
          <w:sz w:val="16"/>
          <w:szCs w:val="16"/>
          <w:b w:val="1"/>
          <w:bCs w:val="1"/>
          <w:color w:val="001C71"/>
        </w:rPr>
      </w:pPr>
      <w:r>
        <w:rPr>
          <w:rFonts w:ascii="Arial" w:cs="Arial" w:eastAsia="Arial" w:hAnsi="Arial"/>
          <w:sz w:val="16"/>
          <w:szCs w:val="16"/>
          <w:color w:val="auto"/>
        </w:rPr>
        <w:t>reviewing, modifying (as needed) and approving overall compensation strategy and policies;</w:t>
      </w:r>
    </w:p>
    <w:p>
      <w:pPr>
        <w:spacing w:after="0" w:line="60" w:lineRule="exact"/>
        <w:rPr>
          <w:rFonts w:ascii="Arial" w:cs="Arial" w:eastAsia="Arial" w:hAnsi="Arial"/>
          <w:sz w:val="16"/>
          <w:szCs w:val="16"/>
          <w:b w:val="1"/>
          <w:bCs w:val="1"/>
          <w:color w:val="001C71"/>
        </w:rPr>
      </w:pPr>
    </w:p>
    <w:p>
      <w:pPr>
        <w:ind w:left="340" w:right="1660" w:hanging="250"/>
        <w:spacing w:after="0" w:line="283" w:lineRule="auto"/>
        <w:tabs>
          <w:tab w:leader="none" w:pos="329" w:val="left"/>
        </w:tabs>
        <w:numPr>
          <w:ilvl w:val="0"/>
          <w:numId w:val="33"/>
        </w:numPr>
        <w:rPr>
          <w:rFonts w:ascii="Arial" w:cs="Arial" w:eastAsia="Arial" w:hAnsi="Arial"/>
          <w:sz w:val="16"/>
          <w:szCs w:val="16"/>
          <w:b w:val="1"/>
          <w:bCs w:val="1"/>
          <w:color w:val="001C71"/>
        </w:rPr>
      </w:pPr>
      <w:r>
        <w:rPr>
          <w:rFonts w:ascii="Arial" w:cs="Arial" w:eastAsia="Arial" w:hAnsi="Arial"/>
          <w:sz w:val="16"/>
          <w:szCs w:val="16"/>
          <w:color w:val="auto"/>
        </w:rPr>
        <w:t>recommending to our Board for determination and approval the compensation and other terms of employment of our CEO and evaluating our CEO’s performance in light of relevant goals and objectives;</w:t>
      </w:r>
    </w:p>
    <w:p>
      <w:pPr>
        <w:spacing w:after="0" w:line="77" w:lineRule="exact"/>
        <w:rPr>
          <w:rFonts w:ascii="Arial" w:cs="Arial" w:eastAsia="Arial" w:hAnsi="Arial"/>
          <w:sz w:val="16"/>
          <w:szCs w:val="16"/>
          <w:b w:val="1"/>
          <w:bCs w:val="1"/>
          <w:color w:val="001C71"/>
        </w:rPr>
      </w:pPr>
    </w:p>
    <w:p>
      <w:pPr>
        <w:ind w:left="340" w:right="1080" w:hanging="250"/>
        <w:spacing w:after="0" w:line="292" w:lineRule="auto"/>
        <w:tabs>
          <w:tab w:leader="none" w:pos="329" w:val="left"/>
        </w:tabs>
        <w:numPr>
          <w:ilvl w:val="0"/>
          <w:numId w:val="33"/>
        </w:numPr>
        <w:rPr>
          <w:rFonts w:ascii="Arial" w:cs="Arial" w:eastAsia="Arial" w:hAnsi="Arial"/>
          <w:sz w:val="16"/>
          <w:szCs w:val="16"/>
          <w:b w:val="1"/>
          <w:bCs w:val="1"/>
          <w:color w:val="001C71"/>
        </w:rPr>
      </w:pPr>
      <w:r>
        <w:rPr>
          <w:rFonts w:ascii="Arial" w:cs="Arial" w:eastAsia="Arial" w:hAnsi="Arial"/>
          <w:sz w:val="16"/>
          <w:szCs w:val="16"/>
          <w:color w:val="auto"/>
        </w:rPr>
        <w:t>reviewing and approving the goals and objectives of our other executive officers and determining and approving the compensation and other terms of employment of these executive officers, as appropriate;</w:t>
      </w:r>
    </w:p>
    <w:p>
      <w:pPr>
        <w:spacing w:after="0" w:line="57" w:lineRule="exact"/>
        <w:rPr>
          <w:rFonts w:ascii="Arial" w:cs="Arial" w:eastAsia="Arial" w:hAnsi="Arial"/>
          <w:sz w:val="16"/>
          <w:szCs w:val="16"/>
          <w:b w:val="1"/>
          <w:bCs w:val="1"/>
          <w:color w:val="001C71"/>
        </w:rPr>
      </w:pPr>
    </w:p>
    <w:p>
      <w:pPr>
        <w:jc w:val="both"/>
        <w:ind w:left="340" w:right="1440" w:hanging="250"/>
        <w:spacing w:after="0" w:line="304" w:lineRule="auto"/>
        <w:tabs>
          <w:tab w:leader="none" w:pos="329" w:val="left"/>
        </w:tabs>
        <w:numPr>
          <w:ilvl w:val="0"/>
          <w:numId w:val="33"/>
        </w:numPr>
        <w:rPr>
          <w:rFonts w:ascii="Arial" w:cs="Arial" w:eastAsia="Arial" w:hAnsi="Arial"/>
          <w:sz w:val="16"/>
          <w:szCs w:val="16"/>
          <w:b w:val="1"/>
          <w:bCs w:val="1"/>
          <w:color w:val="001C71"/>
        </w:rPr>
      </w:pPr>
      <w:r>
        <w:rPr>
          <w:rFonts w:ascii="Arial" w:cs="Arial" w:eastAsia="Arial" w:hAnsi="Arial"/>
          <w:sz w:val="16"/>
          <w:szCs w:val="16"/>
          <w:color w:val="auto"/>
        </w:rPr>
        <w:t>reviewing and recommending to our Board the type and amount of compensation to be paid or awarded to the members of our Board;</w:t>
      </w:r>
    </w:p>
    <w:p>
      <w:pPr>
        <w:spacing w:after="0" w:line="60" w:lineRule="exact"/>
        <w:rPr>
          <w:rFonts w:ascii="Arial" w:cs="Arial" w:eastAsia="Arial" w:hAnsi="Arial"/>
          <w:sz w:val="16"/>
          <w:szCs w:val="16"/>
          <w:b w:val="1"/>
          <w:bCs w:val="1"/>
          <w:color w:val="001C71"/>
        </w:rPr>
      </w:pPr>
    </w:p>
    <w:p>
      <w:pPr>
        <w:ind w:left="340" w:right="1100" w:hanging="250"/>
        <w:spacing w:after="0" w:line="292" w:lineRule="auto"/>
        <w:tabs>
          <w:tab w:leader="none" w:pos="329" w:val="left"/>
        </w:tabs>
        <w:numPr>
          <w:ilvl w:val="0"/>
          <w:numId w:val="33"/>
        </w:numPr>
        <w:rPr>
          <w:rFonts w:ascii="Arial" w:cs="Arial" w:eastAsia="Arial" w:hAnsi="Arial"/>
          <w:sz w:val="16"/>
          <w:szCs w:val="16"/>
          <w:b w:val="1"/>
          <w:bCs w:val="1"/>
          <w:color w:val="001C71"/>
        </w:rPr>
      </w:pPr>
      <w:r>
        <w:rPr>
          <w:rFonts w:ascii="Arial" w:cs="Arial" w:eastAsia="Arial" w:hAnsi="Arial"/>
          <w:sz w:val="16"/>
          <w:szCs w:val="16"/>
          <w:color w:val="auto"/>
        </w:rPr>
        <w:t>having the full power and authority of our Board regarding the adoption, amendment and termination of our compensation plans and programs and administering these plans and programs;</w:t>
      </w:r>
    </w:p>
    <w:p>
      <w:pPr>
        <w:spacing w:after="0" w:line="57" w:lineRule="exact"/>
        <w:rPr>
          <w:rFonts w:ascii="Arial" w:cs="Arial" w:eastAsia="Arial" w:hAnsi="Arial"/>
          <w:sz w:val="16"/>
          <w:szCs w:val="16"/>
          <w:b w:val="1"/>
          <w:bCs w:val="1"/>
          <w:color w:val="001C71"/>
        </w:rPr>
      </w:pPr>
    </w:p>
    <w:p>
      <w:pPr>
        <w:ind w:left="340" w:right="1100" w:hanging="250"/>
        <w:spacing w:after="0" w:line="289" w:lineRule="auto"/>
        <w:tabs>
          <w:tab w:leader="none" w:pos="329" w:val="left"/>
        </w:tabs>
        <w:numPr>
          <w:ilvl w:val="0"/>
          <w:numId w:val="33"/>
        </w:numPr>
        <w:rPr>
          <w:rFonts w:ascii="Arial" w:cs="Arial" w:eastAsia="Arial" w:hAnsi="Arial"/>
          <w:sz w:val="16"/>
          <w:szCs w:val="16"/>
          <w:b w:val="1"/>
          <w:bCs w:val="1"/>
          <w:color w:val="001C71"/>
        </w:rPr>
      </w:pPr>
      <w:r>
        <w:rPr>
          <w:rFonts w:ascii="Arial" w:cs="Arial" w:eastAsia="Arial" w:hAnsi="Arial"/>
          <w:sz w:val="16"/>
          <w:szCs w:val="16"/>
          <w:color w:val="auto"/>
        </w:rPr>
        <w:t>having direct responsibility for appointing, and providing compensation and oversight of the work of, any compensation consultants and other advisors retained by our Compensation Committee and considering the independence of each such advisor;</w:t>
      </w:r>
    </w:p>
    <w:p>
      <w:pPr>
        <w:spacing w:after="0" w:line="58" w:lineRule="exact"/>
        <w:rPr>
          <w:rFonts w:ascii="Arial" w:cs="Arial" w:eastAsia="Arial" w:hAnsi="Arial"/>
          <w:sz w:val="16"/>
          <w:szCs w:val="16"/>
          <w:b w:val="1"/>
          <w:bCs w:val="1"/>
          <w:color w:val="001C71"/>
        </w:rPr>
      </w:pPr>
    </w:p>
    <w:p>
      <w:pPr>
        <w:ind w:left="340" w:right="1080" w:hanging="250"/>
        <w:spacing w:after="0" w:line="289" w:lineRule="auto"/>
        <w:tabs>
          <w:tab w:leader="none" w:pos="329" w:val="left"/>
        </w:tabs>
        <w:numPr>
          <w:ilvl w:val="0"/>
          <w:numId w:val="33"/>
        </w:numPr>
        <w:rPr>
          <w:rFonts w:ascii="Arial" w:cs="Arial" w:eastAsia="Arial" w:hAnsi="Arial"/>
          <w:sz w:val="16"/>
          <w:szCs w:val="16"/>
          <w:b w:val="1"/>
          <w:bCs w:val="1"/>
          <w:color w:val="001C71"/>
        </w:rPr>
      </w:pPr>
      <w:r>
        <w:rPr>
          <w:rFonts w:ascii="Arial" w:cs="Arial" w:eastAsia="Arial" w:hAnsi="Arial"/>
          <w:sz w:val="16"/>
          <w:szCs w:val="16"/>
          <w:color w:val="auto"/>
        </w:rPr>
        <w:t>reviewing our practices and policies of employee compensation as they relate to risk management and risk-taking incentives, to determine whether such compensation policies and practices are reasonably likely to have a material adverse effect on us;</w:t>
      </w:r>
    </w:p>
    <w:p>
      <w:pPr>
        <w:spacing w:after="0" w:line="58" w:lineRule="exact"/>
        <w:rPr>
          <w:rFonts w:ascii="Arial" w:cs="Arial" w:eastAsia="Arial" w:hAnsi="Arial"/>
          <w:sz w:val="16"/>
          <w:szCs w:val="16"/>
          <w:b w:val="1"/>
          <w:bCs w:val="1"/>
          <w:color w:val="001C71"/>
        </w:rPr>
      </w:pPr>
    </w:p>
    <w:p>
      <w:pPr>
        <w:ind w:left="340" w:right="1060" w:hanging="250"/>
        <w:spacing w:after="0" w:line="283" w:lineRule="auto"/>
        <w:tabs>
          <w:tab w:leader="none" w:pos="329" w:val="left"/>
        </w:tabs>
        <w:numPr>
          <w:ilvl w:val="0"/>
          <w:numId w:val="33"/>
        </w:numPr>
        <w:rPr>
          <w:rFonts w:ascii="Arial" w:cs="Arial" w:eastAsia="Arial" w:hAnsi="Arial"/>
          <w:sz w:val="16"/>
          <w:szCs w:val="16"/>
          <w:b w:val="1"/>
          <w:bCs w:val="1"/>
          <w:color w:val="001C71"/>
        </w:rPr>
      </w:pPr>
      <w:r>
        <w:rPr>
          <w:rFonts w:ascii="Arial" w:cs="Arial" w:eastAsia="Arial" w:hAnsi="Arial"/>
          <w:sz w:val="16"/>
          <w:szCs w:val="16"/>
          <w:color w:val="auto"/>
        </w:rPr>
        <w:t>periodically reviewing with our CEO the plans for succession to the offices of our executive officers and making recommendations to our Board with respect to the selection of appropriate individuals to succeed to these positions; and</w:t>
      </w:r>
    </w:p>
    <w:p>
      <w:pPr>
        <w:spacing w:after="0" w:line="77" w:lineRule="exact"/>
        <w:rPr>
          <w:rFonts w:ascii="Arial" w:cs="Arial" w:eastAsia="Arial" w:hAnsi="Arial"/>
          <w:sz w:val="16"/>
          <w:szCs w:val="16"/>
          <w:b w:val="1"/>
          <w:bCs w:val="1"/>
          <w:color w:val="001C71"/>
        </w:rPr>
      </w:pPr>
    </w:p>
    <w:p>
      <w:pPr>
        <w:ind w:left="340" w:right="980" w:hanging="250"/>
        <w:spacing w:after="0" w:line="292" w:lineRule="auto"/>
        <w:tabs>
          <w:tab w:leader="none" w:pos="329" w:val="left"/>
        </w:tabs>
        <w:numPr>
          <w:ilvl w:val="0"/>
          <w:numId w:val="33"/>
        </w:numPr>
        <w:rPr>
          <w:rFonts w:ascii="Arial" w:cs="Arial" w:eastAsia="Arial" w:hAnsi="Arial"/>
          <w:sz w:val="16"/>
          <w:szCs w:val="16"/>
          <w:b w:val="1"/>
          <w:bCs w:val="1"/>
          <w:color w:val="001C71"/>
        </w:rPr>
      </w:pPr>
      <w:r>
        <w:rPr>
          <w:rFonts w:ascii="Arial" w:cs="Arial" w:eastAsia="Arial" w:hAnsi="Arial"/>
          <w:sz w:val="16"/>
          <w:szCs w:val="16"/>
          <w:color w:val="auto"/>
        </w:rPr>
        <w:t xml:space="preserve">reviewing and discussing with management our disclosures contained under the caption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in our annual proxy statement.</w:t>
      </w:r>
    </w:p>
    <w:p>
      <w:pPr>
        <w:spacing w:after="0" w:line="200" w:lineRule="exact"/>
        <w:rPr>
          <w:sz w:val="20"/>
          <w:szCs w:val="20"/>
          <w:color w:val="auto"/>
        </w:rPr>
      </w:pPr>
    </w:p>
    <w:p>
      <w:pPr>
        <w:sectPr>
          <w:pgSz w:w="11900" w:h="16838" w:orient="portrait"/>
          <w:cols w:equalWidth="0" w:num="2">
            <w:col w:w="3860" w:space="720"/>
            <w:col w:w="6540"/>
          </w:cols>
          <w:pgMar w:left="320" w:top="522" w:right="459" w:bottom="1440" w:gutter="0" w:footer="0" w:header="0"/>
          <w:type w:val="continuous"/>
        </w:sectPr>
      </w:pPr>
    </w:p>
    <w:p>
      <w:pPr>
        <w:spacing w:after="0" w:line="30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Each member of our Compensation Committee meets the independence requirements of the Nasdaq listing standards with respect to Compensation Committee members. In determining whether each member is independent within the meaning of the Nasdaq listing standards pertaining to Compensation Committee membership, our Board determined, based on its consideration of factors specifically relevant to determining whether any such director has a relationship to us that is material to that director’s ability to be independent from management in connection with the duties of a compensation committee member, that no member of our Compensation Committee has a relationship that would impair that member’s ability to make independent judgments about compensation of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185420</wp:posOffset>
            </wp:positionV>
            <wp:extent cx="1242695" cy="2057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4"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32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22" w:right="459" w:bottom="1440" w:gutter="0" w:footer="0" w:header="0"/>
          <w:type w:val="continuous"/>
        </w:sectPr>
      </w:pPr>
    </w:p>
    <w:bookmarkStart w:id="40" w:name="page41"/>
    <w:bookmarkEnd w:id="40"/>
    <w:p>
      <w:pPr>
        <w:ind w:left="91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5617210</wp:posOffset>
            </wp:positionH>
            <wp:positionV relativeFrom="page">
              <wp:posOffset>208915</wp:posOffset>
            </wp:positionV>
            <wp:extent cx="1722755" cy="3003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Our Compensation Committee Processes and Procedures</w:t>
      </w:r>
    </w:p>
    <w:p>
      <w:pPr>
        <w:spacing w:after="0" w:line="18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Our Compensation Committee meets as often as it determines necessary to carry out its duties and responsibilities through regularly scheduled meetings and, if necessary, special meetings. The agenda for each Compensation Committee meeting is usually developed by members of our human resources department and our CEO with input from members of our legal department, and is reviewed and finalized with the chair of our Compensation Committee. Members of our human resources department also attend Compensation Committee meetings. From time to time, various other members of management and other employees as well as outside advisors or consultants may be invited by our Compensation Committee to make presentations, provide financial or other background information or advice or otherwise participate in our Compensation Committee meetings.</w:t>
      </w:r>
    </w:p>
    <w:p>
      <w:pPr>
        <w:spacing w:after="0" w:line="12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 xml:space="preserve">In making executive compensation determinations other than for our CEO, our Compensation Committee considers recommendations from our CEO. In making her recommendations, our CEO receives input from our human resources department and from the individuals who manage or report directly to the other executive officers, and she reviews various third party compensation surveys and compensation data provided by the independent compensation consultant to our Compensation Committee, as described in the section of our proxy statement entitled </w:t>
      </w:r>
      <w:r>
        <w:rPr>
          <w:rFonts w:ascii="Arial" w:cs="Arial" w:eastAsia="Arial" w:hAnsi="Arial"/>
          <w:sz w:val="16"/>
          <w:szCs w:val="16"/>
          <w:i w:val="1"/>
          <w:iCs w:val="1"/>
          <w:color w:val="auto"/>
        </w:rPr>
        <w:t>“Executive Compensation—Compensation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Discussion and Analysis.” </w:t>
      </w:r>
      <w:r>
        <w:rPr>
          <w:rFonts w:ascii="Arial" w:cs="Arial" w:eastAsia="Arial" w:hAnsi="Arial"/>
          <w:sz w:val="16"/>
          <w:szCs w:val="16"/>
          <w:color w:val="auto"/>
        </w:rPr>
        <w:t>While our CEO discusses her recommendations for the other executive officers with our Compensation Committee, she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participate in the deliberations and recommendations to our Board concerning, or our Board’s determination of, her own compensation.</w:t>
      </w:r>
    </w:p>
    <w:p>
      <w:pPr>
        <w:spacing w:after="0" w:line="12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Our Compensation Committee engages an independent compensation consultant each year to provide a competitive compensation assessment with respect to the executive officers to assist our Compensation Committee in making annual compensation decisions. Since 2010, Aon has been engaged by our Compensation Committee as our independent consultant. Aon supports our Compensation Committee in addressing the design of our peer group, provides industry compensation data and provides our Compensation Committee with advice regarding executive officers’ compensation, including base salaries, performance-based bonuses and long-term equity compensation, and similar advice regarding non-employee director compensation.</w:t>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For additional information regarding our processes and procedures for the consideration and determination of executive compensation, including the role of Aon in determining and recommending executive compensation, see the section of our proxy statement entitled </w:t>
      </w:r>
      <w:r>
        <w:rPr>
          <w:rFonts w:ascii="Arial" w:cs="Arial" w:eastAsia="Arial" w:hAnsi="Arial"/>
          <w:sz w:val="16"/>
          <w:szCs w:val="16"/>
          <w:i w:val="1"/>
          <w:iCs w:val="1"/>
          <w:color w:val="auto"/>
        </w:rPr>
        <w:t>“Executive Compensation—Compensation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Discussion and Analysis.” </w:t>
      </w:r>
      <w:r>
        <w:rPr>
          <w:rFonts w:ascii="Arial" w:cs="Arial" w:eastAsia="Arial" w:hAnsi="Arial"/>
          <w:sz w:val="16"/>
          <w:szCs w:val="16"/>
          <w:color w:val="auto"/>
        </w:rPr>
        <w:t>With respect to director compensation matters, our Compensation Committee recommends to our Board and our Board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determines and sets non-employee director compensation. Our compensation arrangements for our non-employee directors are described under the section of our proxy statement entitled </w:t>
      </w:r>
      <w:r>
        <w:rPr>
          <w:rFonts w:ascii="Arial" w:cs="Arial" w:eastAsia="Arial" w:hAnsi="Arial"/>
          <w:sz w:val="16"/>
          <w:szCs w:val="16"/>
          <w:i w:val="1"/>
          <w:iCs w:val="1"/>
          <w:color w:val="auto"/>
        </w:rPr>
        <w:t>“Director Compensation.”</w:t>
      </w:r>
    </w:p>
    <w:p>
      <w:pPr>
        <w:spacing w:after="0" w:line="127"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Our Compensation Committee charter grants our Compensation Committee full access to all of our books, records, facilities and personnel, as well as authority to obtain, at our expense, advice and assistance from compensation consultants and internal and external legal, accounting or other advisors and consultants and other external resources that our Compensation Committee considers necessary or appropriate in the performance of its duties. In particular, our Compensation Committee has the authority, in its sole discretion, to retain or obtain, at our expense, compensation consultants to assist in its evaluation of executive compensation, and is directly responsible for the appointment, compensation and oversight of the work of its compensation consultants. Our Compensation Committee charter also provides that our Compensation Committee may delegate any responsibility or authority of our Compensation Committee under its charter to the chair of our Compensation Committee or to one or more committee members, including subcommittees, except to the extent inconsistent with any applicable laws and rules, including the Nasdaq listing standards. Our Compensation Committee does not, however, delegate any of its functions to others in determining or recommending executive or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179070</wp:posOffset>
            </wp:positionV>
            <wp:extent cx="1242695" cy="2057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33</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1" w:name="page42"/>
    <w:bookmarkEnd w:id="41"/>
    <w:p>
      <w:pPr>
        <w:ind w:left="94"/>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3003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529590</wp:posOffset>
            </wp:positionV>
            <wp:extent cx="2040255" cy="59575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040255" cy="5957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14" w:right="60"/>
        <w:spacing w:after="0" w:line="276" w:lineRule="auto"/>
        <w:rPr>
          <w:sz w:val="20"/>
          <w:szCs w:val="20"/>
          <w:color w:val="auto"/>
        </w:rPr>
      </w:pPr>
      <w:r>
        <w:rPr>
          <w:rFonts w:ascii="Arial" w:cs="Arial" w:eastAsia="Arial" w:hAnsi="Arial"/>
          <w:sz w:val="35"/>
          <w:szCs w:val="35"/>
          <w:b w:val="1"/>
          <w:bCs w:val="1"/>
          <w:color w:val="001C71"/>
        </w:rPr>
        <w:t>Nominating and Corporate Governance Committee</w:t>
      </w:r>
    </w:p>
    <w:p>
      <w:pPr>
        <w:spacing w:after="0" w:line="67" w:lineRule="exact"/>
        <w:rPr>
          <w:sz w:val="20"/>
          <w:szCs w:val="20"/>
          <w:color w:val="auto"/>
        </w:rPr>
      </w:pPr>
    </w:p>
    <w:p>
      <w:pPr>
        <w:ind w:left="1314"/>
        <w:spacing w:after="0"/>
        <w:rPr>
          <w:sz w:val="20"/>
          <w:szCs w:val="20"/>
          <w:color w:val="auto"/>
        </w:rPr>
      </w:pPr>
      <w:r>
        <w:rPr>
          <w:rFonts w:ascii="Arial" w:cs="Arial" w:eastAsia="Arial" w:hAnsi="Arial"/>
          <w:sz w:val="14"/>
          <w:szCs w:val="14"/>
          <w:b w:val="1"/>
          <w:bCs w:val="1"/>
          <w:color w:val="636466"/>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14"/>
        <w:spacing w:after="0"/>
        <w:rPr>
          <w:sz w:val="20"/>
          <w:szCs w:val="20"/>
          <w:color w:val="auto"/>
        </w:rPr>
      </w:pPr>
      <w:r>
        <w:rPr>
          <w:rFonts w:ascii="Arial" w:cs="Arial" w:eastAsia="Arial" w:hAnsi="Arial"/>
          <w:sz w:val="14"/>
          <w:szCs w:val="14"/>
          <w:color w:val="636466"/>
        </w:rPr>
        <w:t>Heather Ann McSharry</w:t>
      </w:r>
    </w:p>
    <w:p>
      <w:pPr>
        <w:spacing w:after="0" w:line="177" w:lineRule="exact"/>
        <w:rPr>
          <w:sz w:val="20"/>
          <w:szCs w:val="20"/>
          <w:color w:val="auto"/>
        </w:rPr>
      </w:pPr>
    </w:p>
    <w:p>
      <w:pPr>
        <w:ind w:left="1314"/>
        <w:spacing w:after="0"/>
        <w:rPr>
          <w:sz w:val="20"/>
          <w:szCs w:val="20"/>
          <w:color w:val="auto"/>
        </w:rPr>
      </w:pPr>
      <w:r>
        <w:rPr>
          <w:rFonts w:ascii="Arial" w:cs="Arial" w:eastAsia="Arial" w:hAnsi="Arial"/>
          <w:sz w:val="14"/>
          <w:szCs w:val="14"/>
          <w:b w:val="1"/>
          <w:bCs w:val="1"/>
          <w:color w:val="636466"/>
        </w:rPr>
        <w:t>MEMBERS:</w:t>
      </w:r>
    </w:p>
    <w:p>
      <w:pPr>
        <w:spacing w:after="0" w:line="82" w:lineRule="exact"/>
        <w:rPr>
          <w:sz w:val="20"/>
          <w:szCs w:val="20"/>
          <w:color w:val="auto"/>
        </w:rPr>
      </w:pPr>
    </w:p>
    <w:p>
      <w:pPr>
        <w:ind w:left="1314"/>
        <w:spacing w:after="0"/>
        <w:rPr>
          <w:sz w:val="20"/>
          <w:szCs w:val="20"/>
          <w:color w:val="auto"/>
        </w:rPr>
      </w:pPr>
      <w:r>
        <w:rPr>
          <w:rFonts w:ascii="Arial" w:cs="Arial" w:eastAsia="Arial" w:hAnsi="Arial"/>
          <w:sz w:val="14"/>
          <w:szCs w:val="14"/>
          <w:color w:val="636466"/>
        </w:rPr>
        <w:t>Norbert G. Riedel, Ph.D.</w:t>
      </w:r>
    </w:p>
    <w:p>
      <w:pPr>
        <w:spacing w:after="0" w:line="82" w:lineRule="exact"/>
        <w:rPr>
          <w:sz w:val="20"/>
          <w:szCs w:val="20"/>
          <w:color w:val="auto"/>
        </w:rPr>
      </w:pPr>
    </w:p>
    <w:p>
      <w:pPr>
        <w:ind w:left="1314"/>
        <w:spacing w:after="0"/>
        <w:rPr>
          <w:sz w:val="20"/>
          <w:szCs w:val="20"/>
          <w:color w:val="auto"/>
        </w:rPr>
      </w:pPr>
      <w:r>
        <w:rPr>
          <w:rFonts w:ascii="Arial" w:cs="Arial" w:eastAsia="Arial" w:hAnsi="Arial"/>
          <w:sz w:val="14"/>
          <w:szCs w:val="14"/>
          <w:color w:val="636466"/>
        </w:rPr>
        <w:t>Mark D. Smith, M.D.</w:t>
      </w:r>
    </w:p>
    <w:p>
      <w:pPr>
        <w:spacing w:after="0" w:line="82" w:lineRule="exact"/>
        <w:rPr>
          <w:sz w:val="20"/>
          <w:szCs w:val="20"/>
          <w:color w:val="auto"/>
        </w:rPr>
      </w:pPr>
    </w:p>
    <w:p>
      <w:pPr>
        <w:ind w:left="1314"/>
        <w:spacing w:after="0"/>
        <w:rPr>
          <w:sz w:val="20"/>
          <w:szCs w:val="20"/>
          <w:color w:val="auto"/>
        </w:rPr>
      </w:pPr>
      <w:r>
        <w:rPr>
          <w:rFonts w:ascii="Arial" w:cs="Arial" w:eastAsia="Arial" w:hAnsi="Arial"/>
          <w:sz w:val="14"/>
          <w:szCs w:val="14"/>
          <w:color w:val="636466"/>
        </w:rPr>
        <w:t>Rick E Winningham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254"/>
        <w:spacing w:after="0"/>
        <w:rPr>
          <w:sz w:val="20"/>
          <w:szCs w:val="20"/>
          <w:color w:val="auto"/>
        </w:rPr>
      </w:pPr>
      <w:r>
        <w:rPr>
          <w:rFonts w:ascii="Arial" w:cs="Arial" w:eastAsia="Arial" w:hAnsi="Arial"/>
          <w:sz w:val="14"/>
          <w:szCs w:val="14"/>
          <w:color w:val="636466"/>
        </w:rPr>
        <w:t>All Members are Independent</w:t>
      </w:r>
    </w:p>
    <w:p>
      <w:pPr>
        <w:spacing w:after="0" w:line="345" w:lineRule="exact"/>
        <w:rPr>
          <w:sz w:val="20"/>
          <w:szCs w:val="20"/>
          <w:color w:val="auto"/>
        </w:rPr>
      </w:pPr>
    </w:p>
    <w:p>
      <w:pPr>
        <w:ind w:left="1314"/>
        <w:spacing w:after="0"/>
        <w:rPr>
          <w:sz w:val="20"/>
          <w:szCs w:val="20"/>
          <w:color w:val="auto"/>
        </w:rPr>
      </w:pPr>
      <w:r>
        <w:rPr>
          <w:rFonts w:ascii="Arial" w:cs="Arial" w:eastAsia="Arial" w:hAnsi="Arial"/>
          <w:sz w:val="54"/>
          <w:szCs w:val="54"/>
          <w:color w:val="001C71"/>
        </w:rPr>
        <w:t>6</w:t>
      </w:r>
    </w:p>
    <w:p>
      <w:pPr>
        <w:spacing w:after="0" w:line="62" w:lineRule="exact"/>
        <w:rPr>
          <w:sz w:val="20"/>
          <w:szCs w:val="20"/>
          <w:color w:val="auto"/>
        </w:rPr>
      </w:pPr>
    </w:p>
    <w:p>
      <w:pPr>
        <w:ind w:left="1314"/>
        <w:spacing w:after="0"/>
        <w:rPr>
          <w:sz w:val="20"/>
          <w:szCs w:val="20"/>
          <w:color w:val="auto"/>
        </w:rPr>
      </w:pPr>
      <w:r>
        <w:rPr>
          <w:rFonts w:ascii="Arial" w:cs="Arial" w:eastAsia="Arial" w:hAnsi="Arial"/>
          <w:sz w:val="14"/>
          <w:szCs w:val="14"/>
          <w:color w:val="636466"/>
        </w:rPr>
        <w:t>MEETINGS HELD DURING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14" w:hanging="614"/>
        <w:spacing w:after="0"/>
        <w:tabs>
          <w:tab w:leader="none" w:pos="614" w:val="left"/>
        </w:tabs>
        <w:numPr>
          <w:ilvl w:val="0"/>
          <w:numId w:val="34"/>
        </w:numPr>
        <w:rPr>
          <w:rFonts w:ascii="Arial" w:cs="Arial" w:eastAsia="Arial" w:hAnsi="Arial"/>
          <w:sz w:val="18"/>
          <w:szCs w:val="18"/>
          <w:b w:val="1"/>
          <w:bCs w:val="1"/>
          <w:color w:val="852166"/>
        </w:rPr>
      </w:pP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79"/>
        <w:spacing w:after="0" w:line="319" w:lineRule="auto"/>
        <w:rPr>
          <w:sz w:val="20"/>
          <w:szCs w:val="20"/>
          <w:color w:val="auto"/>
        </w:rPr>
      </w:pPr>
      <w:r>
        <w:rPr>
          <w:rFonts w:ascii="Arial" w:cs="Arial" w:eastAsia="Arial" w:hAnsi="Arial"/>
          <w:sz w:val="16"/>
          <w:szCs w:val="16"/>
          <w:color w:val="auto"/>
        </w:rPr>
        <w:t>Our Nominating Committee is governed by a regularly reviewed, Board approved charter, which is available on our Website. The primary responsibilities of our Nominating Committee include:</w:t>
      </w:r>
    </w:p>
    <w:p>
      <w:pPr>
        <w:spacing w:after="0" w:line="36" w:lineRule="exact"/>
        <w:rPr>
          <w:sz w:val="20"/>
          <w:szCs w:val="20"/>
          <w:color w:val="auto"/>
        </w:rPr>
      </w:pPr>
    </w:p>
    <w:p>
      <w:pPr>
        <w:ind w:left="320" w:right="159" w:hanging="244"/>
        <w:spacing w:after="0" w:line="321" w:lineRule="auto"/>
        <w:tabs>
          <w:tab w:leader="none" w:pos="309"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overseeing all aspects of our corporate governance functions on behalf of our Board;</w:t>
      </w:r>
    </w:p>
    <w:p>
      <w:pPr>
        <w:spacing w:after="0" w:line="34" w:lineRule="exact"/>
        <w:rPr>
          <w:rFonts w:ascii="Arial" w:cs="Arial" w:eastAsia="Arial" w:hAnsi="Arial"/>
          <w:sz w:val="16"/>
          <w:szCs w:val="16"/>
          <w:b w:val="1"/>
          <w:bCs w:val="1"/>
          <w:color w:val="001C71"/>
        </w:rPr>
      </w:pPr>
    </w:p>
    <w:p>
      <w:pPr>
        <w:ind w:left="320" w:right="119" w:hanging="244"/>
        <w:spacing w:after="0" w:line="321" w:lineRule="auto"/>
        <w:tabs>
          <w:tab w:leader="none" w:pos="309"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making recommendations to our Board regarding corporate governance issues;</w:t>
      </w:r>
    </w:p>
    <w:p>
      <w:pPr>
        <w:spacing w:after="0" w:line="34" w:lineRule="exact"/>
        <w:rPr>
          <w:rFonts w:ascii="Arial" w:cs="Arial" w:eastAsia="Arial" w:hAnsi="Arial"/>
          <w:sz w:val="16"/>
          <w:szCs w:val="16"/>
          <w:b w:val="1"/>
          <w:bCs w:val="1"/>
          <w:color w:val="001C71"/>
        </w:rPr>
      </w:pPr>
    </w:p>
    <w:p>
      <w:pPr>
        <w:ind w:left="320" w:right="179" w:hanging="244"/>
        <w:spacing w:after="0" w:line="321" w:lineRule="auto"/>
        <w:tabs>
          <w:tab w:leader="none" w:pos="309"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identifying, reviewing and evaluating candidates to serve on our Board, and reviewing and evaluating incumbent directors;</w:t>
      </w:r>
    </w:p>
    <w:p>
      <w:pPr>
        <w:spacing w:after="0" w:line="34" w:lineRule="exact"/>
        <w:rPr>
          <w:rFonts w:ascii="Arial" w:cs="Arial" w:eastAsia="Arial" w:hAnsi="Arial"/>
          <w:sz w:val="16"/>
          <w:szCs w:val="16"/>
          <w:b w:val="1"/>
          <w:bCs w:val="1"/>
          <w:color w:val="001C71"/>
        </w:rPr>
      </w:pPr>
    </w:p>
    <w:p>
      <w:pPr>
        <w:ind w:left="320" w:right="579" w:hanging="244"/>
        <w:spacing w:after="0" w:line="292" w:lineRule="auto"/>
        <w:tabs>
          <w:tab w:leader="none" w:pos="309"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reviewing, evaluating and considering the recommendation for nomination of incumbent directors for reelection to our Board and monitoring the size of our Board;</w:t>
      </w:r>
    </w:p>
    <w:p>
      <w:pPr>
        <w:spacing w:after="0" w:line="70" w:lineRule="exact"/>
        <w:rPr>
          <w:rFonts w:ascii="Arial" w:cs="Arial" w:eastAsia="Arial" w:hAnsi="Arial"/>
          <w:sz w:val="16"/>
          <w:szCs w:val="16"/>
          <w:b w:val="1"/>
          <w:bCs w:val="1"/>
          <w:color w:val="001C71"/>
        </w:rPr>
      </w:pPr>
    </w:p>
    <w:p>
      <w:pPr>
        <w:ind w:left="300" w:hanging="224"/>
        <w:spacing w:after="0"/>
        <w:tabs>
          <w:tab w:leader="none" w:pos="300"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recommending director candidates to our Board;</w:t>
      </w:r>
    </w:p>
    <w:p>
      <w:pPr>
        <w:spacing w:after="0" w:line="126" w:lineRule="exact"/>
        <w:rPr>
          <w:rFonts w:ascii="Arial" w:cs="Arial" w:eastAsia="Arial" w:hAnsi="Arial"/>
          <w:sz w:val="16"/>
          <w:szCs w:val="16"/>
          <w:b w:val="1"/>
          <w:bCs w:val="1"/>
          <w:color w:val="001C71"/>
        </w:rPr>
      </w:pPr>
    </w:p>
    <w:p>
      <w:pPr>
        <w:ind w:left="320" w:right="99" w:hanging="244"/>
        <w:spacing w:after="0" w:line="292" w:lineRule="auto"/>
        <w:tabs>
          <w:tab w:leader="none" w:pos="309"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overseeing on behalf of our Board our compliance with applicable laws and regulations, other than the financial compliance issues overseen by our Audit Committee;</w:t>
      </w:r>
    </w:p>
    <w:p>
      <w:pPr>
        <w:spacing w:after="0" w:line="57" w:lineRule="exact"/>
        <w:rPr>
          <w:rFonts w:ascii="Arial" w:cs="Arial" w:eastAsia="Arial" w:hAnsi="Arial"/>
          <w:sz w:val="16"/>
          <w:szCs w:val="16"/>
          <w:b w:val="1"/>
          <w:bCs w:val="1"/>
          <w:color w:val="001C71"/>
        </w:rPr>
      </w:pPr>
    </w:p>
    <w:p>
      <w:pPr>
        <w:jc w:val="both"/>
        <w:ind w:left="320" w:right="159" w:hanging="244"/>
        <w:spacing w:after="0" w:line="282" w:lineRule="auto"/>
        <w:tabs>
          <w:tab w:leader="none" w:pos="309"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overseeing on behalf of our Board our risk management matters, other than with respect to risks that are financial or information security risks (as to which our Audit Committee has oversight responsibility on behalf of our Board) or risks related to compensation policies (as to which our Compensation Committee has oversight responsibility on behalf of our Board);</w:t>
      </w:r>
    </w:p>
    <w:p>
      <w:pPr>
        <w:spacing w:after="0" w:line="66" w:lineRule="exact"/>
        <w:rPr>
          <w:rFonts w:ascii="Arial" w:cs="Arial" w:eastAsia="Arial" w:hAnsi="Arial"/>
          <w:sz w:val="16"/>
          <w:szCs w:val="16"/>
          <w:b w:val="1"/>
          <w:bCs w:val="1"/>
          <w:color w:val="001C71"/>
        </w:rPr>
      </w:pPr>
    </w:p>
    <w:p>
      <w:pPr>
        <w:ind w:left="320" w:right="159" w:hanging="244"/>
        <w:spacing w:after="0" w:line="282" w:lineRule="auto"/>
        <w:tabs>
          <w:tab w:leader="none" w:pos="309"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evaluating director nominations and proposals by our shareholders and establishing policies, requirements, criteria and procedures in furtherance of the foregoing. For more information on the policy and procedure for considering stockholder recommendations/nominations see the “</w:t>
      </w:r>
      <w:r>
        <w:rPr>
          <w:rFonts w:ascii="Arial" w:cs="Arial" w:eastAsia="Arial" w:hAnsi="Arial"/>
          <w:sz w:val="16"/>
          <w:szCs w:val="16"/>
          <w:i w:val="1"/>
          <w:iCs w:val="1"/>
          <w:color w:val="auto"/>
        </w:rPr>
        <w:t>Shareholder Engagement</w:t>
      </w:r>
      <w:r>
        <w:rPr>
          <w:rFonts w:ascii="Arial" w:cs="Arial" w:eastAsia="Arial" w:hAnsi="Arial"/>
          <w:sz w:val="16"/>
          <w:szCs w:val="16"/>
          <w:color w:val="auto"/>
        </w:rPr>
        <w:t>” section of this proxy;</w:t>
      </w:r>
    </w:p>
    <w:p>
      <w:pPr>
        <w:spacing w:after="0" w:line="80" w:lineRule="exact"/>
        <w:rPr>
          <w:rFonts w:ascii="Arial" w:cs="Arial" w:eastAsia="Arial" w:hAnsi="Arial"/>
          <w:sz w:val="16"/>
          <w:szCs w:val="16"/>
          <w:b w:val="1"/>
          <w:bCs w:val="1"/>
          <w:color w:val="001C71"/>
        </w:rPr>
      </w:pPr>
    </w:p>
    <w:p>
      <w:pPr>
        <w:ind w:left="320" w:right="399" w:hanging="244"/>
        <w:spacing w:after="0" w:line="292" w:lineRule="auto"/>
        <w:tabs>
          <w:tab w:leader="none" w:pos="309"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assessing the effectiveness and performance of our Board and its committees, and recommending and implementing our Board’s self-evaluation process;</w:t>
      </w:r>
    </w:p>
    <w:p>
      <w:pPr>
        <w:spacing w:after="0" w:line="57" w:lineRule="exact"/>
        <w:rPr>
          <w:rFonts w:ascii="Arial" w:cs="Arial" w:eastAsia="Arial" w:hAnsi="Arial"/>
          <w:sz w:val="16"/>
          <w:szCs w:val="16"/>
          <w:b w:val="1"/>
          <w:bCs w:val="1"/>
          <w:color w:val="001C71"/>
        </w:rPr>
      </w:pPr>
    </w:p>
    <w:p>
      <w:pPr>
        <w:ind w:left="320" w:right="259" w:hanging="244"/>
        <w:spacing w:after="0" w:line="283" w:lineRule="auto"/>
        <w:tabs>
          <w:tab w:leader="none" w:pos="309"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overseeing our ESG strategy and practices and periodically reviewing and discussing with management our practices with respect to ESG matters that are expected to have a significant impact on our performance, business activities, or reputation; and</w:t>
      </w:r>
    </w:p>
    <w:p>
      <w:pPr>
        <w:spacing w:after="0" w:line="77" w:lineRule="exact"/>
        <w:rPr>
          <w:rFonts w:ascii="Arial" w:cs="Arial" w:eastAsia="Arial" w:hAnsi="Arial"/>
          <w:sz w:val="16"/>
          <w:szCs w:val="16"/>
          <w:b w:val="1"/>
          <w:bCs w:val="1"/>
          <w:color w:val="001C71"/>
        </w:rPr>
      </w:pPr>
    </w:p>
    <w:p>
      <w:pPr>
        <w:jc w:val="both"/>
        <w:ind w:left="320" w:right="439" w:hanging="244"/>
        <w:spacing w:after="0" w:line="292" w:lineRule="auto"/>
        <w:tabs>
          <w:tab w:leader="none" w:pos="309" w:val="left"/>
        </w:tabs>
        <w:numPr>
          <w:ilvl w:val="0"/>
          <w:numId w:val="35"/>
        </w:numPr>
        <w:rPr>
          <w:rFonts w:ascii="Arial" w:cs="Arial" w:eastAsia="Arial" w:hAnsi="Arial"/>
          <w:sz w:val="16"/>
          <w:szCs w:val="16"/>
          <w:b w:val="1"/>
          <w:bCs w:val="1"/>
          <w:color w:val="001C71"/>
        </w:rPr>
      </w:pPr>
      <w:r>
        <w:rPr>
          <w:rFonts w:ascii="Arial" w:cs="Arial" w:eastAsia="Arial" w:hAnsi="Arial"/>
          <w:sz w:val="16"/>
          <w:szCs w:val="16"/>
          <w:color w:val="auto"/>
        </w:rPr>
        <w:t>reviewing, discussing and assessing the performance of our Board, including committees of our board, seeking input from all directors, senior management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898525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414020</wp:posOffset>
            </wp:positionV>
            <wp:extent cx="1242695" cy="2057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2">
            <w:col w:w="3834" w:space="720"/>
            <w:col w:w="5559"/>
          </w:cols>
          <w:pgMar w:left="346" w:top="522" w:right="1440"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963295</wp:posOffset>
            </wp:positionV>
            <wp:extent cx="2040255" cy="4071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040255" cy="407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right="420"/>
        <w:spacing w:after="0" w:line="285" w:lineRule="auto"/>
        <w:rPr>
          <w:sz w:val="20"/>
          <w:szCs w:val="20"/>
          <w:color w:val="auto"/>
        </w:rPr>
      </w:pPr>
      <w:r>
        <w:rPr>
          <w:rFonts w:ascii="Arial" w:cs="Arial" w:eastAsia="Arial" w:hAnsi="Arial"/>
          <w:sz w:val="35"/>
          <w:szCs w:val="35"/>
          <w:b w:val="1"/>
          <w:bCs w:val="1"/>
          <w:color w:val="001C71"/>
        </w:rPr>
        <w:t>Science and Medicine Committee</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636466"/>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Arial" w:cs="Arial" w:eastAsia="Arial" w:hAnsi="Arial"/>
          <w:sz w:val="14"/>
          <w:szCs w:val="14"/>
          <w:color w:val="636466"/>
        </w:rPr>
        <w:t>Norbert G. Riedel, Ph.D.</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636466"/>
        </w:rPr>
        <w:t>MEMBERS:</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636466"/>
        </w:rPr>
        <w:t>Jennifer E. Cook</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636466"/>
        </w:rPr>
        <w:t>Ted W. Love, M.D.</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636466"/>
        </w:rPr>
        <w:t>Seamus C. Mulligan</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636466"/>
        </w:rPr>
        <w:t>Mark D. Smith, M.D.</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4"/>
          <w:szCs w:val="14"/>
          <w:color w:val="636466"/>
        </w:rPr>
        <w:t>Rick E Winningham</w:t>
      </w:r>
    </w:p>
    <w:p>
      <w:pPr>
        <w:spacing w:after="0" w:line="332" w:lineRule="exact"/>
        <w:rPr>
          <w:sz w:val="20"/>
          <w:szCs w:val="20"/>
          <w:color w:val="auto"/>
        </w:rPr>
      </w:pPr>
    </w:p>
    <w:p>
      <w:pPr>
        <w:ind w:left="220"/>
        <w:spacing w:after="0"/>
        <w:rPr>
          <w:sz w:val="20"/>
          <w:szCs w:val="20"/>
          <w:color w:val="auto"/>
        </w:rPr>
      </w:pPr>
      <w:r>
        <w:rPr>
          <w:rFonts w:ascii="Arial" w:cs="Arial" w:eastAsia="Arial" w:hAnsi="Arial"/>
          <w:sz w:val="54"/>
          <w:szCs w:val="54"/>
          <w:color w:val="001C71"/>
        </w:rPr>
        <w:t>4</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4"/>
          <w:szCs w:val="14"/>
          <w:color w:val="636466"/>
        </w:rPr>
        <w:t>MEETINGS HELD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700405</wp:posOffset>
            </wp:positionV>
            <wp:extent cx="1242695" cy="2057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4"/>
          <w:szCs w:val="14"/>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2505710</wp:posOffset>
            </wp:positionH>
            <wp:positionV relativeFrom="paragraph">
              <wp:posOffset>-224155</wp:posOffset>
            </wp:positionV>
            <wp:extent cx="1722755" cy="3003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722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180"/>
        <w:spacing w:after="0" w:line="295" w:lineRule="auto"/>
        <w:rPr>
          <w:sz w:val="20"/>
          <w:szCs w:val="20"/>
          <w:color w:val="auto"/>
        </w:rPr>
      </w:pPr>
      <w:r>
        <w:rPr>
          <w:rFonts w:ascii="Arial" w:cs="Arial" w:eastAsia="Arial" w:hAnsi="Arial"/>
          <w:sz w:val="16"/>
          <w:szCs w:val="16"/>
          <w:color w:val="auto"/>
        </w:rPr>
        <w:t>Our SMC is governed by a regularly reviewed, Board approved charter, which is available on our Website. Our SMC is an advisory committee which reviews R&amp;D and technology initiatives. Specific responsibilities of our SMC include:</w:t>
      </w:r>
    </w:p>
    <w:p>
      <w:pPr>
        <w:spacing w:after="0" w:line="67" w:lineRule="exact"/>
        <w:rPr>
          <w:sz w:val="20"/>
          <w:szCs w:val="20"/>
          <w:color w:val="auto"/>
        </w:rPr>
      </w:pPr>
    </w:p>
    <w:p>
      <w:pPr>
        <w:ind w:left="340" w:right="1300" w:hanging="250"/>
        <w:spacing w:after="0" w:line="292" w:lineRule="auto"/>
        <w:tabs>
          <w:tab w:leader="none" w:pos="329" w:val="left"/>
        </w:tabs>
        <w:numPr>
          <w:ilvl w:val="0"/>
          <w:numId w:val="36"/>
        </w:numPr>
        <w:rPr>
          <w:rFonts w:ascii="Arial" w:cs="Arial" w:eastAsia="Arial" w:hAnsi="Arial"/>
          <w:sz w:val="16"/>
          <w:szCs w:val="16"/>
          <w:b w:val="1"/>
          <w:bCs w:val="1"/>
          <w:color w:val="001C71"/>
        </w:rPr>
      </w:pPr>
      <w:r>
        <w:rPr>
          <w:rFonts w:ascii="Arial" w:cs="Arial" w:eastAsia="Arial" w:hAnsi="Arial"/>
          <w:sz w:val="16"/>
          <w:szCs w:val="16"/>
          <w:color w:val="auto"/>
        </w:rPr>
        <w:t>review and advise management and our Board regarding the strategy, direction, value and progress of our R&amp;D program, pipeline and technology platforms;</w:t>
      </w:r>
    </w:p>
    <w:p>
      <w:pPr>
        <w:spacing w:after="0" w:line="57" w:lineRule="exact"/>
        <w:rPr>
          <w:rFonts w:ascii="Arial" w:cs="Arial" w:eastAsia="Arial" w:hAnsi="Arial"/>
          <w:sz w:val="16"/>
          <w:szCs w:val="16"/>
          <w:b w:val="1"/>
          <w:bCs w:val="1"/>
          <w:color w:val="001C71"/>
        </w:rPr>
      </w:pPr>
    </w:p>
    <w:p>
      <w:pPr>
        <w:ind w:left="340" w:right="1340" w:hanging="250"/>
        <w:spacing w:after="0" w:line="292" w:lineRule="auto"/>
        <w:tabs>
          <w:tab w:leader="none" w:pos="329" w:val="left"/>
        </w:tabs>
        <w:numPr>
          <w:ilvl w:val="0"/>
          <w:numId w:val="36"/>
        </w:numPr>
        <w:rPr>
          <w:rFonts w:ascii="Arial" w:cs="Arial" w:eastAsia="Arial" w:hAnsi="Arial"/>
          <w:sz w:val="16"/>
          <w:szCs w:val="16"/>
          <w:b w:val="1"/>
          <w:bCs w:val="1"/>
          <w:color w:val="001C71"/>
        </w:rPr>
      </w:pPr>
      <w:r>
        <w:rPr>
          <w:rFonts w:ascii="Arial" w:cs="Arial" w:eastAsia="Arial" w:hAnsi="Arial"/>
          <w:sz w:val="16"/>
          <w:szCs w:val="16"/>
          <w:color w:val="auto"/>
        </w:rPr>
        <w:t>review and advise management and our Board on pertinent scientific, technological and medical elements of our corporate development opportunities and transactions;</w:t>
      </w:r>
    </w:p>
    <w:p>
      <w:pPr>
        <w:spacing w:after="0" w:line="70" w:lineRule="exact"/>
        <w:rPr>
          <w:rFonts w:ascii="Arial" w:cs="Arial" w:eastAsia="Arial" w:hAnsi="Arial"/>
          <w:sz w:val="16"/>
          <w:szCs w:val="16"/>
          <w:b w:val="1"/>
          <w:bCs w:val="1"/>
          <w:color w:val="001C71"/>
        </w:rPr>
      </w:pPr>
    </w:p>
    <w:p>
      <w:pPr>
        <w:ind w:left="340" w:right="1220" w:hanging="250"/>
        <w:spacing w:after="0" w:line="283" w:lineRule="auto"/>
        <w:tabs>
          <w:tab w:leader="none" w:pos="329" w:val="left"/>
        </w:tabs>
        <w:numPr>
          <w:ilvl w:val="0"/>
          <w:numId w:val="36"/>
        </w:numPr>
        <w:rPr>
          <w:rFonts w:ascii="Arial" w:cs="Arial" w:eastAsia="Arial" w:hAnsi="Arial"/>
          <w:sz w:val="16"/>
          <w:szCs w:val="16"/>
          <w:b w:val="1"/>
          <w:bCs w:val="1"/>
          <w:color w:val="001C71"/>
        </w:rPr>
      </w:pPr>
      <w:r>
        <w:rPr>
          <w:rFonts w:ascii="Arial" w:cs="Arial" w:eastAsia="Arial" w:hAnsi="Arial"/>
          <w:sz w:val="16"/>
          <w:szCs w:val="16"/>
          <w:color w:val="auto"/>
        </w:rPr>
        <w:t>review and advise management and our Board on our R&amp;D resource allocation strategy, including internal and external investments, investment allocation across R&amp;D stages across franchises/therapeutic areas and technology platforms;</w:t>
      </w:r>
    </w:p>
    <w:p>
      <w:pPr>
        <w:spacing w:after="0" w:line="77" w:lineRule="exact"/>
        <w:rPr>
          <w:rFonts w:ascii="Arial" w:cs="Arial" w:eastAsia="Arial" w:hAnsi="Arial"/>
          <w:sz w:val="16"/>
          <w:szCs w:val="16"/>
          <w:b w:val="1"/>
          <w:bCs w:val="1"/>
          <w:color w:val="001C71"/>
        </w:rPr>
      </w:pPr>
    </w:p>
    <w:p>
      <w:pPr>
        <w:ind w:left="340" w:right="1400" w:hanging="250"/>
        <w:spacing w:after="0" w:line="304" w:lineRule="auto"/>
        <w:tabs>
          <w:tab w:leader="none" w:pos="329" w:val="left"/>
        </w:tabs>
        <w:numPr>
          <w:ilvl w:val="0"/>
          <w:numId w:val="36"/>
        </w:numPr>
        <w:rPr>
          <w:rFonts w:ascii="Arial" w:cs="Arial" w:eastAsia="Arial" w:hAnsi="Arial"/>
          <w:sz w:val="16"/>
          <w:szCs w:val="16"/>
          <w:b w:val="1"/>
          <w:bCs w:val="1"/>
          <w:color w:val="001C71"/>
        </w:rPr>
      </w:pPr>
      <w:r>
        <w:rPr>
          <w:rFonts w:ascii="Arial" w:cs="Arial" w:eastAsia="Arial" w:hAnsi="Arial"/>
          <w:sz w:val="16"/>
          <w:szCs w:val="16"/>
          <w:color w:val="auto"/>
        </w:rPr>
        <w:t>identify and discuss new and emerging trends in pharmaceutical and biotechnological science, technology and regulation; and</w:t>
      </w:r>
    </w:p>
    <w:p>
      <w:pPr>
        <w:spacing w:after="0" w:line="46" w:lineRule="exact"/>
        <w:rPr>
          <w:rFonts w:ascii="Arial" w:cs="Arial" w:eastAsia="Arial" w:hAnsi="Arial"/>
          <w:sz w:val="16"/>
          <w:szCs w:val="16"/>
          <w:b w:val="1"/>
          <w:bCs w:val="1"/>
          <w:color w:val="001C71"/>
        </w:rPr>
      </w:pPr>
    </w:p>
    <w:p>
      <w:pPr>
        <w:ind w:left="340" w:right="1240" w:hanging="250"/>
        <w:spacing w:after="0" w:line="292" w:lineRule="auto"/>
        <w:tabs>
          <w:tab w:leader="none" w:pos="329" w:val="left"/>
        </w:tabs>
        <w:numPr>
          <w:ilvl w:val="0"/>
          <w:numId w:val="36"/>
        </w:numPr>
        <w:rPr>
          <w:rFonts w:ascii="Arial" w:cs="Arial" w:eastAsia="Arial" w:hAnsi="Arial"/>
          <w:sz w:val="16"/>
          <w:szCs w:val="16"/>
          <w:b w:val="1"/>
          <w:bCs w:val="1"/>
          <w:color w:val="001C71"/>
        </w:rPr>
      </w:pPr>
      <w:r>
        <w:rPr>
          <w:rFonts w:ascii="Arial" w:cs="Arial" w:eastAsia="Arial" w:hAnsi="Arial"/>
          <w:sz w:val="16"/>
          <w:szCs w:val="16"/>
          <w:color w:val="auto"/>
        </w:rPr>
        <w:t>reviewing, discussing and assessing the performance of our Board, including committees of our Board, seeking input from directors, senior management and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4260" w:type="dxa"/>
        <w:tblCellMar>
          <w:top w:w="0" w:type="dxa"/>
          <w:left w:w="0" w:type="dxa"/>
          <w:bottom w:w="0" w:type="dxa"/>
          <w:right w:w="0" w:type="dxa"/>
        </w:tblCellMar>
      </w:tblPr>
      <w:tr>
        <w:trPr>
          <w:trHeight w:val="247"/>
        </w:trPr>
        <w:tc>
          <w:tcPr>
            <w:tcW w:w="1980" w:type="dxa"/>
            <w:vAlign w:val="bottom"/>
          </w:tcPr>
          <w:p>
            <w:pPr>
              <w:spacing w:after="0"/>
              <w:rPr>
                <w:sz w:val="20"/>
                <w:szCs w:val="20"/>
                <w:color w:val="auto"/>
              </w:rPr>
            </w:pPr>
            <w:r>
              <w:rPr>
                <w:rFonts w:ascii="Arial" w:cs="Arial" w:eastAsia="Arial" w:hAnsi="Arial"/>
                <w:sz w:val="14"/>
                <w:szCs w:val="14"/>
                <w:color w:val="636466"/>
              </w:rPr>
              <w:t>2026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852166"/>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297180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740" w:space="720"/>
            <w:col w:w="6640"/>
          </w:cols>
          <w:pgMar w:left="1440" w:top="522" w:right="359" w:bottom="1440" w:gutter="0" w:footer="0" w:header="0"/>
        </w:sectPr>
      </w:pPr>
    </w:p>
    <w:bookmarkStart w:id="43" w:name="page44"/>
    <w:bookmarkEnd w:id="43"/>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3003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Shareholder Engagement</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proactively engage with our shareholders throughout the year to better understand their priorities and perspectives on significant issues, in many forms and forums from industry conferences, non-deal roadshows, to direct one-on-one meetings. Through these engagements, we have obtained valuable insights on their thoughts regarding a variety of topics including our Company’s performance and strategy, executive compensation matters, corporate governance practices, and environmental and social matters. Engagement participants include members of senior management and our Board. We consider feedback and insights from shareholders as we review our practices and disclosures throughout the year.</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graphic describes our typical shareholder outreach and engagement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149225</wp:posOffset>
            </wp:positionV>
            <wp:extent cx="5846445" cy="28460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84644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420" w:type="dxa"/>
        <w:tblCellMar>
          <w:top w:w="0" w:type="dxa"/>
          <w:left w:w="0" w:type="dxa"/>
          <w:bottom w:w="0" w:type="dxa"/>
          <w:right w:w="0" w:type="dxa"/>
        </w:tblCellMar>
      </w:tblPr>
      <w:tr>
        <w:trPr>
          <w:trHeight w:val="355"/>
        </w:trPr>
        <w:tc>
          <w:tcPr>
            <w:tcW w:w="24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636466"/>
              </w:rPr>
              <w:t>•</w:t>
            </w:r>
          </w:p>
        </w:tc>
        <w:tc>
          <w:tcPr>
            <w:tcW w:w="172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Discuss business</w:t>
            </w:r>
          </w:p>
        </w:tc>
        <w:tc>
          <w:tcPr>
            <w:tcW w:w="26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636466"/>
              </w:rPr>
              <w:t>•</w:t>
            </w:r>
          </w:p>
        </w:tc>
        <w:tc>
          <w:tcPr>
            <w:tcW w:w="1880" w:type="dxa"/>
            <w:vAlign w:val="bottom"/>
            <w:shd w:val="clear" w:color="auto" w:fill="F0F0F0"/>
          </w:tcPr>
          <w:p>
            <w:pPr>
              <w:ind w:left="80"/>
              <w:spacing w:after="0"/>
              <w:rPr>
                <w:sz w:val="20"/>
                <w:szCs w:val="20"/>
                <w:color w:val="auto"/>
              </w:rPr>
            </w:pPr>
            <w:r>
              <w:rPr>
                <w:rFonts w:ascii="Arial" w:cs="Arial" w:eastAsia="Arial" w:hAnsi="Arial"/>
                <w:sz w:val="14"/>
                <w:szCs w:val="14"/>
                <w:color w:val="636466"/>
              </w:rPr>
              <w:t>Shareholders can</w:t>
            </w:r>
          </w:p>
        </w:tc>
        <w:tc>
          <w:tcPr>
            <w:tcW w:w="24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636466"/>
              </w:rPr>
              <w:t>•</w:t>
            </w:r>
          </w:p>
        </w:tc>
        <w:tc>
          <w:tcPr>
            <w:tcW w:w="182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Where appropriate,</w:t>
            </w:r>
          </w:p>
        </w:tc>
        <w:tc>
          <w:tcPr>
            <w:tcW w:w="320" w:type="dxa"/>
            <w:vAlign w:val="bottom"/>
            <w:shd w:val="clear" w:color="auto" w:fill="F0F0F0"/>
          </w:tcPr>
          <w:p>
            <w:pPr>
              <w:ind w:left="180"/>
              <w:spacing w:after="0"/>
              <w:rPr>
                <w:sz w:val="20"/>
                <w:szCs w:val="20"/>
                <w:color w:val="auto"/>
              </w:rPr>
            </w:pPr>
            <w:r>
              <w:rPr>
                <w:rFonts w:ascii="Arial" w:cs="Arial" w:eastAsia="Arial" w:hAnsi="Arial"/>
                <w:sz w:val="14"/>
                <w:szCs w:val="14"/>
                <w:b w:val="1"/>
                <w:bCs w:val="1"/>
                <w:color w:val="636466"/>
              </w:rPr>
              <w:t>•</w:t>
            </w:r>
          </w:p>
        </w:tc>
        <w:tc>
          <w:tcPr>
            <w:tcW w:w="188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Where appropriate,</w:t>
            </w:r>
          </w:p>
        </w:tc>
        <w:tc>
          <w:tcPr>
            <w:tcW w:w="0" w:type="dxa"/>
            <w:vAlign w:val="bottom"/>
          </w:tcPr>
          <w:p>
            <w:pPr>
              <w:spacing w:after="0"/>
              <w:rPr>
                <w:sz w:val="1"/>
                <w:szCs w:val="1"/>
                <w:color w:val="auto"/>
              </w:rPr>
            </w:pPr>
          </w:p>
        </w:tc>
      </w:tr>
      <w:tr>
        <w:trPr>
          <w:trHeight w:val="175"/>
        </w:trPr>
        <w:tc>
          <w:tcPr>
            <w:tcW w:w="240" w:type="dxa"/>
            <w:vAlign w:val="bottom"/>
            <w:shd w:val="clear" w:color="auto" w:fill="F0F0F0"/>
          </w:tcPr>
          <w:p>
            <w:pPr>
              <w:spacing w:after="0"/>
              <w:rPr>
                <w:sz w:val="15"/>
                <w:szCs w:val="15"/>
                <w:color w:val="auto"/>
              </w:rPr>
            </w:pPr>
          </w:p>
        </w:tc>
        <w:tc>
          <w:tcPr>
            <w:tcW w:w="172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strategy and</w:t>
            </w:r>
          </w:p>
        </w:tc>
        <w:tc>
          <w:tcPr>
            <w:tcW w:w="260" w:type="dxa"/>
            <w:vAlign w:val="bottom"/>
            <w:shd w:val="clear" w:color="auto" w:fill="F0F0F0"/>
          </w:tcPr>
          <w:p>
            <w:pPr>
              <w:spacing w:after="0"/>
              <w:rPr>
                <w:sz w:val="15"/>
                <w:szCs w:val="15"/>
                <w:color w:val="auto"/>
              </w:rPr>
            </w:pPr>
          </w:p>
        </w:tc>
        <w:tc>
          <w:tcPr>
            <w:tcW w:w="188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engage with us by voting</w:t>
            </w:r>
          </w:p>
        </w:tc>
        <w:tc>
          <w:tcPr>
            <w:tcW w:w="240" w:type="dxa"/>
            <w:vAlign w:val="bottom"/>
            <w:shd w:val="clear" w:color="auto" w:fill="F0F0F0"/>
          </w:tcPr>
          <w:p>
            <w:pPr>
              <w:spacing w:after="0"/>
              <w:rPr>
                <w:sz w:val="15"/>
                <w:szCs w:val="15"/>
                <w:color w:val="auto"/>
              </w:rPr>
            </w:pPr>
          </w:p>
        </w:tc>
        <w:tc>
          <w:tcPr>
            <w:tcW w:w="182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discuss vote outcomes</w:t>
            </w:r>
          </w:p>
        </w:tc>
        <w:tc>
          <w:tcPr>
            <w:tcW w:w="320" w:type="dxa"/>
            <w:vAlign w:val="bottom"/>
            <w:shd w:val="clear" w:color="auto" w:fill="F0F0F0"/>
          </w:tcPr>
          <w:p>
            <w:pPr>
              <w:spacing w:after="0"/>
              <w:rPr>
                <w:sz w:val="15"/>
                <w:szCs w:val="15"/>
                <w:color w:val="auto"/>
              </w:rPr>
            </w:pPr>
          </w:p>
        </w:tc>
        <w:tc>
          <w:tcPr>
            <w:tcW w:w="188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solicit and consider</w:t>
            </w:r>
          </w:p>
        </w:tc>
        <w:tc>
          <w:tcPr>
            <w:tcW w:w="0" w:type="dxa"/>
            <w:vAlign w:val="bottom"/>
          </w:tcPr>
          <w:p>
            <w:pPr>
              <w:spacing w:after="0"/>
              <w:rPr>
                <w:sz w:val="1"/>
                <w:szCs w:val="1"/>
                <w:color w:val="auto"/>
              </w:rPr>
            </w:pPr>
          </w:p>
        </w:tc>
      </w:tr>
      <w:tr>
        <w:trPr>
          <w:trHeight w:val="176"/>
        </w:trPr>
        <w:tc>
          <w:tcPr>
            <w:tcW w:w="240" w:type="dxa"/>
            <w:vAlign w:val="bottom"/>
            <w:shd w:val="clear" w:color="auto" w:fill="F0F0F0"/>
          </w:tcPr>
          <w:p>
            <w:pPr>
              <w:spacing w:after="0"/>
              <w:rPr>
                <w:sz w:val="15"/>
                <w:szCs w:val="15"/>
                <w:color w:val="auto"/>
              </w:rPr>
            </w:pPr>
          </w:p>
        </w:tc>
        <w:tc>
          <w:tcPr>
            <w:tcW w:w="172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performance</w:t>
            </w:r>
          </w:p>
        </w:tc>
        <w:tc>
          <w:tcPr>
            <w:tcW w:w="260" w:type="dxa"/>
            <w:vAlign w:val="bottom"/>
            <w:shd w:val="clear" w:color="auto" w:fill="F0F0F0"/>
          </w:tcPr>
          <w:p>
            <w:pPr>
              <w:spacing w:after="0"/>
              <w:rPr>
                <w:sz w:val="15"/>
                <w:szCs w:val="15"/>
                <w:color w:val="auto"/>
              </w:rPr>
            </w:pPr>
          </w:p>
        </w:tc>
        <w:tc>
          <w:tcPr>
            <w:tcW w:w="188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on the various proposals</w:t>
            </w:r>
          </w:p>
        </w:tc>
        <w:tc>
          <w:tcPr>
            <w:tcW w:w="240" w:type="dxa"/>
            <w:vAlign w:val="bottom"/>
            <w:shd w:val="clear" w:color="auto" w:fill="F0F0F0"/>
          </w:tcPr>
          <w:p>
            <w:pPr>
              <w:spacing w:after="0"/>
              <w:rPr>
                <w:sz w:val="15"/>
                <w:szCs w:val="15"/>
                <w:color w:val="auto"/>
              </w:rPr>
            </w:pPr>
          </w:p>
        </w:tc>
        <w:tc>
          <w:tcPr>
            <w:tcW w:w="182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from our AGM in light of</w:t>
            </w:r>
          </w:p>
        </w:tc>
        <w:tc>
          <w:tcPr>
            <w:tcW w:w="320" w:type="dxa"/>
            <w:vAlign w:val="bottom"/>
            <w:shd w:val="clear" w:color="auto" w:fill="F0F0F0"/>
          </w:tcPr>
          <w:p>
            <w:pPr>
              <w:spacing w:after="0"/>
              <w:rPr>
                <w:sz w:val="15"/>
                <w:szCs w:val="15"/>
                <w:color w:val="auto"/>
              </w:rPr>
            </w:pPr>
          </w:p>
        </w:tc>
        <w:tc>
          <w:tcPr>
            <w:tcW w:w="188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shareholder feedback on</w:t>
            </w:r>
          </w:p>
        </w:tc>
        <w:tc>
          <w:tcPr>
            <w:tcW w:w="0" w:type="dxa"/>
            <w:vAlign w:val="bottom"/>
          </w:tcPr>
          <w:p>
            <w:pPr>
              <w:spacing w:after="0"/>
              <w:rPr>
                <w:sz w:val="1"/>
                <w:szCs w:val="1"/>
                <w:color w:val="auto"/>
              </w:rPr>
            </w:pPr>
          </w:p>
        </w:tc>
      </w:tr>
      <w:tr>
        <w:trPr>
          <w:trHeight w:val="176"/>
        </w:trPr>
        <w:tc>
          <w:tcPr>
            <w:tcW w:w="240" w:type="dxa"/>
            <w:vAlign w:val="bottom"/>
            <w:vMerge w:val="restart"/>
            <w:shd w:val="clear" w:color="auto" w:fill="F0F0F0"/>
          </w:tcPr>
          <w:p>
            <w:pPr>
              <w:ind w:left="100"/>
              <w:spacing w:after="0"/>
              <w:rPr>
                <w:sz w:val="20"/>
                <w:szCs w:val="20"/>
                <w:color w:val="auto"/>
              </w:rPr>
            </w:pPr>
            <w:r>
              <w:rPr>
                <w:rFonts w:ascii="Arial" w:cs="Arial" w:eastAsia="Arial" w:hAnsi="Arial"/>
                <w:sz w:val="14"/>
                <w:szCs w:val="14"/>
                <w:b w:val="1"/>
                <w:bCs w:val="1"/>
                <w:color w:val="636466"/>
              </w:rPr>
              <w:t>•</w:t>
            </w: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Educate and seek</w:t>
            </w:r>
          </w:p>
        </w:tc>
        <w:tc>
          <w:tcPr>
            <w:tcW w:w="260" w:type="dxa"/>
            <w:vAlign w:val="bottom"/>
            <w:vMerge w:val="restart"/>
            <w:shd w:val="clear" w:color="auto" w:fill="F0F0F0"/>
          </w:tcPr>
          <w:p>
            <w:pPr>
              <w:ind w:left="100"/>
              <w:spacing w:after="0"/>
              <w:rPr>
                <w:sz w:val="20"/>
                <w:szCs w:val="20"/>
                <w:color w:val="auto"/>
              </w:rPr>
            </w:pPr>
            <w:r>
              <w:rPr>
                <w:rFonts w:ascii="Arial" w:cs="Arial" w:eastAsia="Arial" w:hAnsi="Arial"/>
                <w:sz w:val="14"/>
                <w:szCs w:val="14"/>
                <w:b w:val="1"/>
                <w:bCs w:val="1"/>
                <w:color w:val="636466"/>
              </w:rPr>
              <w:t>•</w:t>
            </w:r>
          </w:p>
        </w:tc>
        <w:tc>
          <w:tcPr>
            <w:tcW w:w="1880" w:type="dxa"/>
            <w:vAlign w:val="bottom"/>
            <w:vMerge w:val="restart"/>
            <w:shd w:val="clear" w:color="auto" w:fill="F0F0F0"/>
          </w:tcPr>
          <w:p>
            <w:pPr>
              <w:ind w:left="80"/>
              <w:spacing w:after="0"/>
              <w:rPr>
                <w:sz w:val="20"/>
                <w:szCs w:val="20"/>
                <w:color w:val="auto"/>
              </w:rPr>
            </w:pPr>
            <w:r>
              <w:rPr>
                <w:rFonts w:ascii="Arial" w:cs="Arial" w:eastAsia="Arial" w:hAnsi="Arial"/>
                <w:sz w:val="14"/>
                <w:szCs w:val="14"/>
                <w:color w:val="636466"/>
              </w:rPr>
              <w:t>If shareholders attend</w:t>
            </w:r>
          </w:p>
        </w:tc>
        <w:tc>
          <w:tcPr>
            <w:tcW w:w="240" w:type="dxa"/>
            <w:vAlign w:val="bottom"/>
            <w:shd w:val="clear" w:color="auto" w:fill="F0F0F0"/>
          </w:tcPr>
          <w:p>
            <w:pPr>
              <w:spacing w:after="0"/>
              <w:rPr>
                <w:sz w:val="15"/>
                <w:szCs w:val="15"/>
                <w:color w:val="auto"/>
              </w:rPr>
            </w:pPr>
          </w:p>
        </w:tc>
        <w:tc>
          <w:tcPr>
            <w:tcW w:w="182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existing governance and</w:t>
            </w:r>
          </w:p>
        </w:tc>
        <w:tc>
          <w:tcPr>
            <w:tcW w:w="320" w:type="dxa"/>
            <w:vAlign w:val="bottom"/>
            <w:shd w:val="clear" w:color="auto" w:fill="F0F0F0"/>
          </w:tcPr>
          <w:p>
            <w:pPr>
              <w:spacing w:after="0"/>
              <w:rPr>
                <w:sz w:val="15"/>
                <w:szCs w:val="15"/>
                <w:color w:val="auto"/>
              </w:rPr>
            </w:pPr>
          </w:p>
        </w:tc>
        <w:tc>
          <w:tcPr>
            <w:tcW w:w="188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our Board governance</w:t>
            </w:r>
          </w:p>
        </w:tc>
        <w:tc>
          <w:tcPr>
            <w:tcW w:w="0" w:type="dxa"/>
            <w:vAlign w:val="bottom"/>
          </w:tcPr>
          <w:p>
            <w:pPr>
              <w:spacing w:after="0"/>
              <w:rPr>
                <w:sz w:val="1"/>
                <w:szCs w:val="1"/>
                <w:color w:val="auto"/>
              </w:rPr>
            </w:pPr>
          </w:p>
        </w:tc>
      </w:tr>
      <w:tr>
        <w:trPr>
          <w:trHeight w:val="54"/>
        </w:trPr>
        <w:tc>
          <w:tcPr>
            <w:tcW w:w="240" w:type="dxa"/>
            <w:vAlign w:val="bottom"/>
            <w:vMerge w:val="continue"/>
            <w:shd w:val="clear" w:color="auto" w:fill="F0F0F0"/>
          </w:tcPr>
          <w:p>
            <w:pPr>
              <w:spacing w:after="0"/>
              <w:rPr>
                <w:sz w:val="4"/>
                <w:szCs w:val="4"/>
                <w:color w:val="auto"/>
              </w:rPr>
            </w:pPr>
          </w:p>
        </w:tc>
        <w:tc>
          <w:tcPr>
            <w:tcW w:w="1720" w:type="dxa"/>
            <w:vAlign w:val="bottom"/>
            <w:vMerge w:val="continue"/>
            <w:shd w:val="clear" w:color="auto" w:fill="F0F0F0"/>
          </w:tcPr>
          <w:p>
            <w:pPr>
              <w:spacing w:after="0"/>
              <w:rPr>
                <w:sz w:val="4"/>
                <w:szCs w:val="4"/>
                <w:color w:val="auto"/>
              </w:rPr>
            </w:pPr>
          </w:p>
        </w:tc>
        <w:tc>
          <w:tcPr>
            <w:tcW w:w="260" w:type="dxa"/>
            <w:vAlign w:val="bottom"/>
            <w:vMerge w:val="continue"/>
            <w:shd w:val="clear" w:color="auto" w:fill="F0F0F0"/>
          </w:tcPr>
          <w:p>
            <w:pPr>
              <w:spacing w:after="0"/>
              <w:rPr>
                <w:sz w:val="4"/>
                <w:szCs w:val="4"/>
                <w:color w:val="auto"/>
              </w:rPr>
            </w:pPr>
          </w:p>
        </w:tc>
        <w:tc>
          <w:tcPr>
            <w:tcW w:w="1880" w:type="dxa"/>
            <w:vAlign w:val="bottom"/>
            <w:vMerge w:val="continue"/>
            <w:shd w:val="clear" w:color="auto" w:fill="F0F0F0"/>
          </w:tcPr>
          <w:p>
            <w:pPr>
              <w:spacing w:after="0"/>
              <w:rPr>
                <w:sz w:val="4"/>
                <w:szCs w:val="4"/>
                <w:color w:val="auto"/>
              </w:rPr>
            </w:pPr>
          </w:p>
        </w:tc>
        <w:tc>
          <w:tcPr>
            <w:tcW w:w="240" w:type="dxa"/>
            <w:vAlign w:val="bottom"/>
            <w:shd w:val="clear" w:color="auto" w:fill="F0F0F0"/>
          </w:tcPr>
          <w:p>
            <w:pPr>
              <w:spacing w:after="0"/>
              <w:rPr>
                <w:sz w:val="4"/>
                <w:szCs w:val="4"/>
                <w:color w:val="auto"/>
              </w:rPr>
            </w:pP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executive compensation</w:t>
            </w:r>
          </w:p>
        </w:tc>
        <w:tc>
          <w:tcPr>
            <w:tcW w:w="320" w:type="dxa"/>
            <w:vAlign w:val="bottom"/>
            <w:shd w:val="clear" w:color="auto" w:fill="F0F0F0"/>
          </w:tcPr>
          <w:p>
            <w:pPr>
              <w:spacing w:after="0"/>
              <w:rPr>
                <w:sz w:val="4"/>
                <w:szCs w:val="4"/>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and executive</w:t>
            </w:r>
          </w:p>
        </w:tc>
        <w:tc>
          <w:tcPr>
            <w:tcW w:w="0" w:type="dxa"/>
            <w:vAlign w:val="bottom"/>
          </w:tcPr>
          <w:p>
            <w:pPr>
              <w:spacing w:after="0"/>
              <w:rPr>
                <w:sz w:val="1"/>
                <w:szCs w:val="1"/>
                <w:color w:val="auto"/>
              </w:rPr>
            </w:pPr>
          </w:p>
        </w:tc>
      </w:tr>
      <w:tr>
        <w:trPr>
          <w:trHeight w:val="108"/>
        </w:trPr>
        <w:tc>
          <w:tcPr>
            <w:tcW w:w="240" w:type="dxa"/>
            <w:vAlign w:val="bottom"/>
            <w:shd w:val="clear" w:color="auto" w:fill="F0F0F0"/>
          </w:tcPr>
          <w:p>
            <w:pPr>
              <w:spacing w:after="0"/>
              <w:rPr>
                <w:sz w:val="9"/>
                <w:szCs w:val="9"/>
                <w:color w:val="auto"/>
              </w:rPr>
            </w:pP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feedback on any</w:t>
            </w:r>
          </w:p>
        </w:tc>
        <w:tc>
          <w:tcPr>
            <w:tcW w:w="260" w:type="dxa"/>
            <w:vAlign w:val="bottom"/>
            <w:shd w:val="clear" w:color="auto" w:fill="F0F0F0"/>
          </w:tcPr>
          <w:p>
            <w:pPr>
              <w:spacing w:after="0"/>
              <w:rPr>
                <w:sz w:val="9"/>
                <w:szCs w:val="9"/>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our AGM, they have an</w:t>
            </w:r>
          </w:p>
        </w:tc>
        <w:tc>
          <w:tcPr>
            <w:tcW w:w="240" w:type="dxa"/>
            <w:vAlign w:val="bottom"/>
            <w:shd w:val="clear" w:color="auto" w:fill="F0F0F0"/>
          </w:tcPr>
          <w:p>
            <w:pPr>
              <w:spacing w:after="0"/>
              <w:rPr>
                <w:sz w:val="9"/>
                <w:szCs w:val="9"/>
                <w:color w:val="auto"/>
              </w:rPr>
            </w:pPr>
          </w:p>
        </w:tc>
        <w:tc>
          <w:tcPr>
            <w:tcW w:w="1820" w:type="dxa"/>
            <w:vAlign w:val="bottom"/>
            <w:vMerge w:val="continue"/>
            <w:shd w:val="clear" w:color="auto" w:fill="F0F0F0"/>
          </w:tcPr>
          <w:p>
            <w:pPr>
              <w:spacing w:after="0"/>
              <w:rPr>
                <w:sz w:val="9"/>
                <w:szCs w:val="9"/>
                <w:color w:val="auto"/>
              </w:rPr>
            </w:pPr>
          </w:p>
        </w:tc>
        <w:tc>
          <w:tcPr>
            <w:tcW w:w="320" w:type="dxa"/>
            <w:vAlign w:val="bottom"/>
            <w:shd w:val="clear" w:color="auto" w:fill="F0F0F0"/>
          </w:tcPr>
          <w:p>
            <w:pPr>
              <w:spacing w:after="0"/>
              <w:rPr>
                <w:sz w:val="9"/>
                <w:szCs w:val="9"/>
                <w:color w:val="auto"/>
              </w:rPr>
            </w:pPr>
          </w:p>
        </w:tc>
        <w:tc>
          <w:tcPr>
            <w:tcW w:w="1880" w:type="dxa"/>
            <w:vAlign w:val="bottom"/>
            <w:vMerge w:val="continue"/>
            <w:shd w:val="clear" w:color="auto" w:fill="F0F0F0"/>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40" w:type="dxa"/>
            <w:vAlign w:val="bottom"/>
            <w:shd w:val="clear" w:color="auto" w:fill="F0F0F0"/>
          </w:tcPr>
          <w:p>
            <w:pPr>
              <w:spacing w:after="0"/>
              <w:rPr>
                <w:sz w:val="4"/>
                <w:szCs w:val="4"/>
                <w:color w:val="auto"/>
              </w:rPr>
            </w:pPr>
          </w:p>
        </w:tc>
        <w:tc>
          <w:tcPr>
            <w:tcW w:w="1720" w:type="dxa"/>
            <w:vAlign w:val="bottom"/>
            <w:vMerge w:val="continue"/>
            <w:shd w:val="clear" w:color="auto" w:fill="F0F0F0"/>
          </w:tcPr>
          <w:p>
            <w:pPr>
              <w:spacing w:after="0"/>
              <w:rPr>
                <w:sz w:val="4"/>
                <w:szCs w:val="4"/>
                <w:color w:val="auto"/>
              </w:rPr>
            </w:pPr>
          </w:p>
        </w:tc>
        <w:tc>
          <w:tcPr>
            <w:tcW w:w="260" w:type="dxa"/>
            <w:vAlign w:val="bottom"/>
            <w:shd w:val="clear" w:color="auto" w:fill="F0F0F0"/>
          </w:tcPr>
          <w:p>
            <w:pPr>
              <w:spacing w:after="0"/>
              <w:rPr>
                <w:sz w:val="4"/>
                <w:szCs w:val="4"/>
                <w:color w:val="auto"/>
              </w:rPr>
            </w:pPr>
          </w:p>
        </w:tc>
        <w:tc>
          <w:tcPr>
            <w:tcW w:w="1880" w:type="dxa"/>
            <w:vAlign w:val="bottom"/>
            <w:vMerge w:val="continue"/>
            <w:shd w:val="clear" w:color="auto" w:fill="F0F0F0"/>
          </w:tcPr>
          <w:p>
            <w:pPr>
              <w:spacing w:after="0"/>
              <w:rPr>
                <w:sz w:val="4"/>
                <w:szCs w:val="4"/>
                <w:color w:val="auto"/>
              </w:rPr>
            </w:pPr>
          </w:p>
        </w:tc>
        <w:tc>
          <w:tcPr>
            <w:tcW w:w="240" w:type="dxa"/>
            <w:vAlign w:val="bottom"/>
            <w:shd w:val="clear" w:color="auto" w:fill="F0F0F0"/>
          </w:tcPr>
          <w:p>
            <w:pPr>
              <w:spacing w:after="0"/>
              <w:rPr>
                <w:sz w:val="4"/>
                <w:szCs w:val="4"/>
                <w:color w:val="auto"/>
              </w:rPr>
            </w:pP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practices, as well as any</w:t>
            </w:r>
          </w:p>
        </w:tc>
        <w:tc>
          <w:tcPr>
            <w:tcW w:w="320" w:type="dxa"/>
            <w:vAlign w:val="bottom"/>
            <w:shd w:val="clear" w:color="auto" w:fill="F0F0F0"/>
          </w:tcPr>
          <w:p>
            <w:pPr>
              <w:spacing w:after="0"/>
              <w:rPr>
                <w:sz w:val="4"/>
                <w:szCs w:val="4"/>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compensation practices</w:t>
            </w:r>
          </w:p>
        </w:tc>
        <w:tc>
          <w:tcPr>
            <w:tcW w:w="0" w:type="dxa"/>
            <w:vAlign w:val="bottom"/>
          </w:tcPr>
          <w:p>
            <w:pPr>
              <w:spacing w:after="0"/>
              <w:rPr>
                <w:sz w:val="1"/>
                <w:szCs w:val="1"/>
                <w:color w:val="auto"/>
              </w:rPr>
            </w:pPr>
          </w:p>
        </w:tc>
      </w:tr>
      <w:tr>
        <w:trPr>
          <w:trHeight w:val="122"/>
        </w:trPr>
        <w:tc>
          <w:tcPr>
            <w:tcW w:w="240" w:type="dxa"/>
            <w:vAlign w:val="bottom"/>
            <w:shd w:val="clear" w:color="auto" w:fill="F0F0F0"/>
          </w:tcPr>
          <w:p>
            <w:pPr>
              <w:spacing w:after="0"/>
              <w:rPr>
                <w:sz w:val="10"/>
                <w:szCs w:val="10"/>
                <w:color w:val="auto"/>
              </w:rPr>
            </w:pP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matters for</w:t>
            </w:r>
          </w:p>
        </w:tc>
        <w:tc>
          <w:tcPr>
            <w:tcW w:w="260" w:type="dxa"/>
            <w:vAlign w:val="bottom"/>
            <w:shd w:val="clear" w:color="auto" w:fill="F0F0F0"/>
          </w:tcPr>
          <w:p>
            <w:pPr>
              <w:spacing w:after="0"/>
              <w:rPr>
                <w:sz w:val="10"/>
                <w:szCs w:val="10"/>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opportunity to ask</w:t>
            </w:r>
          </w:p>
        </w:tc>
        <w:tc>
          <w:tcPr>
            <w:tcW w:w="240" w:type="dxa"/>
            <w:vAlign w:val="bottom"/>
            <w:shd w:val="clear" w:color="auto" w:fill="F0F0F0"/>
          </w:tcPr>
          <w:p>
            <w:pPr>
              <w:spacing w:after="0"/>
              <w:rPr>
                <w:sz w:val="10"/>
                <w:szCs w:val="10"/>
                <w:color w:val="auto"/>
              </w:rPr>
            </w:pPr>
          </w:p>
        </w:tc>
        <w:tc>
          <w:tcPr>
            <w:tcW w:w="1820" w:type="dxa"/>
            <w:vAlign w:val="bottom"/>
            <w:vMerge w:val="continue"/>
            <w:shd w:val="clear" w:color="auto" w:fill="F0F0F0"/>
          </w:tcPr>
          <w:p>
            <w:pPr>
              <w:spacing w:after="0"/>
              <w:rPr>
                <w:sz w:val="10"/>
                <w:szCs w:val="10"/>
                <w:color w:val="auto"/>
              </w:rPr>
            </w:pPr>
          </w:p>
        </w:tc>
        <w:tc>
          <w:tcPr>
            <w:tcW w:w="320" w:type="dxa"/>
            <w:vAlign w:val="bottom"/>
            <w:shd w:val="clear" w:color="auto" w:fill="F0F0F0"/>
          </w:tcPr>
          <w:p>
            <w:pPr>
              <w:spacing w:after="0"/>
              <w:rPr>
                <w:sz w:val="10"/>
                <w:szCs w:val="10"/>
                <w:color w:val="auto"/>
              </w:rPr>
            </w:pPr>
          </w:p>
        </w:tc>
        <w:tc>
          <w:tcPr>
            <w:tcW w:w="1880" w:type="dxa"/>
            <w:vAlign w:val="bottom"/>
            <w:vMerge w:val="continue"/>
            <w:shd w:val="clear" w:color="auto" w:fill="F0F0F0"/>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40" w:type="dxa"/>
            <w:vAlign w:val="bottom"/>
            <w:shd w:val="clear" w:color="auto" w:fill="F0F0F0"/>
          </w:tcPr>
          <w:p>
            <w:pPr>
              <w:spacing w:after="0"/>
              <w:rPr>
                <w:sz w:val="4"/>
                <w:szCs w:val="4"/>
                <w:color w:val="auto"/>
              </w:rPr>
            </w:pPr>
          </w:p>
        </w:tc>
        <w:tc>
          <w:tcPr>
            <w:tcW w:w="1720" w:type="dxa"/>
            <w:vAlign w:val="bottom"/>
            <w:vMerge w:val="continue"/>
            <w:shd w:val="clear" w:color="auto" w:fill="F0F0F0"/>
          </w:tcPr>
          <w:p>
            <w:pPr>
              <w:spacing w:after="0"/>
              <w:rPr>
                <w:sz w:val="4"/>
                <w:szCs w:val="4"/>
                <w:color w:val="auto"/>
              </w:rPr>
            </w:pPr>
          </w:p>
        </w:tc>
        <w:tc>
          <w:tcPr>
            <w:tcW w:w="260" w:type="dxa"/>
            <w:vAlign w:val="bottom"/>
            <w:shd w:val="clear" w:color="auto" w:fill="F0F0F0"/>
          </w:tcPr>
          <w:p>
            <w:pPr>
              <w:spacing w:after="0"/>
              <w:rPr>
                <w:sz w:val="4"/>
                <w:szCs w:val="4"/>
                <w:color w:val="auto"/>
              </w:rPr>
            </w:pPr>
          </w:p>
        </w:tc>
        <w:tc>
          <w:tcPr>
            <w:tcW w:w="1880" w:type="dxa"/>
            <w:vAlign w:val="bottom"/>
            <w:vMerge w:val="continue"/>
            <w:shd w:val="clear" w:color="auto" w:fill="F0F0F0"/>
          </w:tcPr>
          <w:p>
            <w:pPr>
              <w:spacing w:after="0"/>
              <w:rPr>
                <w:sz w:val="4"/>
                <w:szCs w:val="4"/>
                <w:color w:val="auto"/>
              </w:rPr>
            </w:pPr>
          </w:p>
        </w:tc>
        <w:tc>
          <w:tcPr>
            <w:tcW w:w="240" w:type="dxa"/>
            <w:vAlign w:val="bottom"/>
            <w:shd w:val="clear" w:color="auto" w:fill="F0F0F0"/>
          </w:tcPr>
          <w:p>
            <w:pPr>
              <w:spacing w:after="0"/>
              <w:rPr>
                <w:sz w:val="4"/>
                <w:szCs w:val="4"/>
                <w:color w:val="auto"/>
              </w:rPr>
            </w:pP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feedback received from</w:t>
            </w:r>
          </w:p>
        </w:tc>
        <w:tc>
          <w:tcPr>
            <w:tcW w:w="320" w:type="dxa"/>
            <w:vAlign w:val="bottom"/>
            <w:shd w:val="clear" w:color="auto" w:fill="F0F0F0"/>
          </w:tcPr>
          <w:p>
            <w:pPr>
              <w:spacing w:after="0"/>
              <w:rPr>
                <w:sz w:val="4"/>
                <w:szCs w:val="4"/>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to better understand</w:t>
            </w:r>
          </w:p>
        </w:tc>
        <w:tc>
          <w:tcPr>
            <w:tcW w:w="0" w:type="dxa"/>
            <w:vAlign w:val="bottom"/>
          </w:tcPr>
          <w:p>
            <w:pPr>
              <w:spacing w:after="0"/>
              <w:rPr>
                <w:sz w:val="1"/>
                <w:szCs w:val="1"/>
                <w:color w:val="auto"/>
              </w:rPr>
            </w:pPr>
          </w:p>
        </w:tc>
      </w:tr>
      <w:tr>
        <w:trPr>
          <w:trHeight w:val="122"/>
        </w:trPr>
        <w:tc>
          <w:tcPr>
            <w:tcW w:w="240" w:type="dxa"/>
            <w:vAlign w:val="bottom"/>
            <w:shd w:val="clear" w:color="auto" w:fill="F0F0F0"/>
          </w:tcPr>
          <w:p>
            <w:pPr>
              <w:spacing w:after="0"/>
              <w:rPr>
                <w:sz w:val="10"/>
                <w:szCs w:val="10"/>
                <w:color w:val="auto"/>
              </w:rPr>
            </w:pP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shareholder</w:t>
            </w:r>
          </w:p>
        </w:tc>
        <w:tc>
          <w:tcPr>
            <w:tcW w:w="260" w:type="dxa"/>
            <w:vAlign w:val="bottom"/>
            <w:shd w:val="clear" w:color="auto" w:fill="F0F0F0"/>
          </w:tcPr>
          <w:p>
            <w:pPr>
              <w:spacing w:after="0"/>
              <w:rPr>
                <w:sz w:val="10"/>
                <w:szCs w:val="10"/>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questions and request</w:t>
            </w:r>
          </w:p>
        </w:tc>
        <w:tc>
          <w:tcPr>
            <w:tcW w:w="240" w:type="dxa"/>
            <w:vAlign w:val="bottom"/>
            <w:shd w:val="clear" w:color="auto" w:fill="F0F0F0"/>
          </w:tcPr>
          <w:p>
            <w:pPr>
              <w:spacing w:after="0"/>
              <w:rPr>
                <w:sz w:val="10"/>
                <w:szCs w:val="10"/>
                <w:color w:val="auto"/>
              </w:rPr>
            </w:pPr>
          </w:p>
        </w:tc>
        <w:tc>
          <w:tcPr>
            <w:tcW w:w="1820" w:type="dxa"/>
            <w:vAlign w:val="bottom"/>
            <w:vMerge w:val="continue"/>
            <w:shd w:val="clear" w:color="auto" w:fill="F0F0F0"/>
          </w:tcPr>
          <w:p>
            <w:pPr>
              <w:spacing w:after="0"/>
              <w:rPr>
                <w:sz w:val="10"/>
                <w:szCs w:val="10"/>
                <w:color w:val="auto"/>
              </w:rPr>
            </w:pPr>
          </w:p>
        </w:tc>
        <w:tc>
          <w:tcPr>
            <w:tcW w:w="320" w:type="dxa"/>
            <w:vAlign w:val="bottom"/>
            <w:shd w:val="clear" w:color="auto" w:fill="F0F0F0"/>
          </w:tcPr>
          <w:p>
            <w:pPr>
              <w:spacing w:after="0"/>
              <w:rPr>
                <w:sz w:val="10"/>
                <w:szCs w:val="10"/>
                <w:color w:val="auto"/>
              </w:rPr>
            </w:pPr>
          </w:p>
        </w:tc>
        <w:tc>
          <w:tcPr>
            <w:tcW w:w="1880" w:type="dxa"/>
            <w:vAlign w:val="bottom"/>
            <w:vMerge w:val="continue"/>
            <w:shd w:val="clear" w:color="auto" w:fill="F0F0F0"/>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40" w:type="dxa"/>
            <w:vAlign w:val="bottom"/>
            <w:shd w:val="clear" w:color="auto" w:fill="F0F0F0"/>
          </w:tcPr>
          <w:p>
            <w:pPr>
              <w:spacing w:after="0"/>
              <w:rPr>
                <w:sz w:val="4"/>
                <w:szCs w:val="4"/>
                <w:color w:val="auto"/>
              </w:rPr>
            </w:pPr>
          </w:p>
        </w:tc>
        <w:tc>
          <w:tcPr>
            <w:tcW w:w="1720" w:type="dxa"/>
            <w:vAlign w:val="bottom"/>
            <w:vMerge w:val="continue"/>
            <w:shd w:val="clear" w:color="auto" w:fill="F0F0F0"/>
          </w:tcPr>
          <w:p>
            <w:pPr>
              <w:spacing w:after="0"/>
              <w:rPr>
                <w:sz w:val="4"/>
                <w:szCs w:val="4"/>
                <w:color w:val="auto"/>
              </w:rPr>
            </w:pPr>
          </w:p>
        </w:tc>
        <w:tc>
          <w:tcPr>
            <w:tcW w:w="260" w:type="dxa"/>
            <w:vAlign w:val="bottom"/>
            <w:shd w:val="clear" w:color="auto" w:fill="F0F0F0"/>
          </w:tcPr>
          <w:p>
            <w:pPr>
              <w:spacing w:after="0"/>
              <w:rPr>
                <w:sz w:val="4"/>
                <w:szCs w:val="4"/>
                <w:color w:val="auto"/>
              </w:rPr>
            </w:pPr>
          </w:p>
        </w:tc>
        <w:tc>
          <w:tcPr>
            <w:tcW w:w="1880" w:type="dxa"/>
            <w:vAlign w:val="bottom"/>
            <w:vMerge w:val="continue"/>
            <w:shd w:val="clear" w:color="auto" w:fill="F0F0F0"/>
          </w:tcPr>
          <w:p>
            <w:pPr>
              <w:spacing w:after="0"/>
              <w:rPr>
                <w:sz w:val="4"/>
                <w:szCs w:val="4"/>
                <w:color w:val="auto"/>
              </w:rPr>
            </w:pPr>
          </w:p>
        </w:tc>
        <w:tc>
          <w:tcPr>
            <w:tcW w:w="240" w:type="dxa"/>
            <w:vAlign w:val="bottom"/>
            <w:shd w:val="clear" w:color="auto" w:fill="F0F0F0"/>
          </w:tcPr>
          <w:p>
            <w:pPr>
              <w:spacing w:after="0"/>
              <w:rPr>
                <w:sz w:val="4"/>
                <w:szCs w:val="4"/>
                <w:color w:val="auto"/>
              </w:rPr>
            </w:pP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shareholders during</w:t>
            </w:r>
          </w:p>
        </w:tc>
        <w:tc>
          <w:tcPr>
            <w:tcW w:w="320" w:type="dxa"/>
            <w:vAlign w:val="bottom"/>
            <w:shd w:val="clear" w:color="auto" w:fill="F0F0F0"/>
          </w:tcPr>
          <w:p>
            <w:pPr>
              <w:spacing w:after="0"/>
              <w:rPr>
                <w:sz w:val="4"/>
                <w:szCs w:val="4"/>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investor viewpoints and</w:t>
            </w:r>
          </w:p>
        </w:tc>
        <w:tc>
          <w:tcPr>
            <w:tcW w:w="0" w:type="dxa"/>
            <w:vAlign w:val="bottom"/>
          </w:tcPr>
          <w:p>
            <w:pPr>
              <w:spacing w:after="0"/>
              <w:rPr>
                <w:sz w:val="1"/>
                <w:szCs w:val="1"/>
                <w:color w:val="auto"/>
              </w:rPr>
            </w:pPr>
          </w:p>
        </w:tc>
      </w:tr>
      <w:tr>
        <w:trPr>
          <w:trHeight w:val="122"/>
        </w:trPr>
        <w:tc>
          <w:tcPr>
            <w:tcW w:w="240" w:type="dxa"/>
            <w:vAlign w:val="bottom"/>
            <w:shd w:val="clear" w:color="auto" w:fill="F0F0F0"/>
          </w:tcPr>
          <w:p>
            <w:pPr>
              <w:spacing w:after="0"/>
              <w:rPr>
                <w:sz w:val="10"/>
                <w:szCs w:val="10"/>
                <w:color w:val="auto"/>
              </w:rPr>
            </w:pP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consideration</w:t>
            </w:r>
          </w:p>
        </w:tc>
        <w:tc>
          <w:tcPr>
            <w:tcW w:w="260" w:type="dxa"/>
            <w:vAlign w:val="bottom"/>
            <w:shd w:val="clear" w:color="auto" w:fill="F0F0F0"/>
          </w:tcPr>
          <w:p>
            <w:pPr>
              <w:spacing w:after="0"/>
              <w:rPr>
                <w:sz w:val="10"/>
                <w:szCs w:val="10"/>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additional information</w:t>
            </w:r>
          </w:p>
        </w:tc>
        <w:tc>
          <w:tcPr>
            <w:tcW w:w="240" w:type="dxa"/>
            <w:vAlign w:val="bottom"/>
            <w:shd w:val="clear" w:color="auto" w:fill="F0F0F0"/>
          </w:tcPr>
          <w:p>
            <w:pPr>
              <w:spacing w:after="0"/>
              <w:rPr>
                <w:sz w:val="10"/>
                <w:szCs w:val="10"/>
                <w:color w:val="auto"/>
              </w:rPr>
            </w:pPr>
          </w:p>
        </w:tc>
        <w:tc>
          <w:tcPr>
            <w:tcW w:w="1820" w:type="dxa"/>
            <w:vAlign w:val="bottom"/>
            <w:vMerge w:val="continue"/>
            <w:shd w:val="clear" w:color="auto" w:fill="F0F0F0"/>
          </w:tcPr>
          <w:p>
            <w:pPr>
              <w:spacing w:after="0"/>
              <w:rPr>
                <w:sz w:val="10"/>
                <w:szCs w:val="10"/>
                <w:color w:val="auto"/>
              </w:rPr>
            </w:pPr>
          </w:p>
        </w:tc>
        <w:tc>
          <w:tcPr>
            <w:tcW w:w="320" w:type="dxa"/>
            <w:vAlign w:val="bottom"/>
            <w:shd w:val="clear" w:color="auto" w:fill="F0F0F0"/>
          </w:tcPr>
          <w:p>
            <w:pPr>
              <w:spacing w:after="0"/>
              <w:rPr>
                <w:sz w:val="10"/>
                <w:szCs w:val="10"/>
                <w:color w:val="auto"/>
              </w:rPr>
            </w:pPr>
          </w:p>
        </w:tc>
        <w:tc>
          <w:tcPr>
            <w:tcW w:w="1880" w:type="dxa"/>
            <w:vAlign w:val="bottom"/>
            <w:vMerge w:val="continue"/>
            <w:shd w:val="clear" w:color="auto" w:fill="F0F0F0"/>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40" w:type="dxa"/>
            <w:vAlign w:val="bottom"/>
            <w:shd w:val="clear" w:color="auto" w:fill="F0F0F0"/>
          </w:tcPr>
          <w:p>
            <w:pPr>
              <w:spacing w:after="0"/>
              <w:rPr>
                <w:sz w:val="5"/>
                <w:szCs w:val="5"/>
                <w:color w:val="auto"/>
              </w:rPr>
            </w:pPr>
          </w:p>
        </w:tc>
        <w:tc>
          <w:tcPr>
            <w:tcW w:w="1720" w:type="dxa"/>
            <w:vAlign w:val="bottom"/>
            <w:vMerge w:val="continue"/>
            <w:shd w:val="clear" w:color="auto" w:fill="F0F0F0"/>
          </w:tcPr>
          <w:p>
            <w:pPr>
              <w:spacing w:after="0"/>
              <w:rPr>
                <w:sz w:val="5"/>
                <w:szCs w:val="5"/>
                <w:color w:val="auto"/>
              </w:rPr>
            </w:pPr>
          </w:p>
        </w:tc>
        <w:tc>
          <w:tcPr>
            <w:tcW w:w="260" w:type="dxa"/>
            <w:vAlign w:val="bottom"/>
            <w:shd w:val="clear" w:color="auto" w:fill="F0F0F0"/>
          </w:tcPr>
          <w:p>
            <w:pPr>
              <w:spacing w:after="0"/>
              <w:rPr>
                <w:sz w:val="5"/>
                <w:szCs w:val="5"/>
                <w:color w:val="auto"/>
              </w:rPr>
            </w:pPr>
          </w:p>
        </w:tc>
        <w:tc>
          <w:tcPr>
            <w:tcW w:w="1880" w:type="dxa"/>
            <w:vAlign w:val="bottom"/>
            <w:vMerge w:val="continue"/>
            <w:shd w:val="clear" w:color="auto" w:fill="F0F0F0"/>
          </w:tcPr>
          <w:p>
            <w:pPr>
              <w:spacing w:after="0"/>
              <w:rPr>
                <w:sz w:val="5"/>
                <w:szCs w:val="5"/>
                <w:color w:val="auto"/>
              </w:rPr>
            </w:pPr>
          </w:p>
        </w:tc>
        <w:tc>
          <w:tcPr>
            <w:tcW w:w="240" w:type="dxa"/>
            <w:vAlign w:val="bottom"/>
            <w:shd w:val="clear" w:color="auto" w:fill="F0F0F0"/>
          </w:tcPr>
          <w:p>
            <w:pPr>
              <w:spacing w:after="0"/>
              <w:rPr>
                <w:sz w:val="5"/>
                <w:szCs w:val="5"/>
                <w:color w:val="auto"/>
              </w:rPr>
            </w:pP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proxy season</w:t>
            </w:r>
          </w:p>
        </w:tc>
        <w:tc>
          <w:tcPr>
            <w:tcW w:w="320" w:type="dxa"/>
            <w:vAlign w:val="bottom"/>
            <w:shd w:val="clear" w:color="auto" w:fill="F0F0F0"/>
          </w:tcPr>
          <w:p>
            <w:pPr>
              <w:spacing w:after="0"/>
              <w:rPr>
                <w:sz w:val="5"/>
                <w:szCs w:val="5"/>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inform discussions with</w:t>
            </w:r>
          </w:p>
        </w:tc>
        <w:tc>
          <w:tcPr>
            <w:tcW w:w="0" w:type="dxa"/>
            <w:vAlign w:val="bottom"/>
          </w:tcPr>
          <w:p>
            <w:pPr>
              <w:spacing w:after="0"/>
              <w:rPr>
                <w:sz w:val="1"/>
                <w:szCs w:val="1"/>
                <w:color w:val="auto"/>
              </w:rPr>
            </w:pPr>
          </w:p>
        </w:tc>
      </w:tr>
      <w:tr>
        <w:trPr>
          <w:trHeight w:val="93"/>
        </w:trPr>
        <w:tc>
          <w:tcPr>
            <w:tcW w:w="240" w:type="dxa"/>
            <w:vAlign w:val="bottom"/>
            <w:vMerge w:val="restart"/>
            <w:shd w:val="clear" w:color="auto" w:fill="F0F0F0"/>
          </w:tcPr>
          <w:p>
            <w:pPr>
              <w:ind w:left="100"/>
              <w:spacing w:after="0"/>
              <w:rPr>
                <w:sz w:val="20"/>
                <w:szCs w:val="20"/>
                <w:color w:val="auto"/>
              </w:rPr>
            </w:pPr>
            <w:r>
              <w:rPr>
                <w:rFonts w:ascii="Arial" w:cs="Arial" w:eastAsia="Arial" w:hAnsi="Arial"/>
                <w:sz w:val="14"/>
                <w:szCs w:val="14"/>
                <w:b w:val="1"/>
                <w:bCs w:val="1"/>
                <w:color w:val="636466"/>
              </w:rPr>
              <w:t>•</w:t>
            </w: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Publish Annual Report</w:t>
            </w:r>
          </w:p>
        </w:tc>
        <w:tc>
          <w:tcPr>
            <w:tcW w:w="260" w:type="dxa"/>
            <w:vAlign w:val="bottom"/>
            <w:shd w:val="clear" w:color="auto" w:fill="F0F0F0"/>
          </w:tcPr>
          <w:p>
            <w:pPr>
              <w:spacing w:after="0"/>
              <w:rPr>
                <w:sz w:val="8"/>
                <w:szCs w:val="8"/>
                <w:color w:val="auto"/>
              </w:rPr>
            </w:pPr>
          </w:p>
        </w:tc>
        <w:tc>
          <w:tcPr>
            <w:tcW w:w="1880" w:type="dxa"/>
            <w:vAlign w:val="bottom"/>
            <w:shd w:val="clear" w:color="auto" w:fill="F0F0F0"/>
          </w:tcPr>
          <w:p>
            <w:pPr>
              <w:spacing w:after="0"/>
              <w:rPr>
                <w:sz w:val="8"/>
                <w:szCs w:val="8"/>
                <w:color w:val="auto"/>
              </w:rPr>
            </w:pPr>
          </w:p>
        </w:tc>
        <w:tc>
          <w:tcPr>
            <w:tcW w:w="240" w:type="dxa"/>
            <w:vAlign w:val="bottom"/>
            <w:shd w:val="clear" w:color="auto" w:fill="F0F0F0"/>
          </w:tcPr>
          <w:p>
            <w:pPr>
              <w:spacing w:after="0"/>
              <w:rPr>
                <w:sz w:val="8"/>
                <w:szCs w:val="8"/>
                <w:color w:val="auto"/>
              </w:rPr>
            </w:pPr>
          </w:p>
        </w:tc>
        <w:tc>
          <w:tcPr>
            <w:tcW w:w="1820" w:type="dxa"/>
            <w:vAlign w:val="bottom"/>
            <w:vMerge w:val="continue"/>
            <w:shd w:val="clear" w:color="auto" w:fill="F0F0F0"/>
          </w:tcPr>
          <w:p>
            <w:pPr>
              <w:spacing w:after="0"/>
              <w:rPr>
                <w:sz w:val="8"/>
                <w:szCs w:val="8"/>
                <w:color w:val="auto"/>
              </w:rPr>
            </w:pPr>
          </w:p>
        </w:tc>
        <w:tc>
          <w:tcPr>
            <w:tcW w:w="320" w:type="dxa"/>
            <w:vAlign w:val="bottom"/>
            <w:shd w:val="clear" w:color="auto" w:fill="F0F0F0"/>
          </w:tcPr>
          <w:p>
            <w:pPr>
              <w:spacing w:after="0"/>
              <w:rPr>
                <w:sz w:val="8"/>
                <w:szCs w:val="8"/>
                <w:color w:val="auto"/>
              </w:rPr>
            </w:pPr>
          </w:p>
        </w:tc>
        <w:tc>
          <w:tcPr>
            <w:tcW w:w="1880" w:type="dxa"/>
            <w:vAlign w:val="bottom"/>
            <w:vMerge w:val="continue"/>
            <w:shd w:val="clear" w:color="auto" w:fill="F0F0F0"/>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0" w:type="dxa"/>
            <w:vAlign w:val="bottom"/>
            <w:vMerge w:val="continue"/>
            <w:shd w:val="clear" w:color="auto" w:fill="F0F0F0"/>
          </w:tcPr>
          <w:p>
            <w:pPr>
              <w:spacing w:after="0"/>
              <w:rPr>
                <w:sz w:val="9"/>
                <w:szCs w:val="9"/>
                <w:color w:val="auto"/>
              </w:rPr>
            </w:pPr>
          </w:p>
        </w:tc>
        <w:tc>
          <w:tcPr>
            <w:tcW w:w="1720" w:type="dxa"/>
            <w:vAlign w:val="bottom"/>
            <w:vMerge w:val="continue"/>
            <w:shd w:val="clear" w:color="auto" w:fill="F0F0F0"/>
          </w:tcPr>
          <w:p>
            <w:pPr>
              <w:spacing w:after="0"/>
              <w:rPr>
                <w:sz w:val="9"/>
                <w:szCs w:val="9"/>
                <w:color w:val="auto"/>
              </w:rPr>
            </w:pPr>
          </w:p>
        </w:tc>
        <w:tc>
          <w:tcPr>
            <w:tcW w:w="260" w:type="dxa"/>
            <w:vAlign w:val="bottom"/>
            <w:shd w:val="clear" w:color="auto" w:fill="F0F0F0"/>
          </w:tcPr>
          <w:p>
            <w:pPr>
              <w:spacing w:after="0"/>
              <w:rPr>
                <w:sz w:val="9"/>
                <w:szCs w:val="9"/>
                <w:color w:val="auto"/>
              </w:rPr>
            </w:pPr>
          </w:p>
        </w:tc>
        <w:tc>
          <w:tcPr>
            <w:tcW w:w="1880" w:type="dxa"/>
            <w:vAlign w:val="bottom"/>
            <w:shd w:val="clear" w:color="auto" w:fill="F0F0F0"/>
          </w:tcPr>
          <w:p>
            <w:pPr>
              <w:spacing w:after="0"/>
              <w:rPr>
                <w:sz w:val="9"/>
                <w:szCs w:val="9"/>
                <w:color w:val="auto"/>
              </w:rPr>
            </w:pPr>
          </w:p>
        </w:tc>
        <w:tc>
          <w:tcPr>
            <w:tcW w:w="240" w:type="dxa"/>
            <w:vAlign w:val="bottom"/>
            <w:vMerge w:val="restart"/>
            <w:shd w:val="clear" w:color="auto" w:fill="F0F0F0"/>
          </w:tcPr>
          <w:p>
            <w:pPr>
              <w:ind w:left="100"/>
              <w:spacing w:after="0"/>
              <w:rPr>
                <w:sz w:val="20"/>
                <w:szCs w:val="20"/>
                <w:color w:val="auto"/>
              </w:rPr>
            </w:pPr>
            <w:r>
              <w:rPr>
                <w:rFonts w:ascii="Arial" w:cs="Arial" w:eastAsia="Arial" w:hAnsi="Arial"/>
                <w:sz w:val="14"/>
                <w:szCs w:val="14"/>
                <w:b w:val="1"/>
                <w:bCs w:val="1"/>
                <w:color w:val="636466"/>
              </w:rPr>
              <w:t>•</w:t>
            </w: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Internally review</w:t>
            </w:r>
          </w:p>
        </w:tc>
        <w:tc>
          <w:tcPr>
            <w:tcW w:w="320" w:type="dxa"/>
            <w:vAlign w:val="bottom"/>
            <w:shd w:val="clear" w:color="auto" w:fill="F0F0F0"/>
          </w:tcPr>
          <w:p>
            <w:pPr>
              <w:spacing w:after="0"/>
              <w:rPr>
                <w:sz w:val="9"/>
                <w:szCs w:val="9"/>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our Board</w:t>
            </w:r>
          </w:p>
        </w:tc>
        <w:tc>
          <w:tcPr>
            <w:tcW w:w="0" w:type="dxa"/>
            <w:vAlign w:val="bottom"/>
          </w:tcPr>
          <w:p>
            <w:pPr>
              <w:spacing w:after="0"/>
              <w:rPr>
                <w:sz w:val="1"/>
                <w:szCs w:val="1"/>
                <w:color w:val="auto"/>
              </w:rPr>
            </w:pPr>
          </w:p>
        </w:tc>
      </w:tr>
      <w:tr>
        <w:trPr>
          <w:trHeight w:val="82"/>
        </w:trPr>
        <w:tc>
          <w:tcPr>
            <w:tcW w:w="240" w:type="dxa"/>
            <w:vAlign w:val="bottom"/>
            <w:shd w:val="clear" w:color="auto" w:fill="F0F0F0"/>
          </w:tcPr>
          <w:p>
            <w:pPr>
              <w:spacing w:after="0"/>
              <w:rPr>
                <w:sz w:val="7"/>
                <w:szCs w:val="7"/>
                <w:color w:val="auto"/>
              </w:rPr>
            </w:pP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on Form 10-K and</w:t>
            </w:r>
          </w:p>
        </w:tc>
        <w:tc>
          <w:tcPr>
            <w:tcW w:w="260" w:type="dxa"/>
            <w:vAlign w:val="bottom"/>
            <w:shd w:val="clear" w:color="auto" w:fill="F0F0F0"/>
          </w:tcPr>
          <w:p>
            <w:pPr>
              <w:spacing w:after="0"/>
              <w:rPr>
                <w:sz w:val="7"/>
                <w:szCs w:val="7"/>
                <w:color w:val="auto"/>
              </w:rPr>
            </w:pPr>
          </w:p>
        </w:tc>
        <w:tc>
          <w:tcPr>
            <w:tcW w:w="1880" w:type="dxa"/>
            <w:vAlign w:val="bottom"/>
            <w:shd w:val="clear" w:color="auto" w:fill="F0F0F0"/>
          </w:tcPr>
          <w:p>
            <w:pPr>
              <w:spacing w:after="0"/>
              <w:rPr>
                <w:sz w:val="7"/>
                <w:szCs w:val="7"/>
                <w:color w:val="auto"/>
              </w:rPr>
            </w:pPr>
          </w:p>
        </w:tc>
        <w:tc>
          <w:tcPr>
            <w:tcW w:w="240" w:type="dxa"/>
            <w:vAlign w:val="bottom"/>
            <w:vMerge w:val="continue"/>
            <w:shd w:val="clear" w:color="auto" w:fill="F0F0F0"/>
          </w:tcPr>
          <w:p>
            <w:pPr>
              <w:spacing w:after="0"/>
              <w:rPr>
                <w:sz w:val="7"/>
                <w:szCs w:val="7"/>
                <w:color w:val="auto"/>
              </w:rPr>
            </w:pPr>
          </w:p>
        </w:tc>
        <w:tc>
          <w:tcPr>
            <w:tcW w:w="1820" w:type="dxa"/>
            <w:vAlign w:val="bottom"/>
            <w:vMerge w:val="continue"/>
            <w:shd w:val="clear" w:color="auto" w:fill="F0F0F0"/>
          </w:tcPr>
          <w:p>
            <w:pPr>
              <w:spacing w:after="0"/>
              <w:rPr>
                <w:sz w:val="7"/>
                <w:szCs w:val="7"/>
                <w:color w:val="auto"/>
              </w:rPr>
            </w:pPr>
          </w:p>
        </w:tc>
        <w:tc>
          <w:tcPr>
            <w:tcW w:w="320" w:type="dxa"/>
            <w:vAlign w:val="bottom"/>
            <w:shd w:val="clear" w:color="auto" w:fill="F0F0F0"/>
          </w:tcPr>
          <w:p>
            <w:pPr>
              <w:spacing w:after="0"/>
              <w:rPr>
                <w:sz w:val="7"/>
                <w:szCs w:val="7"/>
                <w:color w:val="auto"/>
              </w:rPr>
            </w:pPr>
          </w:p>
        </w:tc>
        <w:tc>
          <w:tcPr>
            <w:tcW w:w="1880" w:type="dxa"/>
            <w:vAlign w:val="bottom"/>
            <w:vMerge w:val="continue"/>
            <w:shd w:val="clear" w:color="auto" w:fill="F0F0F0"/>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240" w:type="dxa"/>
            <w:vAlign w:val="bottom"/>
            <w:shd w:val="clear" w:color="auto" w:fill="F0F0F0"/>
          </w:tcPr>
          <w:p>
            <w:pPr>
              <w:spacing w:after="0"/>
              <w:rPr>
                <w:sz w:val="3"/>
                <w:szCs w:val="3"/>
                <w:color w:val="auto"/>
              </w:rPr>
            </w:pPr>
          </w:p>
        </w:tc>
        <w:tc>
          <w:tcPr>
            <w:tcW w:w="1720" w:type="dxa"/>
            <w:vAlign w:val="bottom"/>
            <w:vMerge w:val="continue"/>
            <w:shd w:val="clear" w:color="auto" w:fill="F0F0F0"/>
          </w:tcPr>
          <w:p>
            <w:pPr>
              <w:spacing w:after="0"/>
              <w:rPr>
                <w:sz w:val="3"/>
                <w:szCs w:val="3"/>
                <w:color w:val="auto"/>
              </w:rPr>
            </w:pPr>
          </w:p>
        </w:tc>
        <w:tc>
          <w:tcPr>
            <w:tcW w:w="260" w:type="dxa"/>
            <w:vAlign w:val="bottom"/>
            <w:shd w:val="clear" w:color="auto" w:fill="F0F0F0"/>
          </w:tcPr>
          <w:p>
            <w:pPr>
              <w:spacing w:after="0"/>
              <w:rPr>
                <w:sz w:val="3"/>
                <w:szCs w:val="3"/>
                <w:color w:val="auto"/>
              </w:rPr>
            </w:pPr>
          </w:p>
        </w:tc>
        <w:tc>
          <w:tcPr>
            <w:tcW w:w="1880" w:type="dxa"/>
            <w:vAlign w:val="bottom"/>
            <w:shd w:val="clear" w:color="auto" w:fill="F0F0F0"/>
          </w:tcPr>
          <w:p>
            <w:pPr>
              <w:spacing w:after="0"/>
              <w:rPr>
                <w:sz w:val="3"/>
                <w:szCs w:val="3"/>
                <w:color w:val="auto"/>
              </w:rPr>
            </w:pPr>
          </w:p>
        </w:tc>
        <w:tc>
          <w:tcPr>
            <w:tcW w:w="240" w:type="dxa"/>
            <w:vAlign w:val="bottom"/>
            <w:vMerge w:val="continue"/>
            <w:shd w:val="clear" w:color="auto" w:fill="F0F0F0"/>
          </w:tcPr>
          <w:p>
            <w:pPr>
              <w:spacing w:after="0"/>
              <w:rPr>
                <w:sz w:val="3"/>
                <w:szCs w:val="3"/>
                <w:color w:val="auto"/>
              </w:rPr>
            </w:pPr>
          </w:p>
        </w:tc>
        <w:tc>
          <w:tcPr>
            <w:tcW w:w="1820" w:type="dxa"/>
            <w:vAlign w:val="bottom"/>
            <w:vMerge w:val="continue"/>
            <w:shd w:val="clear" w:color="auto" w:fill="F0F0F0"/>
          </w:tcPr>
          <w:p>
            <w:pPr>
              <w:spacing w:after="0"/>
              <w:rPr>
                <w:sz w:val="3"/>
                <w:szCs w:val="3"/>
                <w:color w:val="auto"/>
              </w:rPr>
            </w:pPr>
          </w:p>
        </w:tc>
        <w:tc>
          <w:tcPr>
            <w:tcW w:w="320" w:type="dxa"/>
            <w:vAlign w:val="bottom"/>
            <w:shd w:val="clear" w:color="auto" w:fill="F0F0F0"/>
          </w:tcPr>
          <w:p>
            <w:pPr>
              <w:spacing w:after="0"/>
              <w:rPr>
                <w:sz w:val="3"/>
                <w:szCs w:val="3"/>
                <w:color w:val="auto"/>
              </w:rPr>
            </w:pPr>
          </w:p>
        </w:tc>
        <w:tc>
          <w:tcPr>
            <w:tcW w:w="1880" w:type="dxa"/>
            <w:vAlign w:val="bottom"/>
            <w:shd w:val="clear" w:color="auto" w:fill="F0F0F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4"/>
        </w:trPr>
        <w:tc>
          <w:tcPr>
            <w:tcW w:w="240" w:type="dxa"/>
            <w:vAlign w:val="bottom"/>
            <w:shd w:val="clear" w:color="auto" w:fill="F0F0F0"/>
          </w:tcPr>
          <w:p>
            <w:pPr>
              <w:spacing w:after="0"/>
              <w:rPr>
                <w:sz w:val="4"/>
                <w:szCs w:val="4"/>
                <w:color w:val="auto"/>
              </w:rPr>
            </w:pPr>
          </w:p>
        </w:tc>
        <w:tc>
          <w:tcPr>
            <w:tcW w:w="1720" w:type="dxa"/>
            <w:vAlign w:val="bottom"/>
            <w:vMerge w:val="continue"/>
            <w:shd w:val="clear" w:color="auto" w:fill="F0F0F0"/>
          </w:tcPr>
          <w:p>
            <w:pPr>
              <w:spacing w:after="0"/>
              <w:rPr>
                <w:sz w:val="4"/>
                <w:szCs w:val="4"/>
                <w:color w:val="auto"/>
              </w:rPr>
            </w:pPr>
          </w:p>
        </w:tc>
        <w:tc>
          <w:tcPr>
            <w:tcW w:w="260" w:type="dxa"/>
            <w:vAlign w:val="bottom"/>
            <w:shd w:val="clear" w:color="auto" w:fill="F0F0F0"/>
          </w:tcPr>
          <w:p>
            <w:pPr>
              <w:spacing w:after="0"/>
              <w:rPr>
                <w:sz w:val="4"/>
                <w:szCs w:val="4"/>
                <w:color w:val="auto"/>
              </w:rPr>
            </w:pPr>
          </w:p>
        </w:tc>
        <w:tc>
          <w:tcPr>
            <w:tcW w:w="1880" w:type="dxa"/>
            <w:vAlign w:val="bottom"/>
            <w:shd w:val="clear" w:color="auto" w:fill="F0F0F0"/>
          </w:tcPr>
          <w:p>
            <w:pPr>
              <w:spacing w:after="0"/>
              <w:rPr>
                <w:sz w:val="4"/>
                <w:szCs w:val="4"/>
                <w:color w:val="auto"/>
              </w:rPr>
            </w:pPr>
          </w:p>
        </w:tc>
        <w:tc>
          <w:tcPr>
            <w:tcW w:w="240" w:type="dxa"/>
            <w:vAlign w:val="bottom"/>
            <w:shd w:val="clear" w:color="auto" w:fill="F0F0F0"/>
          </w:tcPr>
          <w:p>
            <w:pPr>
              <w:spacing w:after="0"/>
              <w:rPr>
                <w:sz w:val="4"/>
                <w:szCs w:val="4"/>
                <w:color w:val="auto"/>
              </w:rPr>
            </w:pP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corporate governance</w:t>
            </w:r>
          </w:p>
        </w:tc>
        <w:tc>
          <w:tcPr>
            <w:tcW w:w="320" w:type="dxa"/>
            <w:vAlign w:val="bottom"/>
            <w:vMerge w:val="restart"/>
            <w:shd w:val="clear" w:color="auto" w:fill="F0F0F0"/>
          </w:tcPr>
          <w:p>
            <w:pPr>
              <w:ind w:left="180"/>
              <w:spacing w:after="0"/>
              <w:rPr>
                <w:sz w:val="20"/>
                <w:szCs w:val="20"/>
                <w:color w:val="auto"/>
              </w:rPr>
            </w:pPr>
            <w:r>
              <w:rPr>
                <w:rFonts w:ascii="Arial" w:cs="Arial" w:eastAsia="Arial" w:hAnsi="Arial"/>
                <w:sz w:val="14"/>
                <w:szCs w:val="14"/>
                <w:b w:val="1"/>
                <w:bCs w:val="1"/>
                <w:color w:val="636466"/>
              </w:rPr>
              <w:t>•</w:t>
            </w: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Internally evaluate our</w:t>
            </w:r>
          </w:p>
        </w:tc>
        <w:tc>
          <w:tcPr>
            <w:tcW w:w="0" w:type="dxa"/>
            <w:vAlign w:val="bottom"/>
          </w:tcPr>
          <w:p>
            <w:pPr>
              <w:spacing w:after="0"/>
              <w:rPr>
                <w:sz w:val="1"/>
                <w:szCs w:val="1"/>
                <w:color w:val="auto"/>
              </w:rPr>
            </w:pPr>
          </w:p>
        </w:tc>
      </w:tr>
      <w:tr>
        <w:trPr>
          <w:trHeight w:val="122"/>
        </w:trPr>
        <w:tc>
          <w:tcPr>
            <w:tcW w:w="240" w:type="dxa"/>
            <w:vAlign w:val="bottom"/>
            <w:shd w:val="clear" w:color="auto" w:fill="F0F0F0"/>
          </w:tcPr>
          <w:p>
            <w:pPr>
              <w:spacing w:after="0"/>
              <w:rPr>
                <w:sz w:val="10"/>
                <w:szCs w:val="10"/>
                <w:color w:val="auto"/>
              </w:rPr>
            </w:pP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proxy statement,</w:t>
            </w:r>
          </w:p>
        </w:tc>
        <w:tc>
          <w:tcPr>
            <w:tcW w:w="260" w:type="dxa"/>
            <w:vAlign w:val="bottom"/>
            <w:shd w:val="clear" w:color="auto" w:fill="F0F0F0"/>
          </w:tcPr>
          <w:p>
            <w:pPr>
              <w:spacing w:after="0"/>
              <w:rPr>
                <w:sz w:val="10"/>
                <w:szCs w:val="10"/>
                <w:color w:val="auto"/>
              </w:rPr>
            </w:pPr>
          </w:p>
        </w:tc>
        <w:tc>
          <w:tcPr>
            <w:tcW w:w="1880" w:type="dxa"/>
            <w:vAlign w:val="bottom"/>
            <w:shd w:val="clear" w:color="auto" w:fill="F0F0F0"/>
          </w:tcPr>
          <w:p>
            <w:pPr>
              <w:spacing w:after="0"/>
              <w:rPr>
                <w:sz w:val="10"/>
                <w:szCs w:val="10"/>
                <w:color w:val="auto"/>
              </w:rPr>
            </w:pPr>
          </w:p>
        </w:tc>
        <w:tc>
          <w:tcPr>
            <w:tcW w:w="240" w:type="dxa"/>
            <w:vAlign w:val="bottom"/>
            <w:shd w:val="clear" w:color="auto" w:fill="F0F0F0"/>
          </w:tcPr>
          <w:p>
            <w:pPr>
              <w:spacing w:after="0"/>
              <w:rPr>
                <w:sz w:val="10"/>
                <w:szCs w:val="10"/>
                <w:color w:val="auto"/>
              </w:rPr>
            </w:pPr>
          </w:p>
        </w:tc>
        <w:tc>
          <w:tcPr>
            <w:tcW w:w="1820" w:type="dxa"/>
            <w:vAlign w:val="bottom"/>
            <w:vMerge w:val="continue"/>
            <w:shd w:val="clear" w:color="auto" w:fill="F0F0F0"/>
          </w:tcPr>
          <w:p>
            <w:pPr>
              <w:spacing w:after="0"/>
              <w:rPr>
                <w:sz w:val="10"/>
                <w:szCs w:val="10"/>
                <w:color w:val="auto"/>
              </w:rPr>
            </w:pPr>
          </w:p>
        </w:tc>
        <w:tc>
          <w:tcPr>
            <w:tcW w:w="320" w:type="dxa"/>
            <w:vAlign w:val="bottom"/>
            <w:vMerge w:val="continue"/>
            <w:shd w:val="clear" w:color="auto" w:fill="F0F0F0"/>
          </w:tcPr>
          <w:p>
            <w:pPr>
              <w:spacing w:after="0"/>
              <w:rPr>
                <w:sz w:val="10"/>
                <w:szCs w:val="10"/>
                <w:color w:val="auto"/>
              </w:rPr>
            </w:pPr>
          </w:p>
        </w:tc>
        <w:tc>
          <w:tcPr>
            <w:tcW w:w="1880" w:type="dxa"/>
            <w:vAlign w:val="bottom"/>
            <w:vMerge w:val="continue"/>
            <w:shd w:val="clear" w:color="auto" w:fill="F0F0F0"/>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40" w:type="dxa"/>
            <w:vAlign w:val="bottom"/>
            <w:shd w:val="clear" w:color="auto" w:fill="F0F0F0"/>
          </w:tcPr>
          <w:p>
            <w:pPr>
              <w:spacing w:after="0"/>
              <w:rPr>
                <w:sz w:val="4"/>
                <w:szCs w:val="4"/>
                <w:color w:val="auto"/>
              </w:rPr>
            </w:pPr>
          </w:p>
        </w:tc>
        <w:tc>
          <w:tcPr>
            <w:tcW w:w="1720" w:type="dxa"/>
            <w:vAlign w:val="bottom"/>
            <w:vMerge w:val="continue"/>
            <w:shd w:val="clear" w:color="auto" w:fill="F0F0F0"/>
          </w:tcPr>
          <w:p>
            <w:pPr>
              <w:spacing w:after="0"/>
              <w:rPr>
                <w:sz w:val="4"/>
                <w:szCs w:val="4"/>
                <w:color w:val="auto"/>
              </w:rPr>
            </w:pPr>
          </w:p>
        </w:tc>
        <w:tc>
          <w:tcPr>
            <w:tcW w:w="260" w:type="dxa"/>
            <w:vAlign w:val="bottom"/>
            <w:shd w:val="clear" w:color="auto" w:fill="F0F0F0"/>
          </w:tcPr>
          <w:p>
            <w:pPr>
              <w:spacing w:after="0"/>
              <w:rPr>
                <w:sz w:val="4"/>
                <w:szCs w:val="4"/>
                <w:color w:val="auto"/>
              </w:rPr>
            </w:pPr>
          </w:p>
        </w:tc>
        <w:tc>
          <w:tcPr>
            <w:tcW w:w="1880" w:type="dxa"/>
            <w:vAlign w:val="bottom"/>
            <w:shd w:val="clear" w:color="auto" w:fill="F0F0F0"/>
          </w:tcPr>
          <w:p>
            <w:pPr>
              <w:spacing w:after="0"/>
              <w:rPr>
                <w:sz w:val="4"/>
                <w:szCs w:val="4"/>
                <w:color w:val="auto"/>
              </w:rPr>
            </w:pPr>
          </w:p>
        </w:tc>
        <w:tc>
          <w:tcPr>
            <w:tcW w:w="240" w:type="dxa"/>
            <w:vAlign w:val="bottom"/>
            <w:shd w:val="clear" w:color="auto" w:fill="F0F0F0"/>
          </w:tcPr>
          <w:p>
            <w:pPr>
              <w:spacing w:after="0"/>
              <w:rPr>
                <w:sz w:val="4"/>
                <w:szCs w:val="4"/>
                <w:color w:val="auto"/>
              </w:rPr>
            </w:pP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trends, recent regulatory</w:t>
            </w:r>
          </w:p>
        </w:tc>
        <w:tc>
          <w:tcPr>
            <w:tcW w:w="320" w:type="dxa"/>
            <w:vAlign w:val="bottom"/>
            <w:shd w:val="clear" w:color="auto" w:fill="F0F0F0"/>
          </w:tcPr>
          <w:p>
            <w:pPr>
              <w:spacing w:after="0"/>
              <w:rPr>
                <w:sz w:val="4"/>
                <w:szCs w:val="4"/>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Board composition,</w:t>
            </w:r>
          </w:p>
        </w:tc>
        <w:tc>
          <w:tcPr>
            <w:tcW w:w="0" w:type="dxa"/>
            <w:vAlign w:val="bottom"/>
          </w:tcPr>
          <w:p>
            <w:pPr>
              <w:spacing w:after="0"/>
              <w:rPr>
                <w:sz w:val="1"/>
                <w:szCs w:val="1"/>
                <w:color w:val="auto"/>
              </w:rPr>
            </w:pPr>
          </w:p>
        </w:tc>
      </w:tr>
      <w:tr>
        <w:trPr>
          <w:trHeight w:val="121"/>
        </w:trPr>
        <w:tc>
          <w:tcPr>
            <w:tcW w:w="240" w:type="dxa"/>
            <w:vAlign w:val="bottom"/>
            <w:shd w:val="clear" w:color="auto" w:fill="F0F0F0"/>
          </w:tcPr>
          <w:p>
            <w:pPr>
              <w:spacing w:after="0"/>
              <w:rPr>
                <w:sz w:val="10"/>
                <w:szCs w:val="10"/>
                <w:color w:val="auto"/>
              </w:rPr>
            </w:pP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highlighting recent</w:t>
            </w:r>
          </w:p>
        </w:tc>
        <w:tc>
          <w:tcPr>
            <w:tcW w:w="260" w:type="dxa"/>
            <w:vAlign w:val="bottom"/>
            <w:shd w:val="clear" w:color="auto" w:fill="F0F0F0"/>
          </w:tcPr>
          <w:p>
            <w:pPr>
              <w:spacing w:after="0"/>
              <w:rPr>
                <w:sz w:val="10"/>
                <w:szCs w:val="10"/>
                <w:color w:val="auto"/>
              </w:rPr>
            </w:pPr>
          </w:p>
        </w:tc>
        <w:tc>
          <w:tcPr>
            <w:tcW w:w="1880" w:type="dxa"/>
            <w:vAlign w:val="bottom"/>
            <w:shd w:val="clear" w:color="auto" w:fill="F0F0F0"/>
          </w:tcPr>
          <w:p>
            <w:pPr>
              <w:spacing w:after="0"/>
              <w:rPr>
                <w:sz w:val="10"/>
                <w:szCs w:val="10"/>
                <w:color w:val="auto"/>
              </w:rPr>
            </w:pPr>
          </w:p>
        </w:tc>
        <w:tc>
          <w:tcPr>
            <w:tcW w:w="240" w:type="dxa"/>
            <w:vAlign w:val="bottom"/>
            <w:shd w:val="clear" w:color="auto" w:fill="F0F0F0"/>
          </w:tcPr>
          <w:p>
            <w:pPr>
              <w:spacing w:after="0"/>
              <w:rPr>
                <w:sz w:val="10"/>
                <w:szCs w:val="10"/>
                <w:color w:val="auto"/>
              </w:rPr>
            </w:pPr>
          </w:p>
        </w:tc>
        <w:tc>
          <w:tcPr>
            <w:tcW w:w="1820" w:type="dxa"/>
            <w:vAlign w:val="bottom"/>
            <w:vMerge w:val="continue"/>
            <w:shd w:val="clear" w:color="auto" w:fill="F0F0F0"/>
          </w:tcPr>
          <w:p>
            <w:pPr>
              <w:spacing w:after="0"/>
              <w:rPr>
                <w:sz w:val="10"/>
                <w:szCs w:val="10"/>
                <w:color w:val="auto"/>
              </w:rPr>
            </w:pPr>
          </w:p>
        </w:tc>
        <w:tc>
          <w:tcPr>
            <w:tcW w:w="320" w:type="dxa"/>
            <w:vAlign w:val="bottom"/>
            <w:shd w:val="clear" w:color="auto" w:fill="F0F0F0"/>
          </w:tcPr>
          <w:p>
            <w:pPr>
              <w:spacing w:after="0"/>
              <w:rPr>
                <w:sz w:val="10"/>
                <w:szCs w:val="10"/>
                <w:color w:val="auto"/>
              </w:rPr>
            </w:pPr>
          </w:p>
        </w:tc>
        <w:tc>
          <w:tcPr>
            <w:tcW w:w="1880" w:type="dxa"/>
            <w:vAlign w:val="bottom"/>
            <w:vMerge w:val="continue"/>
            <w:shd w:val="clear" w:color="auto" w:fill="F0F0F0"/>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40" w:type="dxa"/>
            <w:vAlign w:val="bottom"/>
            <w:shd w:val="clear" w:color="auto" w:fill="F0F0F0"/>
          </w:tcPr>
          <w:p>
            <w:pPr>
              <w:spacing w:after="0"/>
              <w:rPr>
                <w:sz w:val="4"/>
                <w:szCs w:val="4"/>
                <w:color w:val="auto"/>
              </w:rPr>
            </w:pPr>
          </w:p>
        </w:tc>
        <w:tc>
          <w:tcPr>
            <w:tcW w:w="1720" w:type="dxa"/>
            <w:vAlign w:val="bottom"/>
            <w:vMerge w:val="continue"/>
            <w:shd w:val="clear" w:color="auto" w:fill="F0F0F0"/>
          </w:tcPr>
          <w:p>
            <w:pPr>
              <w:spacing w:after="0"/>
              <w:rPr>
                <w:sz w:val="4"/>
                <w:szCs w:val="4"/>
                <w:color w:val="auto"/>
              </w:rPr>
            </w:pPr>
          </w:p>
        </w:tc>
        <w:tc>
          <w:tcPr>
            <w:tcW w:w="260" w:type="dxa"/>
            <w:vAlign w:val="bottom"/>
            <w:shd w:val="clear" w:color="auto" w:fill="F0F0F0"/>
          </w:tcPr>
          <w:p>
            <w:pPr>
              <w:spacing w:after="0"/>
              <w:rPr>
                <w:sz w:val="4"/>
                <w:szCs w:val="4"/>
                <w:color w:val="auto"/>
              </w:rPr>
            </w:pPr>
          </w:p>
        </w:tc>
        <w:tc>
          <w:tcPr>
            <w:tcW w:w="1880" w:type="dxa"/>
            <w:vAlign w:val="bottom"/>
            <w:shd w:val="clear" w:color="auto" w:fill="F0F0F0"/>
          </w:tcPr>
          <w:p>
            <w:pPr>
              <w:spacing w:after="0"/>
              <w:rPr>
                <w:sz w:val="4"/>
                <w:szCs w:val="4"/>
                <w:color w:val="auto"/>
              </w:rPr>
            </w:pPr>
          </w:p>
        </w:tc>
        <w:tc>
          <w:tcPr>
            <w:tcW w:w="240" w:type="dxa"/>
            <w:vAlign w:val="bottom"/>
            <w:shd w:val="clear" w:color="auto" w:fill="F0F0F0"/>
          </w:tcPr>
          <w:p>
            <w:pPr>
              <w:spacing w:after="0"/>
              <w:rPr>
                <w:sz w:val="4"/>
                <w:szCs w:val="4"/>
                <w:color w:val="auto"/>
              </w:rPr>
            </w:pP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developments, and our</w:t>
            </w:r>
          </w:p>
        </w:tc>
        <w:tc>
          <w:tcPr>
            <w:tcW w:w="320" w:type="dxa"/>
            <w:vAlign w:val="bottom"/>
            <w:shd w:val="clear" w:color="auto" w:fill="F0F0F0"/>
          </w:tcPr>
          <w:p>
            <w:pPr>
              <w:spacing w:after="0"/>
              <w:rPr>
                <w:sz w:val="4"/>
                <w:szCs w:val="4"/>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governance or executive</w:t>
            </w:r>
          </w:p>
        </w:tc>
        <w:tc>
          <w:tcPr>
            <w:tcW w:w="0" w:type="dxa"/>
            <w:vAlign w:val="bottom"/>
          </w:tcPr>
          <w:p>
            <w:pPr>
              <w:spacing w:after="0"/>
              <w:rPr>
                <w:sz w:val="1"/>
                <w:szCs w:val="1"/>
                <w:color w:val="auto"/>
              </w:rPr>
            </w:pPr>
          </w:p>
        </w:tc>
      </w:tr>
      <w:tr>
        <w:trPr>
          <w:trHeight w:val="121"/>
        </w:trPr>
        <w:tc>
          <w:tcPr>
            <w:tcW w:w="240" w:type="dxa"/>
            <w:vAlign w:val="bottom"/>
            <w:shd w:val="clear" w:color="auto" w:fill="F0F0F0"/>
          </w:tcPr>
          <w:p>
            <w:pPr>
              <w:spacing w:after="0"/>
              <w:rPr>
                <w:sz w:val="10"/>
                <w:szCs w:val="10"/>
                <w:color w:val="auto"/>
              </w:rPr>
            </w:pP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Board and Company</w:t>
            </w:r>
          </w:p>
        </w:tc>
        <w:tc>
          <w:tcPr>
            <w:tcW w:w="260" w:type="dxa"/>
            <w:vAlign w:val="bottom"/>
            <w:shd w:val="clear" w:color="auto" w:fill="F0F0F0"/>
          </w:tcPr>
          <w:p>
            <w:pPr>
              <w:spacing w:after="0"/>
              <w:rPr>
                <w:sz w:val="10"/>
                <w:szCs w:val="10"/>
                <w:color w:val="auto"/>
              </w:rPr>
            </w:pPr>
          </w:p>
        </w:tc>
        <w:tc>
          <w:tcPr>
            <w:tcW w:w="1880" w:type="dxa"/>
            <w:vAlign w:val="bottom"/>
            <w:shd w:val="clear" w:color="auto" w:fill="F0F0F0"/>
          </w:tcPr>
          <w:p>
            <w:pPr>
              <w:spacing w:after="0"/>
              <w:rPr>
                <w:sz w:val="10"/>
                <w:szCs w:val="10"/>
                <w:color w:val="auto"/>
              </w:rPr>
            </w:pPr>
          </w:p>
        </w:tc>
        <w:tc>
          <w:tcPr>
            <w:tcW w:w="240" w:type="dxa"/>
            <w:vAlign w:val="bottom"/>
            <w:shd w:val="clear" w:color="auto" w:fill="F0F0F0"/>
          </w:tcPr>
          <w:p>
            <w:pPr>
              <w:spacing w:after="0"/>
              <w:rPr>
                <w:sz w:val="10"/>
                <w:szCs w:val="10"/>
                <w:color w:val="auto"/>
              </w:rPr>
            </w:pPr>
          </w:p>
        </w:tc>
        <w:tc>
          <w:tcPr>
            <w:tcW w:w="1820" w:type="dxa"/>
            <w:vAlign w:val="bottom"/>
            <w:vMerge w:val="continue"/>
            <w:shd w:val="clear" w:color="auto" w:fill="F0F0F0"/>
          </w:tcPr>
          <w:p>
            <w:pPr>
              <w:spacing w:after="0"/>
              <w:rPr>
                <w:sz w:val="10"/>
                <w:szCs w:val="10"/>
                <w:color w:val="auto"/>
              </w:rPr>
            </w:pPr>
          </w:p>
        </w:tc>
        <w:tc>
          <w:tcPr>
            <w:tcW w:w="320" w:type="dxa"/>
            <w:vAlign w:val="bottom"/>
            <w:shd w:val="clear" w:color="auto" w:fill="F0F0F0"/>
          </w:tcPr>
          <w:p>
            <w:pPr>
              <w:spacing w:after="0"/>
              <w:rPr>
                <w:sz w:val="10"/>
                <w:szCs w:val="10"/>
                <w:color w:val="auto"/>
              </w:rPr>
            </w:pPr>
          </w:p>
        </w:tc>
        <w:tc>
          <w:tcPr>
            <w:tcW w:w="1880" w:type="dxa"/>
            <w:vAlign w:val="bottom"/>
            <w:vMerge w:val="continue"/>
            <w:shd w:val="clear" w:color="auto" w:fill="F0F0F0"/>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40" w:type="dxa"/>
            <w:vAlign w:val="bottom"/>
            <w:shd w:val="clear" w:color="auto" w:fill="F0F0F0"/>
          </w:tcPr>
          <w:p>
            <w:pPr>
              <w:spacing w:after="0"/>
              <w:rPr>
                <w:sz w:val="4"/>
                <w:szCs w:val="4"/>
                <w:color w:val="auto"/>
              </w:rPr>
            </w:pPr>
          </w:p>
        </w:tc>
        <w:tc>
          <w:tcPr>
            <w:tcW w:w="1720" w:type="dxa"/>
            <w:vAlign w:val="bottom"/>
            <w:vMerge w:val="continue"/>
            <w:shd w:val="clear" w:color="auto" w:fill="F0F0F0"/>
          </w:tcPr>
          <w:p>
            <w:pPr>
              <w:spacing w:after="0"/>
              <w:rPr>
                <w:sz w:val="4"/>
                <w:szCs w:val="4"/>
                <w:color w:val="auto"/>
              </w:rPr>
            </w:pPr>
          </w:p>
        </w:tc>
        <w:tc>
          <w:tcPr>
            <w:tcW w:w="260" w:type="dxa"/>
            <w:vAlign w:val="bottom"/>
            <w:shd w:val="clear" w:color="auto" w:fill="F0F0F0"/>
          </w:tcPr>
          <w:p>
            <w:pPr>
              <w:spacing w:after="0"/>
              <w:rPr>
                <w:sz w:val="4"/>
                <w:szCs w:val="4"/>
                <w:color w:val="auto"/>
              </w:rPr>
            </w:pPr>
          </w:p>
        </w:tc>
        <w:tc>
          <w:tcPr>
            <w:tcW w:w="1880" w:type="dxa"/>
            <w:vAlign w:val="bottom"/>
            <w:shd w:val="clear" w:color="auto" w:fill="F0F0F0"/>
          </w:tcPr>
          <w:p>
            <w:pPr>
              <w:spacing w:after="0"/>
              <w:rPr>
                <w:sz w:val="4"/>
                <w:szCs w:val="4"/>
                <w:color w:val="auto"/>
              </w:rPr>
            </w:pPr>
          </w:p>
        </w:tc>
        <w:tc>
          <w:tcPr>
            <w:tcW w:w="240" w:type="dxa"/>
            <w:vAlign w:val="bottom"/>
            <w:shd w:val="clear" w:color="auto" w:fill="F0F0F0"/>
          </w:tcPr>
          <w:p>
            <w:pPr>
              <w:spacing w:after="0"/>
              <w:rPr>
                <w:sz w:val="4"/>
                <w:szCs w:val="4"/>
                <w:color w:val="auto"/>
              </w:rPr>
            </w:pP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own policies and</w:t>
            </w:r>
          </w:p>
        </w:tc>
        <w:tc>
          <w:tcPr>
            <w:tcW w:w="320" w:type="dxa"/>
            <w:vAlign w:val="bottom"/>
            <w:shd w:val="clear" w:color="auto" w:fill="F0F0F0"/>
          </w:tcPr>
          <w:p>
            <w:pPr>
              <w:spacing w:after="0"/>
              <w:rPr>
                <w:sz w:val="4"/>
                <w:szCs w:val="4"/>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compensation practices</w:t>
            </w:r>
          </w:p>
        </w:tc>
        <w:tc>
          <w:tcPr>
            <w:tcW w:w="0" w:type="dxa"/>
            <w:vAlign w:val="bottom"/>
          </w:tcPr>
          <w:p>
            <w:pPr>
              <w:spacing w:after="0"/>
              <w:rPr>
                <w:sz w:val="1"/>
                <w:szCs w:val="1"/>
                <w:color w:val="auto"/>
              </w:rPr>
            </w:pPr>
          </w:p>
        </w:tc>
      </w:tr>
      <w:tr>
        <w:trPr>
          <w:trHeight w:val="108"/>
        </w:trPr>
        <w:tc>
          <w:tcPr>
            <w:tcW w:w="240" w:type="dxa"/>
            <w:vAlign w:val="bottom"/>
            <w:shd w:val="clear" w:color="auto" w:fill="F0F0F0"/>
          </w:tcPr>
          <w:p>
            <w:pPr>
              <w:spacing w:after="0"/>
              <w:rPr>
                <w:sz w:val="9"/>
                <w:szCs w:val="9"/>
                <w:color w:val="auto"/>
              </w:rPr>
            </w:pPr>
          </w:p>
        </w:tc>
        <w:tc>
          <w:tcPr>
            <w:tcW w:w="17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activities</w:t>
            </w:r>
          </w:p>
        </w:tc>
        <w:tc>
          <w:tcPr>
            <w:tcW w:w="260" w:type="dxa"/>
            <w:vAlign w:val="bottom"/>
            <w:shd w:val="clear" w:color="auto" w:fill="F0F0F0"/>
          </w:tcPr>
          <w:p>
            <w:pPr>
              <w:spacing w:after="0"/>
              <w:rPr>
                <w:sz w:val="9"/>
                <w:szCs w:val="9"/>
                <w:color w:val="auto"/>
              </w:rPr>
            </w:pPr>
          </w:p>
        </w:tc>
        <w:tc>
          <w:tcPr>
            <w:tcW w:w="1880" w:type="dxa"/>
            <w:vAlign w:val="bottom"/>
            <w:shd w:val="clear" w:color="auto" w:fill="F0F0F0"/>
          </w:tcPr>
          <w:p>
            <w:pPr>
              <w:spacing w:after="0"/>
              <w:rPr>
                <w:sz w:val="9"/>
                <w:szCs w:val="9"/>
                <w:color w:val="auto"/>
              </w:rPr>
            </w:pPr>
          </w:p>
        </w:tc>
        <w:tc>
          <w:tcPr>
            <w:tcW w:w="240" w:type="dxa"/>
            <w:vAlign w:val="bottom"/>
            <w:shd w:val="clear" w:color="auto" w:fill="F0F0F0"/>
          </w:tcPr>
          <w:p>
            <w:pPr>
              <w:spacing w:after="0"/>
              <w:rPr>
                <w:sz w:val="9"/>
                <w:szCs w:val="9"/>
                <w:color w:val="auto"/>
              </w:rPr>
            </w:pPr>
          </w:p>
        </w:tc>
        <w:tc>
          <w:tcPr>
            <w:tcW w:w="1820" w:type="dxa"/>
            <w:vAlign w:val="bottom"/>
            <w:vMerge w:val="continue"/>
            <w:shd w:val="clear" w:color="auto" w:fill="F0F0F0"/>
          </w:tcPr>
          <w:p>
            <w:pPr>
              <w:spacing w:after="0"/>
              <w:rPr>
                <w:sz w:val="9"/>
                <w:szCs w:val="9"/>
                <w:color w:val="auto"/>
              </w:rPr>
            </w:pPr>
          </w:p>
        </w:tc>
        <w:tc>
          <w:tcPr>
            <w:tcW w:w="320" w:type="dxa"/>
            <w:vAlign w:val="bottom"/>
            <w:shd w:val="clear" w:color="auto" w:fill="F0F0F0"/>
          </w:tcPr>
          <w:p>
            <w:pPr>
              <w:spacing w:after="0"/>
              <w:rPr>
                <w:sz w:val="9"/>
                <w:szCs w:val="9"/>
                <w:color w:val="auto"/>
              </w:rPr>
            </w:pPr>
          </w:p>
        </w:tc>
        <w:tc>
          <w:tcPr>
            <w:tcW w:w="1880" w:type="dxa"/>
            <w:vAlign w:val="bottom"/>
            <w:vMerge w:val="continue"/>
            <w:shd w:val="clear" w:color="auto" w:fill="F0F0F0"/>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40" w:type="dxa"/>
            <w:vAlign w:val="bottom"/>
            <w:shd w:val="clear" w:color="auto" w:fill="F0F0F0"/>
          </w:tcPr>
          <w:p>
            <w:pPr>
              <w:spacing w:after="0"/>
              <w:rPr>
                <w:sz w:val="7"/>
                <w:szCs w:val="7"/>
                <w:color w:val="auto"/>
              </w:rPr>
            </w:pPr>
          </w:p>
        </w:tc>
        <w:tc>
          <w:tcPr>
            <w:tcW w:w="1720" w:type="dxa"/>
            <w:vAlign w:val="bottom"/>
            <w:vMerge w:val="continue"/>
            <w:shd w:val="clear" w:color="auto" w:fill="F0F0F0"/>
          </w:tcPr>
          <w:p>
            <w:pPr>
              <w:spacing w:after="0"/>
              <w:rPr>
                <w:sz w:val="7"/>
                <w:szCs w:val="7"/>
                <w:color w:val="auto"/>
              </w:rPr>
            </w:pPr>
          </w:p>
        </w:tc>
        <w:tc>
          <w:tcPr>
            <w:tcW w:w="260" w:type="dxa"/>
            <w:vAlign w:val="bottom"/>
            <w:shd w:val="clear" w:color="auto" w:fill="F0F0F0"/>
          </w:tcPr>
          <w:p>
            <w:pPr>
              <w:spacing w:after="0"/>
              <w:rPr>
                <w:sz w:val="7"/>
                <w:szCs w:val="7"/>
                <w:color w:val="auto"/>
              </w:rPr>
            </w:pPr>
          </w:p>
        </w:tc>
        <w:tc>
          <w:tcPr>
            <w:tcW w:w="1880" w:type="dxa"/>
            <w:vAlign w:val="bottom"/>
            <w:shd w:val="clear" w:color="auto" w:fill="F0F0F0"/>
          </w:tcPr>
          <w:p>
            <w:pPr>
              <w:spacing w:after="0"/>
              <w:rPr>
                <w:sz w:val="7"/>
                <w:szCs w:val="7"/>
                <w:color w:val="auto"/>
              </w:rPr>
            </w:pPr>
          </w:p>
        </w:tc>
        <w:tc>
          <w:tcPr>
            <w:tcW w:w="240" w:type="dxa"/>
            <w:vAlign w:val="bottom"/>
            <w:shd w:val="clear" w:color="auto" w:fill="F0F0F0"/>
          </w:tcPr>
          <w:p>
            <w:pPr>
              <w:spacing w:after="0"/>
              <w:rPr>
                <w:sz w:val="7"/>
                <w:szCs w:val="7"/>
                <w:color w:val="auto"/>
              </w:rPr>
            </w:pPr>
          </w:p>
        </w:tc>
        <w:tc>
          <w:tcPr>
            <w:tcW w:w="18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procedures</w:t>
            </w:r>
          </w:p>
        </w:tc>
        <w:tc>
          <w:tcPr>
            <w:tcW w:w="320" w:type="dxa"/>
            <w:vAlign w:val="bottom"/>
            <w:shd w:val="clear" w:color="auto" w:fill="F0F0F0"/>
          </w:tcPr>
          <w:p>
            <w:pPr>
              <w:spacing w:after="0"/>
              <w:rPr>
                <w:sz w:val="7"/>
                <w:szCs w:val="7"/>
                <w:color w:val="auto"/>
              </w:rPr>
            </w:pPr>
          </w:p>
        </w:tc>
        <w:tc>
          <w:tcPr>
            <w:tcW w:w="188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636466"/>
              </w:rPr>
              <w:t>in light of shareholder</w:t>
            </w:r>
          </w:p>
        </w:tc>
        <w:tc>
          <w:tcPr>
            <w:tcW w:w="0" w:type="dxa"/>
            <w:vAlign w:val="bottom"/>
          </w:tcPr>
          <w:p>
            <w:pPr>
              <w:spacing w:after="0"/>
              <w:rPr>
                <w:sz w:val="1"/>
                <w:szCs w:val="1"/>
                <w:color w:val="auto"/>
              </w:rPr>
            </w:pPr>
          </w:p>
        </w:tc>
      </w:tr>
      <w:tr>
        <w:trPr>
          <w:trHeight w:val="93"/>
        </w:trPr>
        <w:tc>
          <w:tcPr>
            <w:tcW w:w="240" w:type="dxa"/>
            <w:vAlign w:val="bottom"/>
            <w:shd w:val="clear" w:color="auto" w:fill="F0F0F0"/>
          </w:tcPr>
          <w:p>
            <w:pPr>
              <w:spacing w:after="0"/>
              <w:rPr>
                <w:sz w:val="8"/>
                <w:szCs w:val="8"/>
                <w:color w:val="auto"/>
              </w:rPr>
            </w:pPr>
          </w:p>
        </w:tc>
        <w:tc>
          <w:tcPr>
            <w:tcW w:w="1720" w:type="dxa"/>
            <w:vAlign w:val="bottom"/>
            <w:shd w:val="clear" w:color="auto" w:fill="F0F0F0"/>
          </w:tcPr>
          <w:p>
            <w:pPr>
              <w:spacing w:after="0"/>
              <w:rPr>
                <w:sz w:val="8"/>
                <w:szCs w:val="8"/>
                <w:color w:val="auto"/>
              </w:rPr>
            </w:pPr>
          </w:p>
        </w:tc>
        <w:tc>
          <w:tcPr>
            <w:tcW w:w="260" w:type="dxa"/>
            <w:vAlign w:val="bottom"/>
            <w:shd w:val="clear" w:color="auto" w:fill="F0F0F0"/>
          </w:tcPr>
          <w:p>
            <w:pPr>
              <w:spacing w:after="0"/>
              <w:rPr>
                <w:sz w:val="8"/>
                <w:szCs w:val="8"/>
                <w:color w:val="auto"/>
              </w:rPr>
            </w:pPr>
          </w:p>
        </w:tc>
        <w:tc>
          <w:tcPr>
            <w:tcW w:w="1880" w:type="dxa"/>
            <w:vAlign w:val="bottom"/>
            <w:shd w:val="clear" w:color="auto" w:fill="F0F0F0"/>
          </w:tcPr>
          <w:p>
            <w:pPr>
              <w:spacing w:after="0"/>
              <w:rPr>
                <w:sz w:val="8"/>
                <w:szCs w:val="8"/>
                <w:color w:val="auto"/>
              </w:rPr>
            </w:pPr>
          </w:p>
        </w:tc>
        <w:tc>
          <w:tcPr>
            <w:tcW w:w="240" w:type="dxa"/>
            <w:vAlign w:val="bottom"/>
            <w:shd w:val="clear" w:color="auto" w:fill="F0F0F0"/>
          </w:tcPr>
          <w:p>
            <w:pPr>
              <w:spacing w:after="0"/>
              <w:rPr>
                <w:sz w:val="8"/>
                <w:szCs w:val="8"/>
                <w:color w:val="auto"/>
              </w:rPr>
            </w:pPr>
          </w:p>
        </w:tc>
        <w:tc>
          <w:tcPr>
            <w:tcW w:w="1820" w:type="dxa"/>
            <w:vAlign w:val="bottom"/>
            <w:vMerge w:val="continue"/>
            <w:shd w:val="clear" w:color="auto" w:fill="F0F0F0"/>
          </w:tcPr>
          <w:p>
            <w:pPr>
              <w:spacing w:after="0"/>
              <w:rPr>
                <w:sz w:val="8"/>
                <w:szCs w:val="8"/>
                <w:color w:val="auto"/>
              </w:rPr>
            </w:pPr>
          </w:p>
        </w:tc>
        <w:tc>
          <w:tcPr>
            <w:tcW w:w="320" w:type="dxa"/>
            <w:vAlign w:val="bottom"/>
            <w:shd w:val="clear" w:color="auto" w:fill="F0F0F0"/>
          </w:tcPr>
          <w:p>
            <w:pPr>
              <w:spacing w:after="0"/>
              <w:rPr>
                <w:sz w:val="8"/>
                <w:szCs w:val="8"/>
                <w:color w:val="auto"/>
              </w:rPr>
            </w:pPr>
          </w:p>
        </w:tc>
        <w:tc>
          <w:tcPr>
            <w:tcW w:w="1880" w:type="dxa"/>
            <w:vAlign w:val="bottom"/>
            <w:vMerge w:val="continue"/>
            <w:shd w:val="clear" w:color="auto" w:fill="F0F0F0"/>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40" w:type="dxa"/>
            <w:vAlign w:val="bottom"/>
            <w:shd w:val="clear" w:color="auto" w:fill="F0F0F0"/>
          </w:tcPr>
          <w:p>
            <w:pPr>
              <w:spacing w:after="0"/>
              <w:rPr>
                <w:sz w:val="15"/>
                <w:szCs w:val="15"/>
                <w:color w:val="auto"/>
              </w:rPr>
            </w:pPr>
          </w:p>
        </w:tc>
        <w:tc>
          <w:tcPr>
            <w:tcW w:w="1720" w:type="dxa"/>
            <w:vAlign w:val="bottom"/>
            <w:shd w:val="clear" w:color="auto" w:fill="F0F0F0"/>
          </w:tcPr>
          <w:p>
            <w:pPr>
              <w:spacing w:after="0"/>
              <w:rPr>
                <w:sz w:val="15"/>
                <w:szCs w:val="15"/>
                <w:color w:val="auto"/>
              </w:rPr>
            </w:pPr>
          </w:p>
        </w:tc>
        <w:tc>
          <w:tcPr>
            <w:tcW w:w="260" w:type="dxa"/>
            <w:vAlign w:val="bottom"/>
            <w:shd w:val="clear" w:color="auto" w:fill="F0F0F0"/>
          </w:tcPr>
          <w:p>
            <w:pPr>
              <w:spacing w:after="0"/>
              <w:rPr>
                <w:sz w:val="15"/>
                <w:szCs w:val="15"/>
                <w:color w:val="auto"/>
              </w:rPr>
            </w:pPr>
          </w:p>
        </w:tc>
        <w:tc>
          <w:tcPr>
            <w:tcW w:w="1880" w:type="dxa"/>
            <w:vAlign w:val="bottom"/>
            <w:shd w:val="clear" w:color="auto" w:fill="F0F0F0"/>
          </w:tcPr>
          <w:p>
            <w:pPr>
              <w:spacing w:after="0"/>
              <w:rPr>
                <w:sz w:val="15"/>
                <w:szCs w:val="15"/>
                <w:color w:val="auto"/>
              </w:rPr>
            </w:pPr>
          </w:p>
        </w:tc>
        <w:tc>
          <w:tcPr>
            <w:tcW w:w="240" w:type="dxa"/>
            <w:vAlign w:val="bottom"/>
            <w:shd w:val="clear" w:color="auto" w:fill="F0F0F0"/>
          </w:tcPr>
          <w:p>
            <w:pPr>
              <w:spacing w:after="0"/>
              <w:rPr>
                <w:sz w:val="15"/>
                <w:szCs w:val="15"/>
                <w:color w:val="auto"/>
              </w:rPr>
            </w:pPr>
          </w:p>
        </w:tc>
        <w:tc>
          <w:tcPr>
            <w:tcW w:w="1820" w:type="dxa"/>
            <w:vAlign w:val="bottom"/>
            <w:shd w:val="clear" w:color="auto" w:fill="F0F0F0"/>
          </w:tcPr>
          <w:p>
            <w:pPr>
              <w:spacing w:after="0"/>
              <w:rPr>
                <w:sz w:val="15"/>
                <w:szCs w:val="15"/>
                <w:color w:val="auto"/>
              </w:rPr>
            </w:pPr>
          </w:p>
        </w:tc>
        <w:tc>
          <w:tcPr>
            <w:tcW w:w="320" w:type="dxa"/>
            <w:vAlign w:val="bottom"/>
            <w:shd w:val="clear" w:color="auto" w:fill="F0F0F0"/>
          </w:tcPr>
          <w:p>
            <w:pPr>
              <w:spacing w:after="0"/>
              <w:rPr>
                <w:sz w:val="15"/>
                <w:szCs w:val="15"/>
                <w:color w:val="auto"/>
              </w:rPr>
            </w:pPr>
          </w:p>
        </w:tc>
        <w:tc>
          <w:tcPr>
            <w:tcW w:w="188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feedback and review of</w:t>
            </w:r>
          </w:p>
        </w:tc>
        <w:tc>
          <w:tcPr>
            <w:tcW w:w="0" w:type="dxa"/>
            <w:vAlign w:val="bottom"/>
          </w:tcPr>
          <w:p>
            <w:pPr>
              <w:spacing w:after="0"/>
              <w:rPr>
                <w:sz w:val="1"/>
                <w:szCs w:val="1"/>
                <w:color w:val="auto"/>
              </w:rPr>
            </w:pPr>
          </w:p>
        </w:tc>
      </w:tr>
      <w:tr>
        <w:trPr>
          <w:trHeight w:val="190"/>
        </w:trPr>
        <w:tc>
          <w:tcPr>
            <w:tcW w:w="240" w:type="dxa"/>
            <w:vAlign w:val="bottom"/>
            <w:shd w:val="clear" w:color="auto" w:fill="F0F0F0"/>
          </w:tcPr>
          <w:p>
            <w:pPr>
              <w:spacing w:after="0"/>
              <w:rPr>
                <w:sz w:val="16"/>
                <w:szCs w:val="16"/>
                <w:color w:val="auto"/>
              </w:rPr>
            </w:pPr>
          </w:p>
        </w:tc>
        <w:tc>
          <w:tcPr>
            <w:tcW w:w="1720" w:type="dxa"/>
            <w:vAlign w:val="bottom"/>
            <w:shd w:val="clear" w:color="auto" w:fill="F0F0F0"/>
          </w:tcPr>
          <w:p>
            <w:pPr>
              <w:spacing w:after="0"/>
              <w:rPr>
                <w:sz w:val="16"/>
                <w:szCs w:val="16"/>
                <w:color w:val="auto"/>
              </w:rPr>
            </w:pPr>
          </w:p>
        </w:tc>
        <w:tc>
          <w:tcPr>
            <w:tcW w:w="260" w:type="dxa"/>
            <w:vAlign w:val="bottom"/>
            <w:shd w:val="clear" w:color="auto" w:fill="F0F0F0"/>
          </w:tcPr>
          <w:p>
            <w:pPr>
              <w:spacing w:after="0"/>
              <w:rPr>
                <w:sz w:val="16"/>
                <w:szCs w:val="16"/>
                <w:color w:val="auto"/>
              </w:rPr>
            </w:pPr>
          </w:p>
        </w:tc>
        <w:tc>
          <w:tcPr>
            <w:tcW w:w="1880" w:type="dxa"/>
            <w:vAlign w:val="bottom"/>
            <w:shd w:val="clear" w:color="auto" w:fill="F0F0F0"/>
          </w:tcPr>
          <w:p>
            <w:pPr>
              <w:spacing w:after="0"/>
              <w:rPr>
                <w:sz w:val="16"/>
                <w:szCs w:val="16"/>
                <w:color w:val="auto"/>
              </w:rPr>
            </w:pPr>
          </w:p>
        </w:tc>
        <w:tc>
          <w:tcPr>
            <w:tcW w:w="240" w:type="dxa"/>
            <w:vAlign w:val="bottom"/>
            <w:shd w:val="clear" w:color="auto" w:fill="F0F0F0"/>
          </w:tcPr>
          <w:p>
            <w:pPr>
              <w:spacing w:after="0"/>
              <w:rPr>
                <w:sz w:val="16"/>
                <w:szCs w:val="16"/>
                <w:color w:val="auto"/>
              </w:rPr>
            </w:pPr>
          </w:p>
        </w:tc>
        <w:tc>
          <w:tcPr>
            <w:tcW w:w="1820" w:type="dxa"/>
            <w:vAlign w:val="bottom"/>
            <w:shd w:val="clear" w:color="auto" w:fill="F0F0F0"/>
          </w:tcPr>
          <w:p>
            <w:pPr>
              <w:spacing w:after="0"/>
              <w:rPr>
                <w:sz w:val="16"/>
                <w:szCs w:val="16"/>
                <w:color w:val="auto"/>
              </w:rPr>
            </w:pPr>
          </w:p>
        </w:tc>
        <w:tc>
          <w:tcPr>
            <w:tcW w:w="320" w:type="dxa"/>
            <w:vAlign w:val="bottom"/>
            <w:shd w:val="clear" w:color="auto" w:fill="F0F0F0"/>
          </w:tcPr>
          <w:p>
            <w:pPr>
              <w:spacing w:after="0"/>
              <w:rPr>
                <w:sz w:val="16"/>
                <w:szCs w:val="16"/>
                <w:color w:val="auto"/>
              </w:rPr>
            </w:pPr>
          </w:p>
        </w:tc>
        <w:tc>
          <w:tcPr>
            <w:tcW w:w="1880" w:type="dxa"/>
            <w:vAlign w:val="bottom"/>
            <w:shd w:val="clear" w:color="auto" w:fill="F0F0F0"/>
          </w:tcPr>
          <w:p>
            <w:pPr>
              <w:ind w:left="100"/>
              <w:spacing w:after="0"/>
              <w:rPr>
                <w:sz w:val="20"/>
                <w:szCs w:val="20"/>
                <w:color w:val="auto"/>
              </w:rPr>
            </w:pPr>
            <w:r>
              <w:rPr>
                <w:rFonts w:ascii="Arial" w:cs="Arial" w:eastAsia="Arial" w:hAnsi="Arial"/>
                <w:sz w:val="14"/>
                <w:szCs w:val="14"/>
                <w:color w:val="636466"/>
              </w:rPr>
              <w:t>practices</w:t>
            </w:r>
          </w:p>
        </w:tc>
        <w:tc>
          <w:tcPr>
            <w:tcW w:w="0" w:type="dxa"/>
            <w:vAlign w:val="bottom"/>
          </w:tcPr>
          <w:p>
            <w:pPr>
              <w:spacing w:after="0"/>
              <w:rPr>
                <w:sz w:val="1"/>
                <w:szCs w:val="1"/>
                <w:color w:val="auto"/>
              </w:rPr>
            </w:pPr>
          </w:p>
        </w:tc>
      </w:tr>
      <w:tr>
        <w:trPr>
          <w:trHeight w:val="211"/>
        </w:trPr>
        <w:tc>
          <w:tcPr>
            <w:tcW w:w="240" w:type="dxa"/>
            <w:vAlign w:val="bottom"/>
            <w:shd w:val="clear" w:color="auto" w:fill="F0F0F0"/>
          </w:tcPr>
          <w:p>
            <w:pPr>
              <w:spacing w:after="0"/>
              <w:rPr>
                <w:sz w:val="18"/>
                <w:szCs w:val="18"/>
                <w:color w:val="auto"/>
              </w:rPr>
            </w:pPr>
          </w:p>
        </w:tc>
        <w:tc>
          <w:tcPr>
            <w:tcW w:w="1720" w:type="dxa"/>
            <w:vAlign w:val="bottom"/>
            <w:shd w:val="clear" w:color="auto" w:fill="F0F0F0"/>
          </w:tcPr>
          <w:p>
            <w:pPr>
              <w:spacing w:after="0"/>
              <w:rPr>
                <w:sz w:val="18"/>
                <w:szCs w:val="18"/>
                <w:color w:val="auto"/>
              </w:rPr>
            </w:pPr>
          </w:p>
        </w:tc>
        <w:tc>
          <w:tcPr>
            <w:tcW w:w="260" w:type="dxa"/>
            <w:vAlign w:val="bottom"/>
            <w:shd w:val="clear" w:color="auto" w:fill="F0F0F0"/>
          </w:tcPr>
          <w:p>
            <w:pPr>
              <w:spacing w:after="0"/>
              <w:rPr>
                <w:sz w:val="18"/>
                <w:szCs w:val="18"/>
                <w:color w:val="auto"/>
              </w:rPr>
            </w:pPr>
          </w:p>
        </w:tc>
        <w:tc>
          <w:tcPr>
            <w:tcW w:w="1880" w:type="dxa"/>
            <w:vAlign w:val="bottom"/>
            <w:shd w:val="clear" w:color="auto" w:fill="F0F0F0"/>
          </w:tcPr>
          <w:p>
            <w:pPr>
              <w:spacing w:after="0"/>
              <w:rPr>
                <w:sz w:val="18"/>
                <w:szCs w:val="18"/>
                <w:color w:val="auto"/>
              </w:rPr>
            </w:pPr>
          </w:p>
        </w:tc>
        <w:tc>
          <w:tcPr>
            <w:tcW w:w="240" w:type="dxa"/>
            <w:vAlign w:val="bottom"/>
            <w:shd w:val="clear" w:color="auto" w:fill="F0F0F0"/>
          </w:tcPr>
          <w:p>
            <w:pPr>
              <w:spacing w:after="0"/>
              <w:rPr>
                <w:sz w:val="18"/>
                <w:szCs w:val="18"/>
                <w:color w:val="auto"/>
              </w:rPr>
            </w:pPr>
          </w:p>
        </w:tc>
        <w:tc>
          <w:tcPr>
            <w:tcW w:w="1820" w:type="dxa"/>
            <w:vAlign w:val="bottom"/>
            <w:shd w:val="clear" w:color="auto" w:fill="F0F0F0"/>
          </w:tcPr>
          <w:p>
            <w:pPr>
              <w:spacing w:after="0"/>
              <w:rPr>
                <w:sz w:val="18"/>
                <w:szCs w:val="18"/>
                <w:color w:val="auto"/>
              </w:rPr>
            </w:pPr>
          </w:p>
        </w:tc>
        <w:tc>
          <w:tcPr>
            <w:tcW w:w="320" w:type="dxa"/>
            <w:vAlign w:val="bottom"/>
            <w:shd w:val="clear" w:color="auto" w:fill="F0F0F0"/>
          </w:tcPr>
          <w:p>
            <w:pPr>
              <w:spacing w:after="0"/>
              <w:rPr>
                <w:sz w:val="18"/>
                <w:szCs w:val="18"/>
                <w:color w:val="auto"/>
              </w:rPr>
            </w:pPr>
          </w:p>
        </w:tc>
        <w:tc>
          <w:tcPr>
            <w:tcW w:w="1880" w:type="dxa"/>
            <w:vAlign w:val="bottom"/>
            <w:shd w:val="clear" w:color="auto" w:fill="F0F0F0"/>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Members of our management, and in many cases, members of our Board actively engage in dialogue with our shareholders and view direct shareholder engagement as a critical process for receiving and understanding feedback on subjects that matter most to our shareholders. During such engagement in 2025, our shareholders expressed general satisfaction with, and did not raise any material concerns regarding, our executive compensation program. We will continue outreach and dialogue with our shareholders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Shareholder Communications with Our Board</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Board believes that shareholders should have an opportunity to communicate with our Board, and efforts have been made to ensure that the views of our shareholders are heard by our Board or individual directors, as applicable, and that appropriate responses are provided to our shareholders in a timely manner. Shareholders interested in communicating with our Board or a particular director (including our Chairperson or our LID) may do so by sending written communication to: Jazz Pharmaceuticals plc, Attention: Company Secretary, Fifth Floor, Waterloo Exchange, Waterloo Road, Dublin 4, Ireland. Each communication should set forth the name and address of the shareholder as it appears on our records (and, if the shares are held by a nominee, the name and address of the beneficial owner of the shares), and the number of our ordinary shares that are owned of record by the record holder or beneficially by the beneficial owner, as applicable. Our Company Secretary will, in his or her discretion, screen out communications from shareholders that are not related to the duties and responsibilities of our Board. The purpose of this screening is to allow our Board to avoid having to consider irrelevant or inappropriate communications (such as advertisements, solicitations and hostile communications). If deemed an appropriate communication, our Company Secretary will forward the communication, depending on the subject matter, to our Chairperson, our LID or the chair of the appropriate committee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177165</wp:posOffset>
            </wp:positionV>
            <wp:extent cx="1242695" cy="2057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91"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36</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44" w:name="page45"/>
    <w:bookmarkEnd w:id="44"/>
    <w:p>
      <w:pPr>
        <w:ind w:left="91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5617210</wp:posOffset>
            </wp:positionH>
            <wp:positionV relativeFrom="page">
              <wp:posOffset>208915</wp:posOffset>
            </wp:positionV>
            <wp:extent cx="1722755" cy="3003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Shareholder Ability to Call an EGM</w:t>
      </w:r>
    </w:p>
    <w:p>
      <w:pPr>
        <w:spacing w:after="0" w:line="18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Irish law provides that shareholders holding 10% or more of our total voting rights may at any time request that the directors call an EGM. The shareholders who wish to request an EGM must deliver to our registered office a written notice, signed by the shareholders requesting the meeting and stating the purposes of the meeting. If the directors do not, within 21 days of the date of delivery of the request, proceed to convene a meeting to be held within two months of that date, those shareholders (or any of them representing more than half of the total voting rights of all of them) may themselves convene a meeting within a specified period, but any meeting so convened cannot be held after the expiration of three months from the date of delivery of the request.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Shareholder Proposals and Director Nominations for the 2027 AGM</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shareholders may submit proposals on matters appropriate for shareholder action at shareholder meetings in accordance with Rule 14a-8 promulgated under the Exchange Act. For such proposals to be included in our proxy materials relating to our 2027 AGM, all applicable requirements of Rule 14a-8 must be satisfied and, pursuant to Rule 14a-8, such proposals must be received by us no later than February 8, 2027. However, if our 2027 AGM is not held between June 23, 2027 and August 22, 2027, then the deadline will be a reasonable time prior to the time that we begin to print and mail our proxy materials. Such proposals should be delivered to Jazz Pharmaceuticals plc, Attention: Company Secretary, Fifth Floor, Waterloo Exchange, Waterloo Road, Dublin 4, Ireland.</w:t>
      </w:r>
    </w:p>
    <w:p>
      <w:pPr>
        <w:spacing w:after="0" w:line="343"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Our Constitution provides that shareholder nominations of persons to be elected to our Board at our AGM must be made following written notice to our Company Secretary which is executed by a shareholder and accompanied by certain background and other information specified in our Constitution. Such written notice and information must be received by our Company Secretary not later than the close of business on March 10, 2027 nor earlier than January 9, 2027; provided, however, that in the event our 2027 AGM is not held between June 23, 2027 and August 22, 2027, notice must be delivered no earlier than 150 days prior to nor later than the later of 90 days prior to the date of the 2027 AGM or the 10th day following the day on which public announcement of the date of such meeting is first made. In addition to satisfying the informational requirements in our Constitution, shareholders intending to solicit proxies in support of director nominees other than our nominees must provide in their notice any additional information required by Rule 14a-19(b) promulgated under the Exchange Act. Our Constitution provides that other proposals may only be proposed at our AGM if either (i) it is proposed by or at the direction of our Board; (ii) it is proposed at the direction of the Irish High Court; or (iii) our Chairperson of the meeting decides, in his or her absolute discretion, that the proposal may properly be regarded as within the scope of the relevant meeting. In addition, our proxy solicited by our Board or the 2027 AGM will confer discretionary voting authority with respect to (i) any proposal presented by a shareholder at that meeting for which we have not been provided with notice by April 24, 2027 and (ii), if we have received notice of such proposal by April 24, 2027, any matter, provided that (i) our 2027 proxy statement briefly describes such matter and how management’s proxy holders intend to vote on it and (ii) the shareholder does not comply with the requirements of Rule 14a-4(c)(2) promulgated under the Exchange Act. On any other business which may properly come before our 2027 AGM, or any adjournment thereof, and whether procedural or substantive in nature (including without limitation any motion to amend a resolution or adjourn the meeting) not specified in our proxy statement, the proxy holder will act at his or her discretion.</w:t>
      </w:r>
    </w:p>
    <w:p>
      <w:pPr>
        <w:spacing w:after="0" w:line="169" w:lineRule="exact"/>
        <w:rPr>
          <w:sz w:val="20"/>
          <w:szCs w:val="20"/>
          <w:color w:val="auto"/>
        </w:rPr>
      </w:pPr>
    </w:p>
    <w:p>
      <w:pPr>
        <w:spacing w:after="0"/>
        <w:rPr>
          <w:sz w:val="20"/>
          <w:szCs w:val="20"/>
          <w:color w:val="auto"/>
        </w:rPr>
      </w:pPr>
      <w:r>
        <w:rPr>
          <w:rFonts w:ascii="Arial" w:cs="Arial" w:eastAsia="Arial" w:hAnsi="Arial"/>
          <w:sz w:val="29"/>
          <w:szCs w:val="29"/>
          <w:color w:val="852166"/>
        </w:rPr>
        <w:t>Certain Relationships and Related Party Transactions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Policy and Procedures for Review of Related Party Transactions</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have adopted a Related Party Transaction Policy that sets forth our procedures for the identification, review, consideration and approval or ratification of “related-person transactions.” For purposes of our policy, a “related-person transaction” is a transaction, arrangement or relationship (or any series of similar transactions, arrangements or relationships) in which we are, were or will be a participant, and the amount involved exceeds $120,000, and any “related person” had, has or will have a direct or indirect material interest, other than certain transactions that would not be required to be disclosed pursuant to Item 404(a) of Regulation S-K. A “related person” is any executive officer, director, director nominee or beneficial owner of more than 5% of any class of our voting securities, including any of their immediate family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176530</wp:posOffset>
            </wp:positionV>
            <wp:extent cx="1242695" cy="2057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37</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5" w:name="page46"/>
    <w:bookmarkEnd w:id="45"/>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3003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37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the policy, if a transaction has been identified as a related-person transaction (including any transaction that was not a related-person transaction when originally consummated or any transaction that was not initially identified as a related-person transaction prior to consummation), our management team must present information regarding the related-person transaction to our Audit Committee (or, if Audit Committee approval would be inappropriate, to another independent body of our Board) for review, consideration and approval or ratification. The presentation must include a description of, among other things, the material facts of the transaction, including the business purpose of the transaction, the parties thereto, the interests, direct and indirect, of the related person(s), the benefits to us of the transaction and whether the transaction is on terms that are comparable to the terms available to or from, as the case may be, an unrelated third party or to or from employees generally, and management’s recommendation with respect to the transaction. Under the policy, we will, on an annual basis, collect information that our Chief Legal Officer deems reasonably necessary from each director, director nominee, executive officer and (to the extent feasible) significant shareholder to enable us to identify any existing or potential related-person transactions and to effectuate the terms of the policy. In addition, under our Code of Conduct and Ethics, our employees and directors have an affirmative responsibility to disclose any transaction or relationship that reasonably could be expected to give rise to a conflict of interest to our Chief Legal Officer, or, if the employee is an executive officer, to our Board. In considering related-person transactions, our Audit Committee (or other independent body of our Board) will take into account the relevant available facts and circumstances including, but not limited to, the risks, costs and benefits to us, the terms of the transaction, the business rationale for engaging in the transaction, the availability of other sources for comparable services or products, if applicable, the impact on a director or director nominee’s independence in the event that the related person is a director or director nominee, immediate family member of a director or director nominee or an entity with which a director or director nominee is affiliated, and whether the transaction would present an improper conflict of interest for any director, director nominee or executive officer of our Company, taking into account the size of the transaction, the overall financial position of the director, director nominee, executive officer or related person, the direct or indirect nature of the director’s, director nominee’s, executive officer’s or related person’s interest in the transaction and the ongoing nature of any proposed relationship, and any other factors our Audit Committee (or other independent body of our Board) deems relevant.</w:t>
      </w:r>
    </w:p>
    <w:p>
      <w:pPr>
        <w:spacing w:after="0" w:line="346"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policy requires that, our Audit Committee (or other independent body of our Board) only approve and ratify those related-person transactions that, in light of known circumstances, are in, or are not inconsistent with, our best interests and those of our shareholders, as our Audit Committee (or other independent body of our Board) determines in the good faith exercise of its discretion. The policy also requires that directors interested in a related-person transaction recuse themselves from any discussion or vote on a related-person transaction in which they have an interest.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Transactions with Related Persons</w:t>
      </w:r>
    </w:p>
    <w:p>
      <w:pPr>
        <w:spacing w:after="0" w:line="171" w:lineRule="exact"/>
        <w:rPr>
          <w:sz w:val="20"/>
          <w:szCs w:val="20"/>
          <w:color w:val="auto"/>
        </w:rPr>
      </w:pPr>
    </w:p>
    <w:p>
      <w:pPr>
        <w:jc w:val="both"/>
        <w:ind w:right="80"/>
        <w:spacing w:after="0" w:line="295" w:lineRule="auto"/>
        <w:rPr>
          <w:sz w:val="20"/>
          <w:szCs w:val="20"/>
          <w:color w:val="auto"/>
        </w:rPr>
      </w:pPr>
      <w:r>
        <w:rPr>
          <w:rFonts w:ascii="Arial" w:cs="Arial" w:eastAsia="Arial" w:hAnsi="Arial"/>
          <w:sz w:val="16"/>
          <w:szCs w:val="16"/>
          <w:color w:val="auto"/>
        </w:rPr>
        <w:t>A family member of Class I director Laura J. Hamill is employed by our Company. The employee is not one of our executive officers. The compensation of this employee was determined in accordance with our Company’s compensation policies applicable to other employees of a similar title and compensation grade, and this employee is also eligible to participate in our Company benefit plans that are available to other employees in similar positions and locations. The total compensation of this employee, comprising both cash and equity compensation, was approximately $495,000 for fiscal year 2025.</w:t>
      </w:r>
    </w:p>
    <w:p>
      <w:pPr>
        <w:spacing w:after="0" w:line="12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In addition, a family member of Class II director Norbert G. Riedel is employed by our Company since April 2026 and was previously a contingent worker engaged through an agency from June 2025 to April 2026. The employee is not one of our executive officers. The compensation of this employee was determined in accordance with our Company’s compensation policies applicable to other employees of a similar title and compensation grade, and this employee is also eligible to participate in our Company benefit plans that are available to other employees in similar positions and locations. The total compensation earned by this employee for services as a contingent worker from January 1, 2025 until hired by us as an employee in April 2026 was approximately $81,000. The total target annual compensation for this employee for services as an employee in fiscal year 2026, comprising both cash and equity compensation, is approximately $196,750.</w:t>
      </w:r>
    </w:p>
    <w:p>
      <w:pPr>
        <w:spacing w:after="0" w:line="1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Except as set forth above, since January 1, 2025, we have not engaged in any transactions, required to be disclosed pursuant to Item 404(a) of Regulation S-K, nor are any such transactions currently proposed, in which we were, are, or are to be a participant and the amount involved exceeded $120,000, and in which any related person had or will have a direct or indirect material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169545</wp:posOffset>
            </wp:positionV>
            <wp:extent cx="1242695" cy="2057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7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38</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46" w:name="page47"/>
    <w:bookmarkEnd w:id="46"/>
    <w:p>
      <w:pPr>
        <w:ind w:left="91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5617210</wp:posOffset>
            </wp:positionH>
            <wp:positionV relativeFrom="page">
              <wp:posOffset>208915</wp:posOffset>
            </wp:positionV>
            <wp:extent cx="1722755" cy="3003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Indemnification Agreements</w:t>
      </w:r>
    </w:p>
    <w:p>
      <w:pPr>
        <w:spacing w:after="0" w:line="185"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We have entered into indemnification agreements with our directors, executive officers and certain other of our officers and employees. These indemnification agreements require us, under the circumstances and to the extent provided for therein, to indemnify such persons to the fullest extent permitted by applicable law against certain expenses and other amounts incurred by any such person as a result of such person being made a party to certain actions, suits, proceedings and other actions by reason of the fact that such person is or was a director, officer, employee, consultant, agent or fiduciary of our Company or any of our subsidiaries or other affiliated enterprises. The rights of each person who is a party to an indemnification agreement are in addition to any other rights such person may have under our Constitution, the 2014 Act, any other agreement, a vote of the shareholders of our Company, a resolution of directors of our Company or otherwise. We believe that these agreements are necessary to attract and retain qualified persons as our officers and directors. We also maintain directors’ and officers’ liability insurance.</w:t>
      </w:r>
    </w:p>
    <w:p>
      <w:pPr>
        <w:spacing w:after="0" w:line="171" w:lineRule="exact"/>
        <w:rPr>
          <w:sz w:val="20"/>
          <w:szCs w:val="20"/>
          <w:color w:val="auto"/>
        </w:rPr>
      </w:pPr>
    </w:p>
    <w:p>
      <w:pPr>
        <w:spacing w:after="0"/>
        <w:rPr>
          <w:sz w:val="20"/>
          <w:szCs w:val="20"/>
          <w:color w:val="auto"/>
        </w:rPr>
      </w:pPr>
      <w:r>
        <w:rPr>
          <w:rFonts w:ascii="Arial" w:cs="Arial" w:eastAsia="Arial" w:hAnsi="Arial"/>
          <w:sz w:val="29"/>
          <w:szCs w:val="29"/>
          <w:color w:val="852166"/>
        </w:rPr>
        <w:t>Additional Corporate Governance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Ethical Business Practices</w:t>
      </w:r>
    </w:p>
    <w:p>
      <w:pPr>
        <w:spacing w:after="0" w:line="171"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We are committed to conducting our business with integrity and the pursuit of excellence in all that we do. Our Board and our management team are committed to acting honestly and responsibly and strive to comply with all laws, rules, regulations and corporate policies that apply to our business, and we expect the same commitment from our employees, consultants, business partners and service providers. In particular, we are committed to acting responsibly, safely and with transparency in our interactions with patients, doctors and other stakeholders in the healthcare system.</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are committed to operating our global business with integrity and upholding a high level of ethical conduct among our employees and business partners including assessing and addressing the risk of modern slavery and human trafficking within our business operations and supply chain. We have existing procedures designed to assess our suppliers that provide materials for use in our tangible goods for sale, and we have enhanced these procedures to include steps for reasonably evaluating whether these suppliers have policies and procedures in place that are designed to promote compliance with applicable laws related to eradication of human trafficking, slavery and illegal child labor.</w:t>
      </w:r>
    </w:p>
    <w:p>
      <w:pPr>
        <w:spacing w:after="0" w:line="12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have established various methods of confidential communication for our employees, vendors and others to report suspected violations of laws, rules, regulations or our Company policies. Where permitted by local laws, anonymous reporting is available. For more information, please visit our Website under the section entitled “Ethical Standards” under “Our Purpose”.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Anti-Corruption Policy</w:t>
      </w:r>
    </w:p>
    <w:p>
      <w:pPr>
        <w:spacing w:after="0" w:line="17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global Anti-Corruption Policy applies to all of our employees, directors and officers, our subsidiaries and affiliates, and third party vendors and other agents acting on our behalf. We are committed to complying with applicable anti-corruption and anti-bribery laws, including the Foreign Corrupt Practices Act and the UK Bribery Act. The Anti-Corruption Policy is available on our Website under the section entitled “Ethical Standards” under “Our Purpose”.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Code of Conduct and Ethics</w:t>
      </w:r>
    </w:p>
    <w:p>
      <w:pPr>
        <w:spacing w:after="0" w:line="18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Our Company has made a firm commitment to conduct business in accordance with our values and our I-CARE principles. We work to build strong, trusted partnerships with patients, caregivers, our business partners, the healthcare community, shareholders and other stakeholders. Each employee of our Company has a responsibility to safeguard this trust by applying the principles in our Code of Conduct and Ethics. The Code of Conduct and Ethics provides important guidance and direction and helps us strive to deliver with excellence and integrity. It also provides clear expectations about what our employees can expect from their colleagues and from our Company, as well as guidance for how to conduct themselves in their daily work. We also expect that those with whom we do business will adhere to our Code of Conduct and Ethics. Our Code of Conduct and Ethics applies to all of our employees, directors and officers, including our PEO, principal financial officer, principal accounting officer or controller, or persons performing similar functions, and those of our subsidiaries. Our Code of Conduct and Ethics is available on our Website under the section entitled “Ethical Standards” under “Our Purpose”. We intend to satisfy the disclosure requirements under Item 5.05 of SEC Form 8-K regarding any amendment to, or waiver from, a provision of our Code of Conduct and Ethics by posting such information on our Website at location specified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186690</wp:posOffset>
            </wp:positionV>
            <wp:extent cx="1242695" cy="2057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39</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7" w:name="page48"/>
    <w:bookmarkEnd w:id="47"/>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3003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722755" cy="30035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Insider Trading Policy</w:t>
      </w:r>
    </w:p>
    <w:p>
      <w:pPr>
        <w:spacing w:after="0" w:line="18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have an insider trading policy governing the purchase, sale, and/or other dispositions of our securities by all Company personnel, including directors, officers, employees, and other covered persons that is designed to promote compliance with insider trading laws, rules and regulations, as well as procedures designed to further the foregoing purposes. A copy of our insider trading policy was filed as Exhibit 19.1 to the 2025 Annual Report on Form 10-K. In addition, it is our intent to comply with applicable laws and regulations relating to insider trading.</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Anti-Hedging/Pledging</w:t>
      </w:r>
    </w:p>
    <w:p>
      <w:pPr>
        <w:spacing w:after="0" w:line="18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Our insider trading policy prohibits directors, executive officers and other employees from engaging in speculative trading activities, including hedging transactions or other inherently speculative transactions with respect to our securities. Our insider trading policy also prohibits directors, executive officers and other employees from pledging our securities as collateral for any loans.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Clawback Policy</w:t>
      </w:r>
    </w:p>
    <w:p>
      <w:pPr>
        <w:spacing w:after="0" w:line="171"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In November 2023, our Compensation Committee adopted the Clawback Policy. More information on the Clawback Policy can be found under the section of our proxy statement entitled “</w:t>
      </w:r>
      <w:r>
        <w:rPr>
          <w:rFonts w:ascii="Arial" w:cs="Arial" w:eastAsia="Arial" w:hAnsi="Arial"/>
          <w:sz w:val="16"/>
          <w:szCs w:val="16"/>
          <w:i w:val="1"/>
          <w:iCs w:val="1"/>
          <w:color w:val="auto"/>
        </w:rPr>
        <w:t>Executive Compensation - Additional Compensation Information – Clawback Policy.</w:t>
      </w:r>
      <w:r>
        <w:rPr>
          <w:rFonts w:ascii="Arial" w:cs="Arial" w:eastAsia="Arial" w:hAnsi="Arial"/>
          <w:sz w:val="16"/>
          <w:szCs w:val="16"/>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Share Ownership Guidelines</w:t>
      </w:r>
    </w:p>
    <w:p>
      <w:pPr>
        <w:spacing w:after="0" w:line="18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 xml:space="preserve">Our Board has adopted share ownership guidelines applicable to our directors, our CEO and certain other employees who serve on our EC, including certain of our NEOs, and will monitor compliance with and review and revise such guidelines from time to time as it deems appropriate. More information about our share ownership guidelines can be found under the sections of our proxy statement entitled </w:t>
      </w:r>
      <w:r>
        <w:rPr>
          <w:rFonts w:ascii="Arial" w:cs="Arial" w:eastAsia="Arial" w:hAnsi="Arial"/>
          <w:sz w:val="16"/>
          <w:szCs w:val="16"/>
          <w:i w:val="1"/>
          <w:iCs w:val="1"/>
          <w:color w:val="auto"/>
        </w:rPr>
        <w:t>“Executive Compensation—Additional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Information—Ownership Guidelines for Executive Officers” </w:t>
      </w:r>
      <w:r>
        <w:rPr>
          <w:rFonts w:ascii="Arial" w:cs="Arial" w:eastAsia="Arial" w:hAnsi="Arial"/>
          <w:sz w:val="16"/>
          <w:szCs w:val="16"/>
          <w:color w:val="auto"/>
        </w:rPr>
        <w:t>and</w:t>
      </w:r>
      <w:r>
        <w:rPr>
          <w:rFonts w:ascii="Arial" w:cs="Arial" w:eastAsia="Arial" w:hAnsi="Arial"/>
          <w:sz w:val="16"/>
          <w:szCs w:val="16"/>
          <w:i w:val="1"/>
          <w:iCs w:val="1"/>
          <w:color w:val="auto"/>
        </w:rPr>
        <w:t xml:space="preserve"> “Director Compensation—Ownership Guidelines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171450</wp:posOffset>
            </wp:positionV>
            <wp:extent cx="1242695" cy="2057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82"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40</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48" w:name="page49"/>
    <w:bookmarkEnd w:id="48"/>
    <w:p>
      <w:pPr>
        <w:spacing w:after="0"/>
        <w:rPr>
          <w:sz w:val="20"/>
          <w:szCs w:val="20"/>
          <w:color w:val="auto"/>
        </w:rPr>
      </w:pPr>
      <w:r>
        <w:rPr>
          <w:rFonts w:ascii="Arial" w:cs="Arial" w:eastAsia="Arial" w:hAnsi="Arial"/>
          <w:sz w:val="22"/>
          <w:szCs w:val="22"/>
          <w:b w:val="1"/>
          <w:bCs w:val="1"/>
          <w:color w:val="636466"/>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1088390" cy="342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760"/>
        <w:spacing w:after="0" w:line="258" w:lineRule="auto"/>
        <w:rPr>
          <w:sz w:val="20"/>
          <w:szCs w:val="20"/>
          <w:color w:val="auto"/>
        </w:rPr>
      </w:pPr>
      <w:r>
        <w:rPr>
          <w:rFonts w:ascii="Arial" w:cs="Arial" w:eastAsia="Arial" w:hAnsi="Arial"/>
          <w:sz w:val="54"/>
          <w:szCs w:val="54"/>
          <w:b w:val="1"/>
          <w:bCs w:val="1"/>
          <w:color w:val="001C71"/>
        </w:rPr>
        <w:t>Ratify, on a Non-Binding Advisory Basis, the Appointment of KPMG as the Independent Auditors for the Financial Year Ending December 31, 2026 and Authorize, in a Binding Vote, our Board, Acting Through our Audit Committee, to Determine KPMG’s Remuneration</w:t>
      </w:r>
    </w:p>
    <w:p>
      <w:pPr>
        <w:sectPr>
          <w:pgSz w:w="11900" w:h="16838" w:orient="portrait"/>
          <w:cols w:equalWidth="0" w:num="1">
            <w:col w:w="11240"/>
          </w:cols>
          <w:pgMar w:left="320" w:top="1097" w:right="339" w:bottom="1440" w:gutter="0" w:footer="0" w:header="0"/>
        </w:sectPr>
      </w:pPr>
    </w:p>
    <w:p>
      <w:pPr>
        <w:spacing w:after="0" w:line="31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Pursuant to the authority delegated by our Board, our Audit Committee is responsible for the appointment, remuneration and retention of our independent auditors. Our Audit Committee has selected and appointed KPMG as our independent auditors to audit our consolidated financial statements for the year ending December 31, 2026. Under Irish law, KPMG will be deemed to be reappointed as our independent auditors at our 2026 AGM without the necessity of a shareholder vote. However, our shareholders are being asked in this proposal to ratify such appointment on a non-binding advisory basis because we value our shareholders’ views on our independent auditors. In addition, as required by Irish law, our shareholders are being asked to authorize our Board, acting through our Audit Committee, to determine KPMG’s remuneration.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520"/>
        <w:spacing w:after="0" w:line="354" w:lineRule="auto"/>
        <w:rPr>
          <w:sz w:val="20"/>
          <w:szCs w:val="20"/>
          <w:color w:val="auto"/>
        </w:rPr>
      </w:pPr>
      <w:r>
        <w:rPr>
          <w:rFonts w:ascii="Arial" w:cs="Arial" w:eastAsia="Arial" w:hAnsi="Arial"/>
          <w:sz w:val="17"/>
          <w:szCs w:val="17"/>
          <w:b w:val="1"/>
          <w:bCs w:val="1"/>
          <w:color w:val="636466"/>
        </w:rPr>
        <w:t xml:space="preserve">OUR BOARD RECOMMENDS A VOTE </w:t>
      </w:r>
      <w:r>
        <w:rPr>
          <w:rFonts w:ascii="Arial" w:cs="Arial" w:eastAsia="Arial" w:hAnsi="Arial"/>
          <w:sz w:val="17"/>
          <w:szCs w:val="17"/>
          <w:b w:val="1"/>
          <w:bCs w:val="1"/>
          <w:color w:val="852166"/>
        </w:rPr>
        <w:t xml:space="preserve">“FOR” </w:t>
      </w:r>
      <w:r>
        <w:rPr>
          <w:rFonts w:ascii="Arial" w:cs="Arial" w:eastAsia="Arial" w:hAnsi="Arial"/>
          <w:sz w:val="17"/>
          <w:szCs w:val="17"/>
          <w:b w:val="1"/>
          <w:bCs w:val="1"/>
          <w:color w:val="636466"/>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-1050925</wp:posOffset>
            </wp:positionV>
            <wp:extent cx="1645920" cy="127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645920" cy="1276985"/>
                    </a:xfrm>
                    <a:prstGeom prst="rect">
                      <a:avLst/>
                    </a:prstGeom>
                    <a:noFill/>
                  </pic:spPr>
                </pic:pic>
              </a:graphicData>
            </a:graphic>
          </wp:anchor>
        </w:drawing>
      </w:r>
    </w:p>
    <w:p>
      <w:pPr>
        <w:spacing w:after="0" w:line="462" w:lineRule="exact"/>
        <w:rPr>
          <w:sz w:val="20"/>
          <w:szCs w:val="20"/>
          <w:color w:val="auto"/>
        </w:rPr>
      </w:pPr>
    </w:p>
    <w:p>
      <w:pPr>
        <w:sectPr>
          <w:pgSz w:w="11900" w:h="16838" w:orient="portrait"/>
          <w:cols w:equalWidth="0" w:num="2">
            <w:col w:w="7360" w:space="320"/>
            <w:col w:w="3560"/>
          </w:cols>
          <w:pgMar w:left="320" w:top="1097" w:right="339" w:bottom="1440" w:gutter="0" w:footer="0" w:header="0"/>
          <w:type w:val="continuous"/>
        </w:sectPr>
      </w:pPr>
    </w:p>
    <w:p>
      <w:pPr>
        <w:spacing w:after="0" w:line="13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KPMG has been engaged to audit our financial statements, beginning with our consolidated financial statements for the fiscal year ended December 31, 2012, since the consummation of the Azur Merger. Representatives of KPMG are expected to attend our 2026 AGM and will have an opportunity to make a statement if they so desire. They will also be available to respond to appropriate questions.</w:t>
      </w:r>
    </w:p>
    <w:p>
      <w:pPr>
        <w:spacing w:after="0" w:line="118"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Proposal 2 is an ordinary resolution and must receive the affirmative vote of a majority of the votes cast in person or by proxy at our 2026 AGM (including any adjournment thereof) in order to be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159385</wp:posOffset>
            </wp:positionV>
            <wp:extent cx="1242695" cy="2057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41</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49" w:name="page50"/>
    <w:bookmarkEnd w:id="49"/>
    <w:p>
      <w:pPr>
        <w:ind w:left="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088390" cy="3003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088390" cy="300355"/>
                    </a:xfrm>
                    <a:prstGeom prst="rect">
                      <a:avLst/>
                    </a:prstGeom>
                    <a:noFill/>
                  </pic:spPr>
                </pic:pic>
              </a:graphicData>
            </a:graphic>
          </wp:anchor>
        </w:drawing>
        <w:t>AUDIT MATTERS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Annual Evaluation and Selection of Independent Auditor</w:t>
      </w:r>
    </w:p>
    <w:p>
      <w:pPr>
        <w:spacing w:after="0" w:line="19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Audit Committee annually reviews KPMG’s independence and performance. This review helps our Audit Committee decide whether to retain KPMG or appoint a different firm as our independent auditor. Our Board and our Audit Committee also consider the results regarding the ratification of the appointment of our independent auditors at the previous AGM in making determinations in the future.</w:t>
      </w:r>
    </w:p>
    <w:p>
      <w:pPr>
        <w:spacing w:after="0" w:line="140" w:lineRule="exact"/>
        <w:rPr>
          <w:sz w:val="20"/>
          <w:szCs w:val="20"/>
          <w:color w:val="auto"/>
        </w:rPr>
      </w:pPr>
    </w:p>
    <w:p>
      <w:pPr>
        <w:spacing w:after="0"/>
        <w:rPr>
          <w:sz w:val="20"/>
          <w:szCs w:val="20"/>
          <w:color w:val="auto"/>
        </w:rPr>
      </w:pPr>
      <w:r>
        <w:rPr>
          <w:rFonts w:ascii="Arial" w:cs="Arial" w:eastAsia="Arial" w:hAnsi="Arial"/>
          <w:sz w:val="29"/>
          <w:szCs w:val="29"/>
          <w:color w:val="852166"/>
        </w:rPr>
        <w:t>Independent Registered Public Accounting Firm Fees and Services</w:t>
      </w:r>
    </w:p>
    <w:p>
      <w:pPr>
        <w:spacing w:after="0" w:line="198" w:lineRule="exact"/>
        <w:rPr>
          <w:sz w:val="20"/>
          <w:szCs w:val="20"/>
          <w:color w:val="auto"/>
        </w:rPr>
      </w:pPr>
    </w:p>
    <w:p>
      <w:pPr>
        <w:ind w:right="880"/>
        <w:spacing w:after="0" w:line="321" w:lineRule="auto"/>
        <w:rPr>
          <w:sz w:val="20"/>
          <w:szCs w:val="20"/>
          <w:color w:val="auto"/>
        </w:rPr>
      </w:pPr>
      <w:r>
        <w:rPr>
          <w:rFonts w:ascii="Arial" w:cs="Arial" w:eastAsia="Arial" w:hAnsi="Arial"/>
          <w:sz w:val="16"/>
          <w:szCs w:val="16"/>
          <w:color w:val="auto"/>
        </w:rPr>
        <w:t>Our Audit Committee is responsible for audit firm compensation. In connection with the audit of our 2025 financial statements, we entered into an engagement agreement with KPMG, which sets forth the terms under which KPMG performed audit and tax services for our Company.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All of the services and fees described below were approved by our Audit Committee.</w:t>
      </w:r>
    </w:p>
    <w:p>
      <w:pPr>
        <w:spacing w:after="0" w:line="194" w:lineRule="exact"/>
        <w:rPr>
          <w:sz w:val="20"/>
          <w:szCs w:val="20"/>
          <w:color w:val="auto"/>
        </w:rPr>
      </w:pPr>
    </w:p>
    <w:p>
      <w:pPr>
        <w:ind w:right="780"/>
        <w:spacing w:after="0" w:line="321" w:lineRule="auto"/>
        <w:rPr>
          <w:sz w:val="20"/>
          <w:szCs w:val="20"/>
          <w:color w:val="auto"/>
        </w:rPr>
      </w:pPr>
      <w:r>
        <w:rPr>
          <w:rFonts w:ascii="Arial" w:cs="Arial" w:eastAsia="Arial" w:hAnsi="Arial"/>
          <w:sz w:val="16"/>
          <w:szCs w:val="16"/>
          <w:color w:val="auto"/>
        </w:rPr>
        <w:t>As shown in the table below, less than 2% of the total fees that KPMG billed us for in 2025 were for services other than audit, audit-related and tax compliance services.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aggregate fees billed to us for the years ended December 31, 2025 and 2024 by KPMG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400" w:type="dxa"/>
            <w:vAlign w:val="bottom"/>
            <w:tcBorders>
              <w:right w:val="single" w:sz="8" w:color="001C71"/>
            </w:tcBorders>
          </w:tcPr>
          <w:p>
            <w:pPr>
              <w:spacing w:after="0"/>
              <w:rPr>
                <w:sz w:val="20"/>
                <w:szCs w:val="20"/>
                <w:color w:val="auto"/>
              </w:rPr>
            </w:pPr>
          </w:p>
        </w:tc>
        <w:tc>
          <w:tcPr>
            <w:tcW w:w="2860" w:type="dxa"/>
            <w:vAlign w:val="bottom"/>
            <w:tcBorders>
              <w:top w:val="single" w:sz="8" w:color="001C71"/>
              <w:right w:val="single" w:sz="8" w:color="001C71"/>
            </w:tcBorders>
            <w:gridSpan w:val="2"/>
          </w:tcPr>
          <w:p>
            <w:pPr>
              <w:jc w:val="right"/>
              <w:ind w:right="548"/>
              <w:spacing w:after="0"/>
              <w:rPr>
                <w:sz w:val="20"/>
                <w:szCs w:val="20"/>
                <w:color w:val="auto"/>
              </w:rPr>
            </w:pPr>
            <w:r>
              <w:rPr>
                <w:rFonts w:ascii="Arial" w:cs="Arial" w:eastAsia="Arial" w:hAnsi="Arial"/>
                <w:sz w:val="14"/>
                <w:szCs w:val="14"/>
                <w:b w:val="1"/>
                <w:bCs w:val="1"/>
                <w:color w:val="001C71"/>
              </w:rPr>
              <w:t>Year Ended December 31,</w:t>
            </w:r>
          </w:p>
        </w:tc>
      </w:tr>
      <w:tr>
        <w:trPr>
          <w:trHeight w:val="222"/>
        </w:trPr>
        <w:tc>
          <w:tcPr>
            <w:tcW w:w="8400" w:type="dxa"/>
            <w:vAlign w:val="bottom"/>
            <w:tcBorders>
              <w:right w:val="single" w:sz="8" w:color="001C71"/>
            </w:tcBorders>
            <w:shd w:val="clear" w:color="auto" w:fill="001C71"/>
          </w:tcPr>
          <w:p>
            <w:pPr>
              <w:spacing w:after="0"/>
              <w:rPr>
                <w:sz w:val="19"/>
                <w:szCs w:val="19"/>
                <w:color w:val="auto"/>
              </w:rPr>
            </w:pPr>
          </w:p>
        </w:tc>
        <w:tc>
          <w:tcPr>
            <w:tcW w:w="1760" w:type="dxa"/>
            <w:vAlign w:val="bottom"/>
            <w:shd w:val="clear" w:color="auto" w:fill="001C71"/>
          </w:tcPr>
          <w:p>
            <w:pPr>
              <w:jc w:val="right"/>
              <w:ind w:right="388"/>
              <w:spacing w:after="0"/>
              <w:rPr>
                <w:sz w:val="20"/>
                <w:szCs w:val="20"/>
                <w:color w:val="auto"/>
              </w:rPr>
            </w:pPr>
            <w:r>
              <w:rPr>
                <w:rFonts w:ascii="Arial" w:cs="Arial" w:eastAsia="Arial" w:hAnsi="Arial"/>
                <w:sz w:val="14"/>
                <w:szCs w:val="14"/>
                <w:b w:val="1"/>
                <w:bCs w:val="1"/>
                <w:color w:val="FFFFFF"/>
              </w:rPr>
              <w:t>2025</w:t>
            </w:r>
          </w:p>
        </w:tc>
        <w:tc>
          <w:tcPr>
            <w:tcW w:w="1100" w:type="dxa"/>
            <w:vAlign w:val="bottom"/>
            <w:tcBorders>
              <w:right w:val="single" w:sz="8" w:color="001C71"/>
            </w:tcBorders>
            <w:shd w:val="clear" w:color="auto" w:fill="001C71"/>
          </w:tcPr>
          <w:p>
            <w:pPr>
              <w:jc w:val="right"/>
              <w:ind w:right="68"/>
              <w:spacing w:after="0"/>
              <w:rPr>
                <w:sz w:val="20"/>
                <w:szCs w:val="20"/>
                <w:color w:val="auto"/>
              </w:rPr>
            </w:pPr>
            <w:r>
              <w:rPr>
                <w:rFonts w:ascii="Arial" w:cs="Arial" w:eastAsia="Arial" w:hAnsi="Arial"/>
                <w:sz w:val="14"/>
                <w:szCs w:val="14"/>
                <w:b w:val="1"/>
                <w:bCs w:val="1"/>
                <w:color w:val="FFFFFF"/>
              </w:rPr>
              <w:t>2024</w:t>
            </w:r>
          </w:p>
        </w:tc>
      </w:tr>
      <w:tr>
        <w:trPr>
          <w:trHeight w:val="70"/>
        </w:trPr>
        <w:tc>
          <w:tcPr>
            <w:tcW w:w="8400" w:type="dxa"/>
            <w:vAlign w:val="bottom"/>
            <w:tcBorders>
              <w:right w:val="single" w:sz="8" w:color="001C71"/>
            </w:tcBorders>
            <w:shd w:val="clear" w:color="auto" w:fill="001C71"/>
          </w:tcPr>
          <w:p>
            <w:pPr>
              <w:spacing w:after="0"/>
              <w:rPr>
                <w:sz w:val="6"/>
                <w:szCs w:val="6"/>
                <w:color w:val="auto"/>
              </w:rPr>
            </w:pPr>
          </w:p>
        </w:tc>
        <w:tc>
          <w:tcPr>
            <w:tcW w:w="1760" w:type="dxa"/>
            <w:vAlign w:val="bottom"/>
            <w:shd w:val="clear" w:color="auto" w:fill="001C71"/>
          </w:tcPr>
          <w:p>
            <w:pPr>
              <w:spacing w:after="0"/>
              <w:rPr>
                <w:sz w:val="6"/>
                <w:szCs w:val="6"/>
                <w:color w:val="auto"/>
              </w:rPr>
            </w:pPr>
          </w:p>
        </w:tc>
        <w:tc>
          <w:tcPr>
            <w:tcW w:w="1100" w:type="dxa"/>
            <w:vAlign w:val="bottom"/>
            <w:tcBorders>
              <w:right w:val="single" w:sz="8" w:color="001C71"/>
            </w:tcBorders>
            <w:shd w:val="clear" w:color="auto" w:fill="001C71"/>
          </w:tcPr>
          <w:p>
            <w:pPr>
              <w:spacing w:after="0"/>
              <w:rPr>
                <w:sz w:val="6"/>
                <w:szCs w:val="6"/>
                <w:color w:val="auto"/>
              </w:rPr>
            </w:pPr>
          </w:p>
        </w:tc>
      </w:tr>
      <w:tr>
        <w:trPr>
          <w:trHeight w:val="208"/>
        </w:trPr>
        <w:tc>
          <w:tcPr>
            <w:tcW w:w="8400" w:type="dxa"/>
            <w:vAlign w:val="bottom"/>
          </w:tcPr>
          <w:p>
            <w:pPr>
              <w:ind w:left="100"/>
              <w:spacing w:after="0"/>
              <w:rPr>
                <w:sz w:val="20"/>
                <w:szCs w:val="20"/>
                <w:color w:val="auto"/>
              </w:rPr>
            </w:pPr>
            <w:r>
              <w:rPr>
                <w:rFonts w:ascii="Arial" w:cs="Arial" w:eastAsia="Arial" w:hAnsi="Arial"/>
                <w:sz w:val="14"/>
                <w:szCs w:val="14"/>
                <w:color w:val="auto"/>
              </w:rPr>
              <w:t>Audit Fees</w:t>
            </w:r>
          </w:p>
        </w:tc>
        <w:tc>
          <w:tcPr>
            <w:tcW w:w="1760" w:type="dxa"/>
            <w:vAlign w:val="bottom"/>
          </w:tcPr>
          <w:p>
            <w:pPr>
              <w:jc w:val="right"/>
              <w:ind w:right="448"/>
              <w:spacing w:after="0"/>
              <w:rPr>
                <w:sz w:val="20"/>
                <w:szCs w:val="20"/>
                <w:color w:val="auto"/>
              </w:rPr>
            </w:pPr>
            <w:r>
              <w:rPr>
                <w:rFonts w:ascii="Arial" w:cs="Arial" w:eastAsia="Arial" w:hAnsi="Arial"/>
                <w:sz w:val="14"/>
                <w:szCs w:val="14"/>
                <w:color w:val="auto"/>
              </w:rPr>
              <w:t>$4,256</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$4,216</w:t>
            </w:r>
          </w:p>
        </w:tc>
      </w:tr>
      <w:tr>
        <w:trPr>
          <w:trHeight w:val="22"/>
        </w:trPr>
        <w:tc>
          <w:tcPr>
            <w:tcW w:w="8400" w:type="dxa"/>
            <w:vAlign w:val="bottom"/>
            <w:tcBorders>
              <w:bottom w:val="single" w:sz="8" w:color="5673B8"/>
            </w:tcBorders>
          </w:tcPr>
          <w:p>
            <w:pPr>
              <w:spacing w:after="0" w:line="20" w:lineRule="exact"/>
              <w:rPr>
                <w:sz w:val="1"/>
                <w:szCs w:val="1"/>
                <w:color w:val="auto"/>
              </w:rPr>
            </w:pPr>
          </w:p>
        </w:tc>
        <w:tc>
          <w:tcPr>
            <w:tcW w:w="1760" w:type="dxa"/>
            <w:vAlign w:val="bottom"/>
            <w:tcBorders>
              <w:bottom w:val="single" w:sz="8" w:color="5673B8"/>
            </w:tcBorders>
          </w:tcPr>
          <w:p>
            <w:pPr>
              <w:spacing w:after="0" w:line="20" w:lineRule="exact"/>
              <w:rPr>
                <w:sz w:val="1"/>
                <w:szCs w:val="1"/>
                <w:color w:val="auto"/>
              </w:rPr>
            </w:pPr>
          </w:p>
        </w:tc>
        <w:tc>
          <w:tcPr>
            <w:tcW w:w="1100" w:type="dxa"/>
            <w:vAlign w:val="bottom"/>
            <w:tcBorders>
              <w:bottom w:val="single" w:sz="8" w:color="5673B8"/>
            </w:tcBorders>
          </w:tcPr>
          <w:p>
            <w:pPr>
              <w:spacing w:after="0" w:line="20" w:lineRule="exact"/>
              <w:rPr>
                <w:sz w:val="1"/>
                <w:szCs w:val="1"/>
                <w:color w:val="auto"/>
              </w:rPr>
            </w:pPr>
          </w:p>
        </w:tc>
      </w:tr>
      <w:tr>
        <w:trPr>
          <w:trHeight w:val="202"/>
        </w:trPr>
        <w:tc>
          <w:tcPr>
            <w:tcW w:w="8400" w:type="dxa"/>
            <w:vAlign w:val="bottom"/>
          </w:tcPr>
          <w:p>
            <w:pPr>
              <w:ind w:left="100"/>
              <w:spacing w:after="0"/>
              <w:rPr>
                <w:sz w:val="20"/>
                <w:szCs w:val="20"/>
                <w:color w:val="auto"/>
              </w:rPr>
            </w:pPr>
            <w:r>
              <w:rPr>
                <w:rFonts w:ascii="Arial" w:cs="Arial" w:eastAsia="Arial" w:hAnsi="Arial"/>
                <w:sz w:val="14"/>
                <w:szCs w:val="14"/>
                <w:color w:val="auto"/>
              </w:rPr>
              <w:t>Audit-Related Fees</w:t>
            </w:r>
          </w:p>
        </w:tc>
        <w:tc>
          <w:tcPr>
            <w:tcW w:w="1760" w:type="dxa"/>
            <w:vAlign w:val="bottom"/>
          </w:tcPr>
          <w:p>
            <w:pPr>
              <w:jc w:val="right"/>
              <w:ind w:right="448"/>
              <w:spacing w:after="0"/>
              <w:rPr>
                <w:sz w:val="20"/>
                <w:szCs w:val="20"/>
                <w:color w:val="auto"/>
              </w:rPr>
            </w:pPr>
            <w:r>
              <w:rPr>
                <w:rFonts w:ascii="Arial" w:cs="Arial" w:eastAsia="Arial" w:hAnsi="Arial"/>
                <w:sz w:val="14"/>
                <w:szCs w:val="14"/>
                <w:color w:val="auto"/>
              </w:rPr>
              <w:t>75</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121</w:t>
            </w:r>
          </w:p>
        </w:tc>
      </w:tr>
      <w:tr>
        <w:trPr>
          <w:trHeight w:val="22"/>
        </w:trPr>
        <w:tc>
          <w:tcPr>
            <w:tcW w:w="8400" w:type="dxa"/>
            <w:vAlign w:val="bottom"/>
            <w:tcBorders>
              <w:bottom w:val="single" w:sz="8" w:color="5673B8"/>
            </w:tcBorders>
          </w:tcPr>
          <w:p>
            <w:pPr>
              <w:spacing w:after="0" w:line="20" w:lineRule="exact"/>
              <w:rPr>
                <w:sz w:val="1"/>
                <w:szCs w:val="1"/>
                <w:color w:val="auto"/>
              </w:rPr>
            </w:pPr>
          </w:p>
        </w:tc>
        <w:tc>
          <w:tcPr>
            <w:tcW w:w="1760" w:type="dxa"/>
            <w:vAlign w:val="bottom"/>
            <w:tcBorders>
              <w:bottom w:val="single" w:sz="8" w:color="5673B8"/>
            </w:tcBorders>
          </w:tcPr>
          <w:p>
            <w:pPr>
              <w:spacing w:after="0" w:line="20" w:lineRule="exact"/>
              <w:rPr>
                <w:sz w:val="1"/>
                <w:szCs w:val="1"/>
                <w:color w:val="auto"/>
              </w:rPr>
            </w:pPr>
          </w:p>
        </w:tc>
        <w:tc>
          <w:tcPr>
            <w:tcW w:w="1100" w:type="dxa"/>
            <w:vAlign w:val="bottom"/>
            <w:tcBorders>
              <w:bottom w:val="single" w:sz="8" w:color="5673B8"/>
            </w:tcBorders>
          </w:tcPr>
          <w:p>
            <w:pPr>
              <w:spacing w:after="0" w:line="20" w:lineRule="exact"/>
              <w:rPr>
                <w:sz w:val="1"/>
                <w:szCs w:val="1"/>
                <w:color w:val="auto"/>
              </w:rPr>
            </w:pPr>
          </w:p>
        </w:tc>
      </w:tr>
      <w:tr>
        <w:trPr>
          <w:trHeight w:val="201"/>
        </w:trPr>
        <w:tc>
          <w:tcPr>
            <w:tcW w:w="8400" w:type="dxa"/>
            <w:vAlign w:val="bottom"/>
          </w:tcPr>
          <w:p>
            <w:pPr>
              <w:ind w:left="100"/>
              <w:spacing w:after="0"/>
              <w:rPr>
                <w:sz w:val="20"/>
                <w:szCs w:val="20"/>
                <w:color w:val="auto"/>
              </w:rPr>
            </w:pPr>
            <w:r>
              <w:rPr>
                <w:rFonts w:ascii="Arial" w:cs="Arial" w:eastAsia="Arial" w:hAnsi="Arial"/>
                <w:sz w:val="14"/>
                <w:szCs w:val="14"/>
                <w:color w:val="auto"/>
              </w:rPr>
              <w:t>Tax Fees</w:t>
            </w:r>
          </w:p>
        </w:tc>
        <w:tc>
          <w:tcPr>
            <w:tcW w:w="1760" w:type="dxa"/>
            <w:vAlign w:val="bottom"/>
          </w:tcPr>
          <w:p>
            <w:pPr>
              <w:jc w:val="right"/>
              <w:ind w:right="448"/>
              <w:spacing w:after="0"/>
              <w:rPr>
                <w:sz w:val="20"/>
                <w:szCs w:val="20"/>
                <w:color w:val="auto"/>
              </w:rPr>
            </w:pPr>
            <w:r>
              <w:rPr>
                <w:rFonts w:ascii="Arial" w:cs="Arial" w:eastAsia="Arial" w:hAnsi="Arial"/>
                <w:sz w:val="14"/>
                <w:szCs w:val="14"/>
                <w:color w:val="auto"/>
              </w:rPr>
              <w:t>1,352</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1,039</w:t>
            </w:r>
          </w:p>
        </w:tc>
      </w:tr>
      <w:tr>
        <w:trPr>
          <w:trHeight w:val="22"/>
        </w:trPr>
        <w:tc>
          <w:tcPr>
            <w:tcW w:w="8400" w:type="dxa"/>
            <w:vAlign w:val="bottom"/>
            <w:tcBorders>
              <w:bottom w:val="single" w:sz="8" w:color="5673B8"/>
            </w:tcBorders>
          </w:tcPr>
          <w:p>
            <w:pPr>
              <w:spacing w:after="0" w:line="20" w:lineRule="exact"/>
              <w:rPr>
                <w:sz w:val="1"/>
                <w:szCs w:val="1"/>
                <w:color w:val="auto"/>
              </w:rPr>
            </w:pPr>
          </w:p>
        </w:tc>
        <w:tc>
          <w:tcPr>
            <w:tcW w:w="1760" w:type="dxa"/>
            <w:vAlign w:val="bottom"/>
            <w:tcBorders>
              <w:bottom w:val="single" w:sz="8" w:color="5673B8"/>
            </w:tcBorders>
          </w:tcPr>
          <w:p>
            <w:pPr>
              <w:spacing w:after="0" w:line="20" w:lineRule="exact"/>
              <w:rPr>
                <w:sz w:val="1"/>
                <w:szCs w:val="1"/>
                <w:color w:val="auto"/>
              </w:rPr>
            </w:pPr>
          </w:p>
        </w:tc>
        <w:tc>
          <w:tcPr>
            <w:tcW w:w="1100" w:type="dxa"/>
            <w:vAlign w:val="bottom"/>
            <w:tcBorders>
              <w:bottom w:val="single" w:sz="8" w:color="5673B8"/>
            </w:tcBorders>
          </w:tcPr>
          <w:p>
            <w:pPr>
              <w:spacing w:after="0" w:line="20" w:lineRule="exact"/>
              <w:rPr>
                <w:sz w:val="1"/>
                <w:szCs w:val="1"/>
                <w:color w:val="auto"/>
              </w:rPr>
            </w:pPr>
          </w:p>
        </w:tc>
      </w:tr>
      <w:tr>
        <w:trPr>
          <w:trHeight w:val="202"/>
        </w:trPr>
        <w:tc>
          <w:tcPr>
            <w:tcW w:w="8400" w:type="dxa"/>
            <w:vAlign w:val="bottom"/>
          </w:tcPr>
          <w:p>
            <w:pPr>
              <w:ind w:left="100"/>
              <w:spacing w:after="0"/>
              <w:rPr>
                <w:sz w:val="20"/>
                <w:szCs w:val="20"/>
                <w:color w:val="auto"/>
              </w:rPr>
            </w:pPr>
            <w:r>
              <w:rPr>
                <w:rFonts w:ascii="Arial" w:cs="Arial" w:eastAsia="Arial" w:hAnsi="Arial"/>
                <w:sz w:val="14"/>
                <w:szCs w:val="14"/>
                <w:color w:val="auto"/>
              </w:rPr>
              <w:t>All Other Fees</w:t>
            </w:r>
          </w:p>
        </w:tc>
        <w:tc>
          <w:tcPr>
            <w:tcW w:w="1760" w:type="dxa"/>
            <w:vAlign w:val="bottom"/>
          </w:tcPr>
          <w:p>
            <w:pPr>
              <w:jc w:val="right"/>
              <w:ind w:right="448"/>
              <w:spacing w:after="0"/>
              <w:rPr>
                <w:sz w:val="20"/>
                <w:szCs w:val="20"/>
                <w:color w:val="auto"/>
              </w:rPr>
            </w:pPr>
            <w:r>
              <w:rPr>
                <w:rFonts w:ascii="Arial" w:cs="Arial" w:eastAsia="Arial" w:hAnsi="Arial"/>
                <w:sz w:val="14"/>
                <w:szCs w:val="14"/>
                <w:color w:val="auto"/>
              </w:rPr>
              <w:t>74</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70</w:t>
            </w:r>
          </w:p>
        </w:tc>
      </w:tr>
      <w:tr>
        <w:trPr>
          <w:trHeight w:val="22"/>
        </w:trPr>
        <w:tc>
          <w:tcPr>
            <w:tcW w:w="8400" w:type="dxa"/>
            <w:vAlign w:val="bottom"/>
            <w:tcBorders>
              <w:bottom w:val="single" w:sz="8" w:color="852166"/>
            </w:tcBorders>
          </w:tcPr>
          <w:p>
            <w:pPr>
              <w:spacing w:after="0" w:line="20" w:lineRule="exact"/>
              <w:rPr>
                <w:sz w:val="1"/>
                <w:szCs w:val="1"/>
                <w:color w:val="auto"/>
              </w:rPr>
            </w:pPr>
          </w:p>
        </w:tc>
        <w:tc>
          <w:tcPr>
            <w:tcW w:w="1760" w:type="dxa"/>
            <w:vAlign w:val="bottom"/>
            <w:tcBorders>
              <w:bottom w:val="single" w:sz="8" w:color="852166"/>
            </w:tcBorders>
          </w:tcPr>
          <w:p>
            <w:pPr>
              <w:spacing w:after="0" w:line="20" w:lineRule="exact"/>
              <w:rPr>
                <w:sz w:val="1"/>
                <w:szCs w:val="1"/>
                <w:color w:val="auto"/>
              </w:rPr>
            </w:pPr>
          </w:p>
        </w:tc>
        <w:tc>
          <w:tcPr>
            <w:tcW w:w="1100" w:type="dxa"/>
            <w:vAlign w:val="bottom"/>
            <w:tcBorders>
              <w:bottom w:val="single" w:sz="8" w:color="852166"/>
            </w:tcBorders>
          </w:tcPr>
          <w:p>
            <w:pPr>
              <w:spacing w:after="0" w:line="20" w:lineRule="exact"/>
              <w:rPr>
                <w:sz w:val="1"/>
                <w:szCs w:val="1"/>
                <w:color w:val="auto"/>
              </w:rPr>
            </w:pPr>
          </w:p>
        </w:tc>
      </w:tr>
      <w:tr>
        <w:trPr>
          <w:trHeight w:val="216"/>
        </w:trPr>
        <w:tc>
          <w:tcPr>
            <w:tcW w:w="840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852166"/>
              </w:rPr>
              <w:t>Total Fees</w:t>
            </w:r>
          </w:p>
        </w:tc>
        <w:tc>
          <w:tcPr>
            <w:tcW w:w="1760" w:type="dxa"/>
            <w:vAlign w:val="bottom"/>
            <w:tcBorders>
              <w:bottom w:val="single" w:sz="8" w:color="852166"/>
            </w:tcBorders>
          </w:tcPr>
          <w:p>
            <w:pPr>
              <w:jc w:val="right"/>
              <w:ind w:right="448"/>
              <w:spacing w:after="0"/>
              <w:rPr>
                <w:sz w:val="20"/>
                <w:szCs w:val="20"/>
                <w:color w:val="auto"/>
              </w:rPr>
            </w:pPr>
            <w:r>
              <w:rPr>
                <w:rFonts w:ascii="Arial" w:cs="Arial" w:eastAsia="Arial" w:hAnsi="Arial"/>
                <w:sz w:val="14"/>
                <w:szCs w:val="14"/>
                <w:b w:val="1"/>
                <w:bCs w:val="1"/>
                <w:color w:val="852166"/>
              </w:rPr>
              <w:t>$5,757</w:t>
            </w:r>
          </w:p>
        </w:tc>
        <w:tc>
          <w:tcPr>
            <w:tcW w:w="1100" w:type="dxa"/>
            <w:vAlign w:val="bottom"/>
            <w:tcBorders>
              <w:bottom w:val="single" w:sz="8" w:color="852166"/>
            </w:tcBorders>
          </w:tcPr>
          <w:p>
            <w:pPr>
              <w:jc w:val="right"/>
              <w:ind w:right="108"/>
              <w:spacing w:after="0"/>
              <w:rPr>
                <w:sz w:val="20"/>
                <w:szCs w:val="20"/>
                <w:color w:val="auto"/>
              </w:rPr>
            </w:pPr>
            <w:r>
              <w:rPr>
                <w:rFonts w:ascii="Arial" w:cs="Arial" w:eastAsia="Arial" w:hAnsi="Arial"/>
                <w:sz w:val="14"/>
                <w:szCs w:val="14"/>
                <w:b w:val="1"/>
                <w:bCs w:val="1"/>
                <w:color w:val="852166"/>
              </w:rPr>
              <w:t>$5,446</w:t>
            </w: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Audit Fees</w:t>
      </w:r>
    </w:p>
    <w:p>
      <w:pPr>
        <w:spacing w:after="0" w:line="185" w:lineRule="exact"/>
        <w:rPr>
          <w:sz w:val="20"/>
          <w:szCs w:val="20"/>
          <w:color w:val="auto"/>
        </w:rPr>
      </w:pPr>
    </w:p>
    <w:p>
      <w:pPr>
        <w:ind w:right="500"/>
        <w:spacing w:after="0" w:line="321" w:lineRule="auto"/>
        <w:rPr>
          <w:sz w:val="20"/>
          <w:szCs w:val="20"/>
          <w:color w:val="auto"/>
        </w:rPr>
      </w:pPr>
      <w:r>
        <w:rPr>
          <w:rFonts w:ascii="Arial" w:cs="Arial" w:eastAsia="Arial" w:hAnsi="Arial"/>
          <w:sz w:val="16"/>
          <w:szCs w:val="16"/>
          <w:color w:val="auto"/>
        </w:rPr>
        <w:t>Audit fees consist of fees and expenses for professional services in respect of the audit of our Company’s consolidated financial statements and of our internal control over financial reporting, the review of quarterly consolidated financial statements and statutory audits.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Audit-Related Fees</w:t>
      </w:r>
    </w:p>
    <w:p>
      <w:pPr>
        <w:spacing w:after="0" w:line="185"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color w:val="auto"/>
        </w:rPr>
        <w:t>Audit-related fees consist of fees for assurance and related services (e.g. due diligence services) that traditionally are performed by the independent accountant. More specifically, these services were primarily related to auditor certifications.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Tax Fees</w:t>
      </w:r>
    </w:p>
    <w:p>
      <w:pPr>
        <w:spacing w:after="0" w:line="185" w:lineRule="exact"/>
        <w:rPr>
          <w:sz w:val="20"/>
          <w:szCs w:val="20"/>
          <w:color w:val="auto"/>
        </w:rPr>
      </w:pPr>
    </w:p>
    <w:p>
      <w:pPr>
        <w:ind w:right="320"/>
        <w:spacing w:after="0" w:line="295" w:lineRule="auto"/>
        <w:rPr>
          <w:sz w:val="20"/>
          <w:szCs w:val="20"/>
          <w:color w:val="auto"/>
        </w:rPr>
      </w:pPr>
      <w:r>
        <w:rPr>
          <w:rFonts w:ascii="Arial" w:cs="Arial" w:eastAsia="Arial" w:hAnsi="Arial"/>
          <w:sz w:val="16"/>
          <w:szCs w:val="16"/>
          <w:color w:val="auto"/>
        </w:rPr>
        <w:t>Tax fees consist of fees and expenses for professional services for tax compliance. Tax compliance services consist of professional services related to domestic and international tax compliance, and assistance with domestic and international tax return preparation. During the year ended December 31, 2025, fees and expenses of approximately $1,352,000 were billed in connection with tax compliance service. During the year ended December 31, 2024, fees and expenses of approximately $1,039,000 were billed in connection with tax compliance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171450</wp:posOffset>
            </wp:positionV>
            <wp:extent cx="1242695" cy="2057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82"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42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22" w:right="319" w:bottom="1440" w:gutter="0" w:footer="0" w:header="0"/>
        </w:sectPr>
      </w:pPr>
    </w:p>
    <w:bookmarkStart w:id="50" w:name="page51"/>
    <w:bookmarkEnd w:id="50"/>
    <w:p>
      <w:pPr>
        <w:ind w:left="996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6251575</wp:posOffset>
            </wp:positionH>
            <wp:positionV relativeFrom="page">
              <wp:posOffset>208915</wp:posOffset>
            </wp:positionV>
            <wp:extent cx="1089025" cy="3003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089025" cy="300355"/>
                    </a:xfrm>
                    <a:prstGeom prst="rect">
                      <a:avLst/>
                    </a:prstGeom>
                    <a:noFill/>
                  </pic:spPr>
                </pic:pic>
              </a:graphicData>
            </a:graphic>
          </wp:anchor>
        </w:drawing>
        <w:t>AUDIT MATTERS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All Other Fees</w:t>
      </w:r>
    </w:p>
    <w:p>
      <w:pPr>
        <w:spacing w:after="0" w:line="185" w:lineRule="exact"/>
        <w:rPr>
          <w:sz w:val="20"/>
          <w:szCs w:val="20"/>
          <w:color w:val="auto"/>
        </w:rPr>
      </w:pPr>
    </w:p>
    <w:p>
      <w:pPr>
        <w:jc w:val="both"/>
        <w:ind w:right="280"/>
        <w:spacing w:after="0" w:line="301" w:lineRule="auto"/>
        <w:rPr>
          <w:sz w:val="20"/>
          <w:szCs w:val="20"/>
          <w:color w:val="auto"/>
        </w:rPr>
      </w:pPr>
      <w:r>
        <w:rPr>
          <w:rFonts w:ascii="Arial" w:cs="Arial" w:eastAsia="Arial" w:hAnsi="Arial"/>
          <w:sz w:val="16"/>
          <w:szCs w:val="16"/>
          <w:color w:val="auto"/>
        </w:rPr>
        <w:t>All other fees consist of fees for products and services other than the services described above. For the year ended December 31, 2025, these fees were paid in connection with a limited assurance assessment for ESG reporting purposes and for translation services. For the year ended December 31, 2024, these fees were paid in connection with a double materiality compliance assessment for ESG reporting purposes.</w:t>
      </w:r>
    </w:p>
    <w:p>
      <w:pPr>
        <w:spacing w:after="0" w:line="140" w:lineRule="exact"/>
        <w:rPr>
          <w:sz w:val="20"/>
          <w:szCs w:val="20"/>
          <w:color w:val="auto"/>
        </w:rPr>
      </w:pPr>
    </w:p>
    <w:p>
      <w:pPr>
        <w:spacing w:after="0"/>
        <w:rPr>
          <w:sz w:val="20"/>
          <w:szCs w:val="20"/>
          <w:color w:val="auto"/>
        </w:rPr>
      </w:pPr>
      <w:r>
        <w:rPr>
          <w:rFonts w:ascii="Arial" w:cs="Arial" w:eastAsia="Arial" w:hAnsi="Arial"/>
          <w:sz w:val="29"/>
          <w:szCs w:val="29"/>
          <w:color w:val="852166"/>
        </w:rPr>
        <w:t>Pre-Approval Policies and Procedures</w:t>
      </w:r>
    </w:p>
    <w:p>
      <w:pPr>
        <w:spacing w:after="0" w:line="19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Our Audit Committee has a policy and procedures for the pre-approval of audit and non-audit services rendered by our independent registered public accounting firm. Our policy generally requires the pre-approval of specified services in the defined categories of audit services, audit-related services, and tax services up to specified amounts. Pre-approval may also be given as part of our Audit Committee’s approval of the scope of the engagement of the independent auditor or on an individual explicit case-by-case basis before the independent auditor is engaged to provide each service. The pre-approval of services may be delegated to one or more of our Audit Committee’s members, but the decision must be reported to our Audit Committee at its next scheduled meeting.</w:t>
      </w:r>
    </w:p>
    <w:p>
      <w:pPr>
        <w:spacing w:after="0" w:line="165" w:lineRule="exact"/>
        <w:rPr>
          <w:sz w:val="20"/>
          <w:szCs w:val="20"/>
          <w:color w:val="auto"/>
        </w:rPr>
      </w:pPr>
    </w:p>
    <w:p>
      <w:pPr>
        <w:spacing w:after="0"/>
        <w:rPr>
          <w:sz w:val="20"/>
          <w:szCs w:val="20"/>
          <w:color w:val="auto"/>
        </w:rPr>
      </w:pPr>
      <w:r>
        <w:rPr>
          <w:rFonts w:ascii="Arial" w:cs="Arial" w:eastAsia="Arial" w:hAnsi="Arial"/>
          <w:sz w:val="29"/>
          <w:szCs w:val="29"/>
          <w:color w:val="852166"/>
        </w:rPr>
        <w:t>Independence</w:t>
      </w:r>
    </w:p>
    <w:p>
      <w:pPr>
        <w:spacing w:after="0" w:line="184" w:lineRule="exact"/>
        <w:rPr>
          <w:sz w:val="20"/>
          <w:szCs w:val="20"/>
          <w:color w:val="auto"/>
        </w:rPr>
      </w:pPr>
    </w:p>
    <w:p>
      <w:pPr>
        <w:ind w:right="680"/>
        <w:spacing w:after="0" w:line="321" w:lineRule="auto"/>
        <w:rPr>
          <w:sz w:val="20"/>
          <w:szCs w:val="20"/>
          <w:color w:val="auto"/>
        </w:rPr>
      </w:pPr>
      <w:r>
        <w:rPr>
          <w:rFonts w:ascii="Arial" w:cs="Arial" w:eastAsia="Arial" w:hAnsi="Arial"/>
          <w:sz w:val="16"/>
          <w:szCs w:val="16"/>
          <w:color w:val="auto"/>
        </w:rPr>
        <w:t>Our Audit Committee determined that the rendering of the services other than audit services by our independent registered public accounting firm is compatible with maintaining the principal accountant’s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6083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636466"/>
        </w:rPr>
        <w:t xml:space="preserve">OUR BOARD RECOMMENDS A VOTE </w:t>
      </w:r>
      <w:r>
        <w:rPr>
          <w:rFonts w:ascii="Arial" w:cs="Arial" w:eastAsia="Arial" w:hAnsi="Arial"/>
          <w:sz w:val="18"/>
          <w:szCs w:val="18"/>
          <w:b w:val="1"/>
          <w:bCs w:val="1"/>
          <w:color w:val="852166"/>
        </w:rPr>
        <w:t>“FOR”</w:t>
      </w:r>
      <w:r>
        <w:rPr>
          <w:rFonts w:ascii="Arial" w:cs="Arial" w:eastAsia="Arial" w:hAnsi="Arial"/>
          <w:sz w:val="18"/>
          <w:szCs w:val="18"/>
          <w:b w:val="1"/>
          <w:bCs w:val="1"/>
          <w:color w:val="636466"/>
        </w:rPr>
        <w:t xml:space="preserve"> 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9"/>
          <w:szCs w:val="29"/>
          <w:color w:val="852166"/>
        </w:rPr>
        <w:t>Report of our Audit Committee</w:t>
      </w:r>
      <w:r>
        <w:rPr>
          <w:rFonts w:ascii="Arial" w:cs="Arial" w:eastAsia="Arial" w:hAnsi="Arial"/>
          <w:sz w:val="37"/>
          <w:szCs w:val="37"/>
          <w:color w:val="852166"/>
          <w:vertAlign w:val="superscript"/>
        </w:rPr>
        <w:t>(1)</w:t>
      </w:r>
    </w:p>
    <w:p>
      <w:pPr>
        <w:spacing w:after="0" w:line="11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Audit Committee has reviewed and discussed our audited financial statements for the fiscal year ended December 31, 2025 with our management. Our Audit Committee has discussed with KPMG, the independent registered public accounting firm that audited our financial statements for the fiscal year ended December 31, 2025, the matters required to be discussed by the applicable requirements of the PCAOB and the SEC. Our Audit Committee has also received the written disclosures and the letter from KPMG required by applicable requirements of the PCAOB regarding the independent accountants’ communications with our Audit Committee concerning independence, and has discussed with KPMG that firm’s independence. Based on the foregoing, our Audit Committee recommended to our Board that the audited financial statements be included in the 2025 Annual Report on Form 10-K for filing with the SEC.</w:t>
      </w:r>
    </w:p>
    <w:p>
      <w:pPr>
        <w:spacing w:after="0" w:line="200" w:lineRule="exact"/>
        <w:rPr>
          <w:sz w:val="20"/>
          <w:szCs w:val="20"/>
          <w:color w:val="auto"/>
        </w:rPr>
      </w:pPr>
    </w:p>
    <w:p>
      <w:pPr>
        <w:spacing w:after="0" w:line="307"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Respectfully submitted,</w:t>
      </w:r>
    </w:p>
    <w:p>
      <w:pPr>
        <w:spacing w:after="0" w:line="194" w:lineRule="exact"/>
        <w:rPr>
          <w:sz w:val="20"/>
          <w:szCs w:val="20"/>
          <w:color w:val="auto"/>
        </w:rPr>
      </w:pPr>
    </w:p>
    <w:p>
      <w:pPr>
        <w:ind w:left="6320"/>
        <w:spacing w:after="0"/>
        <w:rPr>
          <w:sz w:val="20"/>
          <w:szCs w:val="20"/>
          <w:color w:val="auto"/>
        </w:rPr>
      </w:pPr>
      <w:r>
        <w:rPr>
          <w:rFonts w:ascii="Arial" w:cs="Arial" w:eastAsia="Arial" w:hAnsi="Arial"/>
          <w:sz w:val="16"/>
          <w:szCs w:val="16"/>
          <w:b w:val="1"/>
          <w:bCs w:val="1"/>
          <w:color w:val="001C71"/>
        </w:rPr>
        <w:t>Our Audit Committee</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Mr. Patrick Kennedy (Chair)</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Mr. Patrick G. Enright</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Dr. Ted W. Love, M.D.</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Ms. Heather Ann McSharry</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Ms. Anne O’Riordan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28200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360" w:right="100" w:hanging="334"/>
        <w:spacing w:after="0" w:line="273" w:lineRule="auto"/>
        <w:tabs>
          <w:tab w:leader="none" w:pos="347" w:val="left"/>
        </w:tabs>
        <w:numPr>
          <w:ilvl w:val="0"/>
          <w:numId w:val="37"/>
        </w:numPr>
        <w:rPr>
          <w:rFonts w:ascii="Arial" w:cs="Arial" w:eastAsia="Arial" w:hAnsi="Arial"/>
          <w:sz w:val="14"/>
          <w:szCs w:val="14"/>
          <w:color w:val="auto"/>
        </w:rPr>
      </w:pPr>
      <w:r>
        <w:rPr>
          <w:rFonts w:ascii="Arial" w:cs="Arial" w:eastAsia="Arial" w:hAnsi="Arial"/>
          <w:sz w:val="14"/>
          <w:szCs w:val="14"/>
          <w:color w:val="auto"/>
        </w:rPr>
        <w:t>By our Audit Committee as of the 2025 Annual Report on Form 10-K. The material under the heading “Report of our Audit Committee” in our proxy statement is not “soliciting material,” is not deemed “filed” with the SEC and is not to be incorporated by reference in any filing by us under the Securities Act or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196850</wp:posOffset>
            </wp:positionV>
            <wp:extent cx="1242695" cy="2057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43</w:t>
            </w:r>
          </w:p>
        </w:tc>
      </w:tr>
      <w:tr>
        <w:trPr>
          <w:trHeight w:val="494"/>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1088390" cy="342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54"/>
          <w:szCs w:val="54"/>
          <w:b w:val="1"/>
          <w:bCs w:val="1"/>
          <w:color w:val="001C71"/>
        </w:rPr>
        <w:t>Executive Officers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biographies provide information regarding our executive officers as of 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149225</wp:posOffset>
            </wp:positionV>
            <wp:extent cx="1757045" cy="21602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757045" cy="2160270"/>
                    </a:xfrm>
                    <a:prstGeom prst="rect">
                      <a:avLst/>
                    </a:prstGeom>
                    <a:noFill/>
                  </pic:spPr>
                </pic:pic>
              </a:graphicData>
            </a:graphic>
          </wp:anchor>
        </w:drawing>
      </w:r>
    </w:p>
    <w:p>
      <w:pPr>
        <w:sectPr>
          <w:pgSz w:w="11900" w:h="16838" w:orient="portrait"/>
          <w:cols w:equalWidth="0" w:num="1">
            <w:col w:w="10140"/>
          </w:cols>
          <w:pgMar w:left="320" w:top="1440"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40"/>
        <w:spacing w:after="0"/>
        <w:rPr>
          <w:sz w:val="20"/>
          <w:szCs w:val="20"/>
          <w:color w:val="auto"/>
        </w:rPr>
      </w:pPr>
      <w:r>
        <w:rPr>
          <w:rFonts w:ascii="Arial" w:cs="Arial" w:eastAsia="Arial" w:hAnsi="Arial"/>
          <w:sz w:val="25"/>
          <w:szCs w:val="25"/>
          <w:b w:val="1"/>
          <w:bCs w:val="1"/>
          <w:color w:val="001C71"/>
        </w:rPr>
        <w:t>Renee D. Gala</w:t>
      </w:r>
    </w:p>
    <w:p>
      <w:pPr>
        <w:spacing w:after="0" w:line="200"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PRESIDENT, CEO AND</w:t>
      </w:r>
    </w:p>
    <w:p>
      <w:pPr>
        <w:spacing w:after="0" w:line="35"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DIRECTOR</w:t>
      </w:r>
    </w:p>
    <w:p>
      <w:pPr>
        <w:spacing w:after="0" w:line="169"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598170</wp:posOffset>
            </wp:positionV>
            <wp:extent cx="1757045" cy="216027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75704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340"/>
        <w:spacing w:after="0"/>
        <w:rPr>
          <w:sz w:val="20"/>
          <w:szCs w:val="20"/>
          <w:color w:val="auto"/>
        </w:rPr>
      </w:pPr>
      <w:r>
        <w:rPr>
          <w:rFonts w:ascii="Arial" w:cs="Arial" w:eastAsia="Arial" w:hAnsi="Arial"/>
          <w:sz w:val="25"/>
          <w:szCs w:val="25"/>
          <w:b w:val="1"/>
          <w:bCs w:val="1"/>
          <w:color w:val="001C71"/>
        </w:rPr>
        <w:t>Philip L. Johnson</w:t>
      </w:r>
    </w:p>
    <w:p>
      <w:pPr>
        <w:spacing w:after="0" w:line="214"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EXECUTIVE VICE PRESIDENT</w:t>
      </w:r>
    </w:p>
    <w:p>
      <w:pPr>
        <w:spacing w:after="0" w:line="35"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AND CFO</w:t>
      </w:r>
    </w:p>
    <w:p>
      <w:pPr>
        <w:spacing w:after="0" w:line="169"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62</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82" w:lineRule="exact"/>
        <w:rPr>
          <w:sz w:val="20"/>
          <w:szCs w:val="20"/>
          <w:color w:val="auto"/>
        </w:rPr>
      </w:pPr>
    </w:p>
    <w:p>
      <w:pPr>
        <w:ind w:right="120"/>
        <w:spacing w:after="0" w:line="325" w:lineRule="auto"/>
        <w:rPr>
          <w:sz w:val="20"/>
          <w:szCs w:val="20"/>
          <w:color w:val="auto"/>
        </w:rPr>
      </w:pPr>
      <w:r>
        <w:rPr>
          <w:rFonts w:ascii="Arial" w:cs="Arial" w:eastAsia="Arial" w:hAnsi="Arial"/>
          <w:sz w:val="14"/>
          <w:szCs w:val="14"/>
          <w:color w:val="auto"/>
        </w:rPr>
        <w:t>Biographical information regarding Ms. Gala is set forth above under “</w:t>
      </w:r>
      <w:r>
        <w:rPr>
          <w:rFonts w:ascii="Arial" w:cs="Arial" w:eastAsia="Arial" w:hAnsi="Arial"/>
          <w:sz w:val="14"/>
          <w:szCs w:val="14"/>
          <w:i w:val="1"/>
          <w:iCs w:val="1"/>
          <w:color w:val="auto"/>
        </w:rPr>
        <w:t>Proposal 1- Election of</w:t>
      </w:r>
      <w:r>
        <w:rPr>
          <w:rFonts w:ascii="Arial" w:cs="Arial" w:eastAsia="Arial" w:hAnsi="Arial"/>
          <w:sz w:val="14"/>
          <w:szCs w:val="14"/>
          <w:color w:val="auto"/>
        </w:rPr>
        <w:t xml:space="preserve"> </w:t>
      </w:r>
      <w:r>
        <w:rPr>
          <w:rFonts w:ascii="Arial" w:cs="Arial" w:eastAsia="Arial" w:hAnsi="Arial"/>
          <w:sz w:val="14"/>
          <w:szCs w:val="14"/>
          <w:i w:val="1"/>
          <w:iCs w:val="1"/>
          <w:color w:val="auto"/>
        </w:rPr>
        <w:t>Directors - Directors Continuing in Office.</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Philip L. Johnson was appointed our Executive Vice President and CFO as of March 2024. From January 2018 to February 2024, Mr. Johnson served as group vice president and treasurer at Eli Lilly and Company, a global pharmaceutical company. Mr. Johnson joined Eli Lilly and Company in 1995, where he served in a variety of roles with increasing responsibility. Prior to his tenure at Eli Lilly and Company, he was a management consultant at McKinsey &amp; Company and worked with investment banks in Milan, Italy and Chicago, Illinois. Mr. Johnson serves as an executive board member and Treasurer of the Indianapolis Urban League and as a board member of Lynx Capital. He also served on the board of directors of the Indiana Chamber of Commerce, Equity1821, AMR Action Fund and PrescriberPoint as well as an advisory committee member for Jumpstart Nova and Sixty8 Capital. Mr. Johnson holds a B.S. in Finance from the University of Illinois and an MBA from the Kellogg School of Management at Northwestern Universit</w:t>
      </w:r>
      <w:r>
        <w:rPr>
          <w:rFonts w:ascii="Arial" w:cs="Arial" w:eastAsia="Arial" w:hAnsi="Arial"/>
          <w:sz w:val="16"/>
          <w:szCs w:val="16"/>
          <w:color w:val="auto"/>
        </w:rPr>
        <w: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849630</wp:posOffset>
            </wp:positionV>
            <wp:extent cx="1242695" cy="2057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488" w:lineRule="exact"/>
        <w:rPr>
          <w:sz w:val="20"/>
          <w:szCs w:val="20"/>
          <w:color w:val="auto"/>
        </w:rPr>
      </w:pPr>
    </w:p>
    <w:p>
      <w:pPr>
        <w:sectPr>
          <w:pgSz w:w="11900" w:h="16838" w:orient="portrait"/>
          <w:cols w:equalWidth="0" w:num="2">
            <w:col w:w="3440" w:space="700"/>
            <w:col w:w="6000"/>
          </w:cols>
          <w:pgMar w:left="320" w:top="1440"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40" w:hanging="614"/>
        <w:spacing w:after="0"/>
        <w:tabs>
          <w:tab w:leader="none" w:pos="640" w:val="left"/>
        </w:tabs>
        <w:numPr>
          <w:ilvl w:val="0"/>
          <w:numId w:val="38"/>
        </w:numPr>
        <w:rPr>
          <w:rFonts w:ascii="Arial" w:cs="Arial" w:eastAsia="Arial" w:hAnsi="Arial"/>
          <w:sz w:val="18"/>
          <w:szCs w:val="18"/>
          <w:b w:val="1"/>
          <w:bCs w:val="1"/>
          <w:color w:val="852166"/>
        </w:rPr>
      </w:pP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20" w:top="1440" w:right="1439" w:bottom="1440" w:gutter="0" w:footer="0" w:header="0"/>
          <w:type w:val="continuous"/>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826135</wp:posOffset>
            </wp:positionV>
            <wp:extent cx="1757045" cy="29832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757045"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1C71"/>
        </w:rPr>
        <w:t>Robert Iannone</w:t>
      </w:r>
    </w:p>
    <w:p>
      <w:pPr>
        <w:spacing w:after="0" w:line="200" w:lineRule="exact"/>
        <w:rPr>
          <w:sz w:val="20"/>
          <w:szCs w:val="20"/>
          <w:color w:val="auto"/>
        </w:rPr>
      </w:pPr>
    </w:p>
    <w:p>
      <w:pPr>
        <w:ind w:left="220"/>
        <w:spacing w:after="0" w:line="297" w:lineRule="auto"/>
        <w:rPr>
          <w:sz w:val="20"/>
          <w:szCs w:val="20"/>
          <w:color w:val="auto"/>
        </w:rPr>
      </w:pPr>
      <w:r>
        <w:rPr>
          <w:rFonts w:ascii="Arial" w:cs="Arial" w:eastAsia="Arial" w:hAnsi="Arial"/>
          <w:sz w:val="14"/>
          <w:szCs w:val="14"/>
          <w:b w:val="1"/>
          <w:bCs w:val="1"/>
          <w:color w:val="636466"/>
        </w:rPr>
        <w:t>EXECUTIVE VICE PRESIDENT, GLOBAL HEAD OF RESEARCH</w:t>
      </w:r>
    </w:p>
    <w:p>
      <w:pPr>
        <w:ind w:left="220" w:right="80" w:hanging="5"/>
        <w:spacing w:after="0" w:line="323" w:lineRule="auto"/>
        <w:tabs>
          <w:tab w:leader="none" w:pos="364" w:val="left"/>
        </w:tabs>
        <w:numPr>
          <w:ilvl w:val="0"/>
          <w:numId w:val="39"/>
        </w:numPr>
        <w:rPr>
          <w:rFonts w:ascii="Arial" w:cs="Arial" w:eastAsia="Arial" w:hAnsi="Arial"/>
          <w:sz w:val="14"/>
          <w:szCs w:val="14"/>
          <w:b w:val="1"/>
          <w:bCs w:val="1"/>
          <w:color w:val="636466"/>
        </w:rPr>
      </w:pPr>
      <w:r>
        <w:rPr>
          <w:rFonts w:ascii="Arial" w:cs="Arial" w:eastAsia="Arial" w:hAnsi="Arial"/>
          <w:sz w:val="14"/>
          <w:szCs w:val="14"/>
          <w:b w:val="1"/>
          <w:bCs w:val="1"/>
          <w:color w:val="636466"/>
        </w:rPr>
        <w:t>DEVELOPMENT AND CHIEF MEDICAL OFFICER</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1137920</wp:posOffset>
            </wp:positionV>
            <wp:extent cx="1757045" cy="21685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75704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1C71"/>
        </w:rPr>
        <w:t>Neena M. Patil</w:t>
      </w:r>
    </w:p>
    <w:p>
      <w:pPr>
        <w:spacing w:after="0" w:line="200" w:lineRule="exact"/>
        <w:rPr>
          <w:sz w:val="20"/>
          <w:szCs w:val="20"/>
          <w:color w:val="auto"/>
        </w:rPr>
      </w:pPr>
    </w:p>
    <w:p>
      <w:pPr>
        <w:ind w:left="220" w:right="80"/>
        <w:spacing w:after="0" w:line="334" w:lineRule="auto"/>
        <w:rPr>
          <w:sz w:val="20"/>
          <w:szCs w:val="20"/>
          <w:color w:val="auto"/>
        </w:rPr>
      </w:pPr>
      <w:r>
        <w:rPr>
          <w:rFonts w:ascii="Arial" w:cs="Arial" w:eastAsia="Arial" w:hAnsi="Arial"/>
          <w:sz w:val="14"/>
          <w:szCs w:val="14"/>
          <w:b w:val="1"/>
          <w:bCs w:val="1"/>
          <w:color w:val="636466"/>
        </w:rPr>
        <w:t>EXECUTIVE VICE PRESIDENT AND CHIEF LEGAL OFFICER</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598170</wp:posOffset>
            </wp:positionV>
            <wp:extent cx="1757045" cy="21602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75704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1C71"/>
        </w:rPr>
        <w:t>Samantha Pearce</w:t>
      </w:r>
    </w:p>
    <w:p>
      <w:pPr>
        <w:spacing w:after="0" w:line="214" w:lineRule="exact"/>
        <w:rPr>
          <w:sz w:val="20"/>
          <w:szCs w:val="20"/>
          <w:color w:val="auto"/>
        </w:rPr>
      </w:pPr>
    </w:p>
    <w:p>
      <w:pPr>
        <w:ind w:left="220" w:right="20"/>
        <w:spacing w:after="0" w:line="334" w:lineRule="auto"/>
        <w:rPr>
          <w:sz w:val="20"/>
          <w:szCs w:val="20"/>
          <w:color w:val="auto"/>
        </w:rPr>
      </w:pPr>
      <w:r>
        <w:rPr>
          <w:rFonts w:ascii="Arial" w:cs="Arial" w:eastAsia="Arial" w:hAnsi="Arial"/>
          <w:sz w:val="14"/>
          <w:szCs w:val="14"/>
          <w:b w:val="1"/>
          <w:bCs w:val="1"/>
          <w:color w:val="636466"/>
        </w:rPr>
        <w:t>EXECUTIVE VICE PRESIDENT, CHIEF COMMERCIAL OFFICER</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666750</wp:posOffset>
            </wp:positionV>
            <wp:extent cx="1242695" cy="2057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4"/>
          <w:szCs w:val="14"/>
          <w:b w:val="1"/>
          <w:bCs w:val="1"/>
          <w:color w:val="FFFFFF"/>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-224155</wp:posOffset>
            </wp:positionV>
            <wp:extent cx="1405890" cy="3003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40589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1080"/>
        <w:spacing w:after="0" w:line="277" w:lineRule="auto"/>
        <w:rPr>
          <w:sz w:val="20"/>
          <w:szCs w:val="20"/>
          <w:color w:val="auto"/>
        </w:rPr>
      </w:pPr>
      <w:r>
        <w:rPr>
          <w:rFonts w:ascii="Arial" w:cs="Arial" w:eastAsia="Arial" w:hAnsi="Arial"/>
          <w:sz w:val="14"/>
          <w:szCs w:val="14"/>
          <w:color w:val="auto"/>
        </w:rPr>
        <w:t>Robert Iannone, M.D., M.S.C.E. was appointed our Executive Vice President, Global Head of Research and Development as of May 2019. He was appointed our Chief Medical Officer as of September 2024, having previously served as our Chief Medical Officer from December 2019 until October 2021. From April 2018 until May 2019, Dr. Iannone served as Head of R&amp;D and Chief Medical Officer of Immunomedics, Inc., a biopharmaceutical company. Prior to that, from July 2014 to April 2018, Dr. Iannone served in the roles of Senior Vice President and Head of Immuno-oncology, Global Medicines Development and the Global Products Vice President at AstraZeneca plc, a global science-led biopharmaceutical company. From 2004 to 2014, Dr. Iannone served in management roles at Merck Co., Inc., a global biopharmaceutical company, culminating in his role as Executive Director and Section Head of Oncology Clinical Development. From 2001 to 2004, he served as Assistant Professor of Pediatrics and from 2004 to 2012 as Adjunct Assistant Professor of Pediatrics at the University of Pennsylvania School of Medicine. Dr. Iannone has been serving on the board of directors of Autolus Therapeutics plc, a clinical-stage biopharmaceutical company, since June 2023. He has also served on the Cancer Steering Committee of the Foundation for the National Institutes of Health since 2011. Dr. Iannone joined the Scientific Advisory Board of Crossbow Therapeutics, Inc. in October 2023. Dr. Iannone previously served as director of Jounce Therapeutics, Inc., a clinical-stage immunotherapy company, from January 2020 to May 2023, and iTeos Therapeutics, Inc., a clinical-state biopharmaceutical company, from May 2021 to August</w:t>
      </w:r>
    </w:p>
    <w:p>
      <w:pPr>
        <w:spacing w:after="0" w:line="7" w:lineRule="exact"/>
        <w:rPr>
          <w:sz w:val="20"/>
          <w:szCs w:val="20"/>
          <w:color w:val="auto"/>
        </w:rPr>
      </w:pPr>
    </w:p>
    <w:p>
      <w:pPr>
        <w:jc w:val="both"/>
        <w:ind w:right="1300"/>
        <w:spacing w:after="0" w:line="293" w:lineRule="auto"/>
        <w:rPr>
          <w:sz w:val="20"/>
          <w:szCs w:val="20"/>
          <w:color w:val="auto"/>
        </w:rPr>
      </w:pPr>
      <w:r>
        <w:rPr>
          <w:rFonts w:ascii="Arial" w:cs="Arial" w:eastAsia="Arial" w:hAnsi="Arial"/>
          <w:sz w:val="14"/>
          <w:szCs w:val="14"/>
          <w:color w:val="auto"/>
        </w:rPr>
        <w:t>2025. Dr. Iannone holds a B.S. from The Catholic University of America, an M.D. from Yale University and an M.S.C.E. from University of Pennsylvania and completed his residency in Pediatrics and fellowship in Pediatric Hematology-Oncology at Johns Hopkins University.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1140"/>
        <w:spacing w:after="0" w:line="280" w:lineRule="auto"/>
        <w:rPr>
          <w:sz w:val="20"/>
          <w:szCs w:val="20"/>
          <w:color w:val="auto"/>
        </w:rPr>
      </w:pPr>
      <w:r>
        <w:rPr>
          <w:rFonts w:ascii="Arial" w:cs="Arial" w:eastAsia="Arial" w:hAnsi="Arial"/>
          <w:sz w:val="14"/>
          <w:szCs w:val="14"/>
          <w:color w:val="auto"/>
        </w:rPr>
        <w:t>Neena M. Patil was appointed our Executive Vice President and Chief Legal Officer as of August 2022. Ms. Patil joined Jazz Pharmaceuticals as Senior Vice President and General Counsel in July 2019. From September 2018 to July 2019, Ms. Patil served as Senior Vice President, General Counsel and Corporate Secretary of Abeona Therapeutics Inc., a clinical-stage biopharmaceutical company. Prior to that, from May 2008 to October 2016, Ms. Patil served in management positions at Novo Nordisk Inc., a global healthcare company, culminating in her role as Vice President for Legal Affairs and Associate General Counsel. Prior to 2008, she worked for several other global biopharmaceutical companies including Pfizer Inc., GPC Biotech AG and Sanofi. Ms. Patil serves on the board of directors of Teleflex, Inc., a global provider of medical technologies, where she chairs the Nominating and Governance Committee. Ms. Patil is also a member of the Biotechnology Innovation Organization board of directors. Ms. Patil holds a B.A. from Georgetown University and a J.D. and Master of Health Services Administration from the University of Michigan.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1180"/>
        <w:spacing w:after="0" w:line="282" w:lineRule="auto"/>
        <w:rPr>
          <w:sz w:val="20"/>
          <w:szCs w:val="20"/>
          <w:color w:val="auto"/>
        </w:rPr>
      </w:pPr>
      <w:r>
        <w:rPr>
          <w:rFonts w:ascii="Arial" w:cs="Arial" w:eastAsia="Arial" w:hAnsi="Arial"/>
          <w:sz w:val="14"/>
          <w:szCs w:val="14"/>
          <w:color w:val="auto"/>
        </w:rPr>
        <w:t>Samantha Pearce was appointed our Executive Vice President, Chief Commercial Officer as of August 2024. Ms. Pearce joined Jazz Pharmaceuticals as Senior Vice President, Europe and International in March 2020. From March 2010 to December 2019, Ms. Pearce held various global senior management positions with Celgene Corporation, a pharmaceutical company, most recently as Vice President and General Manager, International Markets. Prior to that, from August 2002 to March 2010, she served in management positions at AstraZeneca plc, a global pharmaceutical company, culminating in her role as Director, Specialist Care. Prior to August 2002, she worked for DuPont Pharmaceuticals, a global pharmaceutical company. Ms. Pearce holds a B.Sc. from Birmingham University, U.K. and an M.B.A. from Cranfield University,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4700" w:type="dxa"/>
        <w:tblCellMar>
          <w:top w:w="0" w:type="dxa"/>
          <w:left w:w="0" w:type="dxa"/>
          <w:bottom w:w="0" w:type="dxa"/>
          <w:right w:w="0" w:type="dxa"/>
        </w:tblCellMar>
      </w:tblPr>
      <w:tr>
        <w:trPr>
          <w:trHeight w:val="247"/>
        </w:trPr>
        <w:tc>
          <w:tcPr>
            <w:tcW w:w="1980" w:type="dxa"/>
            <w:vAlign w:val="bottom"/>
          </w:tcPr>
          <w:p>
            <w:pPr>
              <w:spacing w:after="0"/>
              <w:rPr>
                <w:sz w:val="20"/>
                <w:szCs w:val="20"/>
                <w:color w:val="auto"/>
              </w:rPr>
            </w:pPr>
            <w:r>
              <w:rPr>
                <w:rFonts w:ascii="Arial" w:cs="Arial" w:eastAsia="Arial" w:hAnsi="Arial"/>
                <w:sz w:val="14"/>
                <w:szCs w:val="14"/>
                <w:color w:val="636466"/>
              </w:rPr>
              <w:t>2026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852166"/>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296545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60" w:space="660"/>
            <w:col w:w="7080"/>
          </w:cols>
          <w:pgMar w:left="1440" w:top="522" w:right="359" w:bottom="1440" w:gutter="0" w:footer="0" w:header="0"/>
        </w:sectPr>
      </w:pPr>
    </w:p>
    <w:bookmarkStart w:id="53" w:name="page54"/>
    <w:bookmarkEnd w:id="53"/>
    <w:p>
      <w:pPr>
        <w:ind w:left="74"/>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405890" cy="3003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405890" cy="300355"/>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392430</wp:posOffset>
            </wp:positionV>
            <wp:extent cx="1757045" cy="216027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75704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314"/>
        <w:spacing w:after="0"/>
        <w:rPr>
          <w:sz w:val="20"/>
          <w:szCs w:val="20"/>
          <w:color w:val="auto"/>
        </w:rPr>
      </w:pPr>
      <w:r>
        <w:rPr>
          <w:rFonts w:ascii="Arial" w:cs="Arial" w:eastAsia="Arial" w:hAnsi="Arial"/>
          <w:sz w:val="25"/>
          <w:szCs w:val="25"/>
          <w:b w:val="1"/>
          <w:bCs w:val="1"/>
          <w:color w:val="001C71"/>
        </w:rPr>
        <w:t>Patricia Carr</w:t>
      </w:r>
    </w:p>
    <w:p>
      <w:pPr>
        <w:spacing w:after="0" w:line="200" w:lineRule="exact"/>
        <w:rPr>
          <w:sz w:val="20"/>
          <w:szCs w:val="20"/>
          <w:color w:val="auto"/>
        </w:rPr>
      </w:pPr>
    </w:p>
    <w:p>
      <w:pPr>
        <w:ind w:left="1314"/>
        <w:spacing w:after="0" w:line="354" w:lineRule="auto"/>
        <w:rPr>
          <w:sz w:val="20"/>
          <w:szCs w:val="20"/>
          <w:color w:val="auto"/>
        </w:rPr>
      </w:pPr>
      <w:r>
        <w:rPr>
          <w:rFonts w:ascii="Arial" w:cs="Arial" w:eastAsia="Arial" w:hAnsi="Arial"/>
          <w:sz w:val="14"/>
          <w:szCs w:val="14"/>
          <w:b w:val="1"/>
          <w:bCs w:val="1"/>
          <w:color w:val="636466"/>
        </w:rPr>
        <w:t>SENIOR VICE PRESIDENT, CHIEF ACCOUNTING OFFICER</w:t>
      </w:r>
    </w:p>
    <w:p>
      <w:pPr>
        <w:spacing w:after="0" w:line="52" w:lineRule="exact"/>
        <w:rPr>
          <w:sz w:val="20"/>
          <w:szCs w:val="20"/>
          <w:color w:val="auto"/>
        </w:rPr>
      </w:pPr>
    </w:p>
    <w:p>
      <w:pPr>
        <w:ind w:left="1314"/>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606425</wp:posOffset>
            </wp:positionV>
            <wp:extent cx="1757045" cy="23571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75704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314"/>
        <w:spacing w:after="0"/>
        <w:rPr>
          <w:sz w:val="20"/>
          <w:szCs w:val="20"/>
          <w:color w:val="auto"/>
        </w:rPr>
      </w:pPr>
      <w:r>
        <w:rPr>
          <w:rFonts w:ascii="Arial" w:cs="Arial" w:eastAsia="Arial" w:hAnsi="Arial"/>
          <w:sz w:val="25"/>
          <w:szCs w:val="25"/>
          <w:b w:val="1"/>
          <w:bCs w:val="1"/>
          <w:color w:val="001C71"/>
        </w:rPr>
        <w:t>Mary Elizabeth</w:t>
      </w:r>
    </w:p>
    <w:p>
      <w:pPr>
        <w:spacing w:after="0" w:line="36" w:lineRule="exact"/>
        <w:rPr>
          <w:sz w:val="20"/>
          <w:szCs w:val="20"/>
          <w:color w:val="auto"/>
        </w:rPr>
      </w:pPr>
    </w:p>
    <w:p>
      <w:pPr>
        <w:ind w:left="1314"/>
        <w:spacing w:after="0"/>
        <w:rPr>
          <w:sz w:val="20"/>
          <w:szCs w:val="20"/>
          <w:color w:val="auto"/>
        </w:rPr>
      </w:pPr>
      <w:r>
        <w:rPr>
          <w:rFonts w:ascii="Arial" w:cs="Arial" w:eastAsia="Arial" w:hAnsi="Arial"/>
          <w:sz w:val="25"/>
          <w:szCs w:val="25"/>
          <w:b w:val="1"/>
          <w:bCs w:val="1"/>
          <w:color w:val="001C71"/>
        </w:rPr>
        <w:t>Henderson</w:t>
      </w:r>
    </w:p>
    <w:p>
      <w:pPr>
        <w:spacing w:after="0" w:line="174" w:lineRule="exact"/>
        <w:rPr>
          <w:sz w:val="20"/>
          <w:szCs w:val="20"/>
          <w:color w:val="auto"/>
        </w:rPr>
      </w:pPr>
    </w:p>
    <w:p>
      <w:pPr>
        <w:ind w:left="1314"/>
        <w:spacing w:after="0"/>
        <w:rPr>
          <w:sz w:val="20"/>
          <w:szCs w:val="20"/>
          <w:color w:val="auto"/>
        </w:rPr>
      </w:pPr>
      <w:r>
        <w:rPr>
          <w:rFonts w:ascii="Arial" w:cs="Arial" w:eastAsia="Arial" w:hAnsi="Arial"/>
          <w:sz w:val="14"/>
          <w:szCs w:val="14"/>
          <w:b w:val="1"/>
          <w:bCs w:val="1"/>
          <w:color w:val="636466"/>
        </w:rPr>
        <w:t>SENIOR VICE PRESIDENT,</w:t>
      </w:r>
    </w:p>
    <w:p>
      <w:pPr>
        <w:spacing w:after="0" w:line="42" w:lineRule="exact"/>
        <w:rPr>
          <w:sz w:val="20"/>
          <w:szCs w:val="20"/>
          <w:color w:val="auto"/>
        </w:rPr>
      </w:pPr>
    </w:p>
    <w:p>
      <w:pPr>
        <w:ind w:left="1314"/>
        <w:spacing w:after="0"/>
        <w:rPr>
          <w:sz w:val="20"/>
          <w:szCs w:val="20"/>
          <w:color w:val="auto"/>
        </w:rPr>
      </w:pPr>
      <w:r>
        <w:rPr>
          <w:rFonts w:ascii="Arial" w:cs="Arial" w:eastAsia="Arial" w:hAnsi="Arial"/>
          <w:sz w:val="14"/>
          <w:szCs w:val="14"/>
          <w:b w:val="1"/>
          <w:bCs w:val="1"/>
          <w:color w:val="636466"/>
        </w:rPr>
        <w:t>TECHNICAL OPERATIONS</w:t>
      </w:r>
    </w:p>
    <w:p>
      <w:pPr>
        <w:spacing w:after="0" w:line="163" w:lineRule="exact"/>
        <w:rPr>
          <w:sz w:val="20"/>
          <w:szCs w:val="20"/>
          <w:color w:val="auto"/>
        </w:rPr>
      </w:pPr>
    </w:p>
    <w:p>
      <w:pPr>
        <w:ind w:left="1314"/>
        <w:spacing w:after="0"/>
        <w:rPr>
          <w:sz w:val="20"/>
          <w:szCs w:val="20"/>
          <w:color w:val="auto"/>
        </w:rPr>
      </w:pPr>
      <w:r>
        <w:rPr>
          <w:rFonts w:ascii="Arial" w:cs="Arial" w:eastAsia="Arial" w:hAnsi="Arial"/>
          <w:sz w:val="14"/>
          <w:szCs w:val="14"/>
          <w:b w:val="1"/>
          <w:bCs w:val="1"/>
          <w:color w:val="636466"/>
        </w:rPr>
        <w:t xml:space="preserve">AGE: </w:t>
      </w:r>
      <w:r>
        <w:rPr>
          <w:rFonts w:ascii="Arial" w:cs="Arial" w:eastAsia="Arial" w:hAnsi="Arial"/>
          <w:sz w:val="14"/>
          <w:szCs w:val="14"/>
          <w:color w:val="636466"/>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14" w:hanging="614"/>
        <w:spacing w:after="0"/>
        <w:tabs>
          <w:tab w:leader="none" w:pos="614" w:val="left"/>
        </w:tabs>
        <w:numPr>
          <w:ilvl w:val="0"/>
          <w:numId w:val="40"/>
        </w:numPr>
        <w:rPr>
          <w:rFonts w:ascii="Arial" w:cs="Arial" w:eastAsia="Arial" w:hAnsi="Arial"/>
          <w:sz w:val="18"/>
          <w:szCs w:val="18"/>
          <w:b w:val="1"/>
          <w:bCs w:val="1"/>
          <w:color w:val="852166"/>
        </w:rPr>
      </w:pP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39"/>
        <w:spacing w:after="0" w:line="282" w:lineRule="auto"/>
        <w:rPr>
          <w:sz w:val="20"/>
          <w:szCs w:val="20"/>
          <w:color w:val="auto"/>
        </w:rPr>
      </w:pPr>
      <w:r>
        <w:rPr>
          <w:rFonts w:ascii="Arial" w:cs="Arial" w:eastAsia="Arial" w:hAnsi="Arial"/>
          <w:sz w:val="14"/>
          <w:szCs w:val="14"/>
          <w:color w:val="auto"/>
        </w:rPr>
        <w:t>Patricia Carr was appointed our Senior Vice President and Chief Accounting Officer as of August 2021 and served as our interim Principal Financial Officer from October 2023 to March 2024. Ms. Carr joined Jazz Pharmaceuticals as Vice President, Finance in July 2012 and was appointed Principal Accounting Officer in August 2019. Prior to that, from September 2011 to July 2012, she served as Vice President, Finance of Alkermes plc, a global biopharmaceutical company. From June 2002 to September 2011, she served in a number of roles in Elan Corporation plc, a neuroscience-based biotechnology company, most recently as Vice President, Finance. Ms. Carr is a Fellow of the Institute of Chartered Accountants (Ireland) and holds a BComm from the University of Galway.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BACKGROUND:</w:t>
      </w:r>
    </w:p>
    <w:p>
      <w:pPr>
        <w:spacing w:after="0" w:line="69" w:lineRule="exact"/>
        <w:rPr>
          <w:sz w:val="20"/>
          <w:szCs w:val="20"/>
          <w:color w:val="auto"/>
        </w:rPr>
      </w:pPr>
    </w:p>
    <w:p>
      <w:pPr>
        <w:ind w:right="19"/>
        <w:spacing w:after="0" w:line="279" w:lineRule="auto"/>
        <w:rPr>
          <w:sz w:val="20"/>
          <w:szCs w:val="20"/>
          <w:color w:val="auto"/>
        </w:rPr>
      </w:pPr>
      <w:r>
        <w:rPr>
          <w:rFonts w:ascii="Arial" w:cs="Arial" w:eastAsia="Arial" w:hAnsi="Arial"/>
          <w:sz w:val="14"/>
          <w:szCs w:val="14"/>
          <w:color w:val="auto"/>
        </w:rPr>
        <w:t>Mary Elizabeth Henderson was appointed our Senior Vice President, Technical Operations as of August 2023. In this role, Ms. Henderson oversees Jazz’s technical operations and quality. Prior to joining Jazz Pharmaceuticals, Ms. Henderson held various roles of increasing responsibility at Merck KGaA, a global science and technology company. At Merck KGaA, she held positions in the Healthcare Business as Senior Vice President, APAC Region &amp; Health Care Sustainability Lead from May 2020 to July 2023, as General Manager and Managing Director Merck UK &amp; ROI from October 2018 to May 2020, as Executive Vice President, Head of Global Manufacturing and Supply from November 2016 to October 2018 and as Senior Vice President, Global Pharma Manufacturing from April 2015 to November 2016. From December 2008 to March 2015, Ms. Henderson held various management positions at Merck Life Science of Merck KGaA, culminating in her role as Vice President Global Operations. Prior to her tenure at Merck KGaA, Ms. Henderson held manufacturing leadership roles at Amgen Inc., a global biotechnology company, from 2006 to 2007 and Pfizer Inc., a global pharmaceutical and biotechnology company, from 1998 to 2006. Ms. Henderson holds a B.Sc. degree in Analytical Chemistry from Dublin City University,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1073785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3256915</wp:posOffset>
            </wp:positionH>
            <wp:positionV relativeFrom="paragraph">
              <wp:posOffset>597535</wp:posOffset>
            </wp:positionV>
            <wp:extent cx="1242695" cy="2057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2">
            <w:col w:w="3434" w:space="680"/>
            <w:col w:w="5999"/>
          </w:cols>
          <w:pgMar w:left="346" w:top="522" w:right="1440"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color w:val="636466"/>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1088390" cy="342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780"/>
        <w:spacing w:after="0" w:line="299" w:lineRule="auto"/>
        <w:rPr>
          <w:sz w:val="20"/>
          <w:szCs w:val="20"/>
          <w:color w:val="auto"/>
        </w:rPr>
      </w:pPr>
      <w:r>
        <w:rPr>
          <w:rFonts w:ascii="Arial" w:cs="Arial" w:eastAsia="Arial" w:hAnsi="Arial"/>
          <w:sz w:val="54"/>
          <w:szCs w:val="54"/>
          <w:b w:val="1"/>
          <w:bCs w:val="1"/>
          <w:color w:val="001C71"/>
        </w:rPr>
        <w:t>Non-Binding Advisory Vote on Executive Compensation</w:t>
      </w:r>
    </w:p>
    <w:p>
      <w:pPr>
        <w:sectPr>
          <w:pgSz w:w="11900" w:h="16838" w:orient="portrait"/>
          <w:cols w:equalWidth="0" w:num="1">
            <w:col w:w="11240"/>
          </w:cols>
          <w:pgMar w:left="320" w:top="1097" w:right="3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29"/>
          <w:szCs w:val="29"/>
          <w:color w:val="852166"/>
        </w:rPr>
        <w:t>Overview</w:t>
      </w:r>
    </w:p>
    <w:p>
      <w:pPr>
        <w:spacing w:after="0" w:line="18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Under the Dodd-Frank Act and Section 14A of the Exchange Act, our shareholders are entitled to vote to approve, on a non-binding advisory basis, the compensation of our NEOs, as disclosed in our proxy statement in accordance with the compensation disclosure rules of the SEC. This non-binding advisory vote is commonly referred to as a “say-on-pay” vote.</w:t>
      </w:r>
    </w:p>
    <w:p>
      <w:pPr>
        <w:spacing w:after="0" w:line="12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At our 2024 AGM, our shareholders indicated their preference that we hold a non-binding say-on-pay vote every year and our Board has adopted a policy that is consistent with that preference. At our 2025 AGM, our shareholders approved our say-on-pay proposal, with approximately 94% of the total votes cast voting in favor of the proposal.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520"/>
        <w:spacing w:after="0" w:line="354" w:lineRule="auto"/>
        <w:rPr>
          <w:sz w:val="20"/>
          <w:szCs w:val="20"/>
          <w:color w:val="auto"/>
        </w:rPr>
      </w:pPr>
      <w:r>
        <w:rPr>
          <w:rFonts w:ascii="Arial" w:cs="Arial" w:eastAsia="Arial" w:hAnsi="Arial"/>
          <w:sz w:val="17"/>
          <w:szCs w:val="17"/>
          <w:b w:val="1"/>
          <w:bCs w:val="1"/>
          <w:color w:val="636466"/>
        </w:rPr>
        <w:t xml:space="preserve">OUR BOARD RECOMMENDS A VOTE </w:t>
      </w:r>
      <w:r>
        <w:rPr>
          <w:rFonts w:ascii="Arial" w:cs="Arial" w:eastAsia="Arial" w:hAnsi="Arial"/>
          <w:sz w:val="17"/>
          <w:szCs w:val="17"/>
          <w:b w:val="1"/>
          <w:bCs w:val="1"/>
          <w:color w:val="852166"/>
        </w:rPr>
        <w:t xml:space="preserve">“FOR” </w:t>
      </w:r>
      <w:r>
        <w:rPr>
          <w:rFonts w:ascii="Arial" w:cs="Arial" w:eastAsia="Arial" w:hAnsi="Arial"/>
          <w:sz w:val="17"/>
          <w:szCs w:val="17"/>
          <w:b w:val="1"/>
          <w:bCs w:val="1"/>
          <w:color w:val="636466"/>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-1050925</wp:posOffset>
            </wp:positionV>
            <wp:extent cx="1645920" cy="127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645920" cy="1276985"/>
                    </a:xfrm>
                    <a:prstGeom prst="rect">
                      <a:avLst/>
                    </a:prstGeom>
                    <a:noFill/>
                  </pic:spPr>
                </pic:pic>
              </a:graphicData>
            </a:graphic>
          </wp:anchor>
        </w:drawing>
      </w:r>
    </w:p>
    <w:p>
      <w:pPr>
        <w:spacing w:after="0" w:line="433" w:lineRule="exact"/>
        <w:rPr>
          <w:sz w:val="20"/>
          <w:szCs w:val="20"/>
          <w:color w:val="auto"/>
        </w:rPr>
      </w:pPr>
    </w:p>
    <w:p>
      <w:pPr>
        <w:sectPr>
          <w:pgSz w:w="11900" w:h="16838" w:orient="portrait"/>
          <w:cols w:equalWidth="0" w:num="2">
            <w:col w:w="7360" w:space="320"/>
            <w:col w:w="3560"/>
          </w:cols>
          <w:pgMar w:left="320" w:top="1097" w:right="339" w:bottom="1440" w:gutter="0" w:footer="0" w:header="0"/>
          <w:type w:val="continuous"/>
        </w:sectPr>
      </w:pPr>
    </w:p>
    <w:p>
      <w:pPr>
        <w:spacing w:after="0" w:line="362" w:lineRule="exact"/>
        <w:rPr>
          <w:sz w:val="20"/>
          <w:szCs w:val="20"/>
          <w:color w:val="auto"/>
        </w:rPr>
      </w:pPr>
    </w:p>
    <w:p>
      <w:pPr>
        <w:spacing w:after="0"/>
        <w:rPr>
          <w:sz w:val="20"/>
          <w:szCs w:val="20"/>
          <w:color w:val="auto"/>
        </w:rPr>
      </w:pPr>
      <w:r>
        <w:rPr>
          <w:rFonts w:ascii="Arial" w:cs="Arial" w:eastAsia="Arial" w:hAnsi="Arial"/>
          <w:sz w:val="29"/>
          <w:szCs w:val="29"/>
          <w:color w:val="852166"/>
        </w:rPr>
        <w:t>Say-on-Pay Vote</w:t>
      </w:r>
    </w:p>
    <w:p>
      <w:pPr>
        <w:spacing w:after="0" w:line="198"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of our NEOs and the philosophy, policies and practices described in our proxy statement. Our Board is asking our shareholders to indicate their support for the compensation of our NEOs, as disclosed in the “Compensation Discussion and Analysis,” the compensation tables and the related narrative disclosure contained in our proxy statement beginning on page 48, by casting a non-binding advisory vote “FOR” the following resolution:</w:t>
      </w:r>
    </w:p>
    <w:p>
      <w:pPr>
        <w:spacing w:after="0" w:line="121" w:lineRule="exact"/>
        <w:rPr>
          <w:sz w:val="20"/>
          <w:szCs w:val="20"/>
          <w:color w:val="auto"/>
        </w:rPr>
      </w:pPr>
    </w:p>
    <w:p>
      <w:pPr>
        <w:ind w:left="420" w:right="480"/>
        <w:spacing w:after="0" w:line="321" w:lineRule="auto"/>
        <w:rPr>
          <w:sz w:val="20"/>
          <w:szCs w:val="20"/>
          <w:color w:val="auto"/>
        </w:rPr>
      </w:pPr>
      <w:r>
        <w:rPr>
          <w:rFonts w:ascii="Arial" w:cs="Arial" w:eastAsia="Arial" w:hAnsi="Arial"/>
          <w:sz w:val="16"/>
          <w:szCs w:val="16"/>
          <w:b w:val="1"/>
          <w:bCs w:val="1"/>
          <w:color w:val="001C71"/>
        </w:rPr>
        <w:t xml:space="preserve">“RESOLVED, </w:t>
      </w:r>
      <w:r>
        <w:rPr>
          <w:rFonts w:ascii="Arial" w:cs="Arial" w:eastAsia="Arial" w:hAnsi="Arial"/>
          <w:sz w:val="16"/>
          <w:szCs w:val="16"/>
          <w:color w:val="000000"/>
        </w:rPr>
        <w:t>that the compensation paid to Jazz Pharmaceuticals’ NEOs, as disclosed pursuant to Item 402 of Regulation S-K of the Exchange</w:t>
      </w:r>
      <w:r>
        <w:rPr>
          <w:rFonts w:ascii="Arial" w:cs="Arial" w:eastAsia="Arial" w:hAnsi="Arial"/>
          <w:sz w:val="16"/>
          <w:szCs w:val="16"/>
          <w:b w:val="1"/>
          <w:bCs w:val="1"/>
          <w:color w:val="001C71"/>
        </w:rPr>
        <w:t xml:space="preserve"> </w:t>
      </w:r>
      <w:r>
        <w:rPr>
          <w:rFonts w:ascii="Arial" w:cs="Arial" w:eastAsia="Arial" w:hAnsi="Arial"/>
          <w:sz w:val="16"/>
          <w:szCs w:val="16"/>
          <w:color w:val="000000"/>
        </w:rPr>
        <w:t>Act, including the Compensation Discussion and Analysis, compensation tables and narrative discussion, is hereby approved.”</w:t>
      </w:r>
    </w:p>
    <w:p>
      <w:pPr>
        <w:spacing w:after="0" w:line="1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Proposal 3 is not binding on our Board or our Company as it is an advisory vote. Nevertheless, the views expressed by our shareholders are important to our Board and management and, accordingly, our Board and our Compensation Committee intend to consider the results of this vote in making determinations in the future regarding the compensation arrangements of our NEOs.</w:t>
      </w:r>
    </w:p>
    <w:p>
      <w:pPr>
        <w:spacing w:after="0" w:line="118"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Proposal 3 is an ordinary resolution and must receive the affirmative vote of a majority of the votes cast in person or by proxy at our 2026 AGM (including any adjournment thereof) in order to be approved.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next advisory vote on the compensation of our NEOs will be held at the 2027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6083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636466"/>
        </w:rPr>
        <w:t xml:space="preserve">OUR BOARD RECOMMENDS A VOTE </w:t>
      </w:r>
      <w:r>
        <w:rPr>
          <w:rFonts w:ascii="Arial" w:cs="Arial" w:eastAsia="Arial" w:hAnsi="Arial"/>
          <w:sz w:val="18"/>
          <w:szCs w:val="18"/>
          <w:b w:val="1"/>
          <w:bCs w:val="1"/>
          <w:color w:val="852166"/>
        </w:rPr>
        <w:t>“FOR”</w:t>
      </w:r>
      <w:r>
        <w:rPr>
          <w:rFonts w:ascii="Arial" w:cs="Arial" w:eastAsia="Arial" w:hAnsi="Arial"/>
          <w:sz w:val="18"/>
          <w:szCs w:val="18"/>
          <w:b w:val="1"/>
          <w:bCs w:val="1"/>
          <w:color w:val="636466"/>
        </w:rPr>
        <w:t xml:space="preserve">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635000</wp:posOffset>
            </wp:positionV>
            <wp:extent cx="1242695" cy="2057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47</w:t>
            </w:r>
          </w:p>
        </w:tc>
      </w:tr>
      <w:tr>
        <w:trPr>
          <w:trHeight w:val="494"/>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1088390" cy="342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54"/>
          <w:szCs w:val="54"/>
          <w:b w:val="1"/>
          <w:bCs w:val="1"/>
          <w:color w:val="001C71"/>
        </w:rPr>
        <w:t>Executive Compensation</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9"/>
          <w:szCs w:val="29"/>
          <w:b w:val="1"/>
          <w:bCs w:val="1"/>
          <w:color w:val="852166"/>
        </w:rPr>
        <w:t>Compensation Discussion and Analysis</w:t>
      </w:r>
    </w:p>
    <w:p>
      <w:pPr>
        <w:spacing w:after="0" w:line="186"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The following Compensation Discussion and Analysis describes the material elements of compensation for the following individuals who were our NEOs for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4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Renee D. Gala</w:t>
            </w:r>
            <w:r>
              <w:rPr>
                <w:rFonts w:ascii="Arial" w:cs="Arial" w:eastAsia="Arial" w:hAnsi="Arial"/>
                <w:sz w:val="18"/>
                <w:szCs w:val="18"/>
                <w:b w:val="1"/>
                <w:bCs w:val="1"/>
                <w:color w:val="852166"/>
                <w:vertAlign w:val="superscript"/>
              </w:rPr>
              <w:t>(1)</w:t>
            </w:r>
          </w:p>
        </w:tc>
        <w:tc>
          <w:tcPr>
            <w:tcW w:w="8800" w:type="dxa"/>
            <w:vAlign w:val="bottom"/>
            <w:tcBorders>
              <w:bottom w:val="single" w:sz="8" w:color="5673B8"/>
            </w:tcBorders>
          </w:tcPr>
          <w:p>
            <w:pPr>
              <w:ind w:left="1060"/>
              <w:spacing w:after="0"/>
              <w:rPr>
                <w:sz w:val="20"/>
                <w:szCs w:val="20"/>
                <w:color w:val="auto"/>
              </w:rPr>
            </w:pPr>
            <w:r>
              <w:rPr>
                <w:rFonts w:ascii="Arial" w:cs="Arial" w:eastAsia="Arial" w:hAnsi="Arial"/>
                <w:sz w:val="14"/>
                <w:szCs w:val="14"/>
                <w:color w:val="auto"/>
              </w:rPr>
              <w:t>President, CEO and Director</w:t>
            </w:r>
          </w:p>
        </w:tc>
      </w:tr>
      <w:tr>
        <w:trPr>
          <w:trHeight w:val="217"/>
        </w:trPr>
        <w:tc>
          <w:tcPr>
            <w:tcW w:w="244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Philip L. Johnson</w:t>
            </w:r>
          </w:p>
        </w:tc>
        <w:tc>
          <w:tcPr>
            <w:tcW w:w="8800" w:type="dxa"/>
            <w:vAlign w:val="bottom"/>
            <w:tcBorders>
              <w:bottom w:val="single" w:sz="8" w:color="5673B8"/>
            </w:tcBorders>
          </w:tcPr>
          <w:p>
            <w:pPr>
              <w:ind w:left="1060"/>
              <w:spacing w:after="0"/>
              <w:rPr>
                <w:sz w:val="20"/>
                <w:szCs w:val="20"/>
                <w:color w:val="auto"/>
              </w:rPr>
            </w:pPr>
            <w:r>
              <w:rPr>
                <w:rFonts w:ascii="Arial" w:cs="Arial" w:eastAsia="Arial" w:hAnsi="Arial"/>
                <w:sz w:val="14"/>
                <w:szCs w:val="14"/>
                <w:color w:val="auto"/>
              </w:rPr>
              <w:t>Executive Vice President and CFO</w:t>
            </w:r>
          </w:p>
        </w:tc>
      </w:tr>
      <w:tr>
        <w:trPr>
          <w:trHeight w:val="230"/>
        </w:trPr>
        <w:tc>
          <w:tcPr>
            <w:tcW w:w="244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Bruce C. Cozadd</w:t>
            </w:r>
            <w:r>
              <w:rPr>
                <w:rFonts w:ascii="Arial" w:cs="Arial" w:eastAsia="Arial" w:hAnsi="Arial"/>
                <w:sz w:val="18"/>
                <w:szCs w:val="18"/>
                <w:b w:val="1"/>
                <w:bCs w:val="1"/>
                <w:color w:val="852166"/>
                <w:vertAlign w:val="superscript"/>
              </w:rPr>
              <w:t>(2)</w:t>
            </w:r>
          </w:p>
        </w:tc>
        <w:tc>
          <w:tcPr>
            <w:tcW w:w="8800" w:type="dxa"/>
            <w:vAlign w:val="bottom"/>
            <w:tcBorders>
              <w:bottom w:val="single" w:sz="8" w:color="5673B8"/>
            </w:tcBorders>
          </w:tcPr>
          <w:p>
            <w:pPr>
              <w:ind w:left="1060"/>
              <w:spacing w:after="0"/>
              <w:rPr>
                <w:sz w:val="20"/>
                <w:szCs w:val="20"/>
                <w:color w:val="auto"/>
              </w:rPr>
            </w:pPr>
            <w:r>
              <w:rPr>
                <w:rFonts w:ascii="Arial" w:cs="Arial" w:eastAsia="Arial" w:hAnsi="Arial"/>
                <w:sz w:val="14"/>
                <w:szCs w:val="14"/>
                <w:color w:val="auto"/>
              </w:rPr>
              <w:t>Chairperson and Former CEO</w:t>
            </w:r>
          </w:p>
        </w:tc>
      </w:tr>
      <w:tr>
        <w:trPr>
          <w:trHeight w:val="216"/>
        </w:trPr>
        <w:tc>
          <w:tcPr>
            <w:tcW w:w="244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Robert Iannone</w:t>
            </w:r>
          </w:p>
        </w:tc>
        <w:tc>
          <w:tcPr>
            <w:tcW w:w="8800" w:type="dxa"/>
            <w:vAlign w:val="bottom"/>
            <w:tcBorders>
              <w:bottom w:val="single" w:sz="8" w:color="5673B8"/>
            </w:tcBorders>
          </w:tcPr>
          <w:p>
            <w:pPr>
              <w:ind w:left="1060"/>
              <w:spacing w:after="0"/>
              <w:rPr>
                <w:sz w:val="20"/>
                <w:szCs w:val="20"/>
                <w:color w:val="auto"/>
              </w:rPr>
            </w:pPr>
            <w:r>
              <w:rPr>
                <w:rFonts w:ascii="Arial" w:cs="Arial" w:eastAsia="Arial" w:hAnsi="Arial"/>
                <w:sz w:val="14"/>
                <w:szCs w:val="14"/>
                <w:color w:val="auto"/>
              </w:rPr>
              <w:t>Executive Vice President, Global Head of Research and Development, Chief Medical Officer</w:t>
            </w:r>
          </w:p>
        </w:tc>
      </w:tr>
      <w:tr>
        <w:trPr>
          <w:trHeight w:val="223"/>
        </w:trPr>
        <w:tc>
          <w:tcPr>
            <w:tcW w:w="244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852166"/>
              </w:rPr>
              <w:t>Neena M. Patil</w:t>
            </w:r>
          </w:p>
        </w:tc>
        <w:tc>
          <w:tcPr>
            <w:tcW w:w="8800" w:type="dxa"/>
            <w:vAlign w:val="bottom"/>
            <w:tcBorders>
              <w:bottom w:val="single" w:sz="8" w:color="5673B8"/>
            </w:tcBorders>
          </w:tcPr>
          <w:p>
            <w:pPr>
              <w:ind w:left="1060"/>
              <w:spacing w:after="0"/>
              <w:rPr>
                <w:sz w:val="20"/>
                <w:szCs w:val="20"/>
                <w:color w:val="auto"/>
              </w:rPr>
            </w:pPr>
            <w:r>
              <w:rPr>
                <w:rFonts w:ascii="Arial" w:cs="Arial" w:eastAsia="Arial" w:hAnsi="Arial"/>
                <w:sz w:val="14"/>
                <w:szCs w:val="14"/>
                <w:color w:val="auto"/>
              </w:rPr>
              <w:t>Executive Vice President and Chief Legal Officer</w:t>
            </w:r>
          </w:p>
        </w:tc>
      </w:tr>
      <w:tr>
        <w:trPr>
          <w:trHeight w:val="223"/>
        </w:trPr>
        <w:tc>
          <w:tcPr>
            <w:tcW w:w="244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852166"/>
              </w:rPr>
              <w:t>Samantha Pearce</w:t>
            </w:r>
          </w:p>
        </w:tc>
        <w:tc>
          <w:tcPr>
            <w:tcW w:w="8800" w:type="dxa"/>
            <w:vAlign w:val="bottom"/>
            <w:tcBorders>
              <w:bottom w:val="single" w:sz="8" w:color="852166"/>
            </w:tcBorders>
          </w:tcPr>
          <w:p>
            <w:pPr>
              <w:ind w:left="1060"/>
              <w:spacing w:after="0"/>
              <w:rPr>
                <w:sz w:val="20"/>
                <w:szCs w:val="20"/>
                <w:color w:val="auto"/>
              </w:rPr>
            </w:pPr>
            <w:r>
              <w:rPr>
                <w:rFonts w:ascii="Arial" w:cs="Arial" w:eastAsia="Arial" w:hAnsi="Arial"/>
                <w:sz w:val="14"/>
                <w:szCs w:val="14"/>
                <w:color w:val="auto"/>
              </w:rPr>
              <w:t>Executive Vice President, Chief Commercial Officer</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47" w:lineRule="exact"/>
        <w:rPr>
          <w:sz w:val="20"/>
          <w:szCs w:val="20"/>
          <w:color w:val="auto"/>
        </w:rPr>
      </w:pPr>
    </w:p>
    <w:p>
      <w:pPr>
        <w:ind w:left="340" w:right="40" w:hanging="332"/>
        <w:spacing w:after="0" w:line="267"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Ms. Gala was appointed President, CEO and Director effective as of August 11, 2025. Prior to her appointment as President, CEO and Director, Ms. Gala served as our President and COO.</w:t>
      </w:r>
    </w:p>
    <w:p>
      <w:pPr>
        <w:spacing w:after="0" w:line="49"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Cozadd served as our CEO from April 3, 2009 to August 11, 2025, following which he served in a transition role through September 14, 2025 and subsequently retired. Mr.</w:t>
      </w:r>
    </w:p>
    <w:p>
      <w:pPr>
        <w:spacing w:after="0" w:line="2" w:lineRule="exact"/>
        <w:rPr>
          <w:rFonts w:ascii="Arial" w:cs="Arial" w:eastAsia="Arial" w:hAnsi="Arial"/>
          <w:sz w:val="14"/>
          <w:szCs w:val="14"/>
          <w:color w:val="auto"/>
        </w:rPr>
      </w:pPr>
    </w:p>
    <w:p>
      <w:pPr>
        <w:ind w:left="340" w:right="760"/>
        <w:spacing w:after="0" w:line="284" w:lineRule="auto"/>
        <w:rPr>
          <w:rFonts w:ascii="Arial" w:cs="Arial" w:eastAsia="Arial" w:hAnsi="Arial"/>
          <w:sz w:val="14"/>
          <w:szCs w:val="14"/>
          <w:color w:val="auto"/>
        </w:rPr>
      </w:pPr>
      <w:r>
        <w:rPr>
          <w:rFonts w:ascii="Arial" w:cs="Arial" w:eastAsia="Arial" w:hAnsi="Arial"/>
          <w:sz w:val="14"/>
          <w:szCs w:val="14"/>
          <w:color w:val="auto"/>
        </w:rPr>
        <w:t>Cozadd continues to serve as the Chairperson of the Board.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1C7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-238760</wp:posOffset>
            </wp:positionV>
            <wp:extent cx="3968750" cy="17913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968750" cy="179133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80" w:type="dxa"/>
            <w:vAlign w:val="bottom"/>
          </w:tcPr>
          <w:p>
            <w:pPr>
              <w:ind w:left="20"/>
              <w:spacing w:after="0"/>
              <w:rPr>
                <w:sz w:val="20"/>
                <w:szCs w:val="20"/>
                <w:color w:val="auto"/>
              </w:rPr>
            </w:pPr>
            <w:r>
              <w:rPr>
                <w:rFonts w:ascii="Arial" w:cs="Arial" w:eastAsia="Arial" w:hAnsi="Arial"/>
                <w:sz w:val="14"/>
                <w:szCs w:val="14"/>
                <w:b w:val="1"/>
                <w:bCs w:val="1"/>
                <w:color w:val="636466"/>
              </w:rPr>
              <w:t>Executive Summary</w:t>
            </w:r>
          </w:p>
        </w:tc>
        <w:tc>
          <w:tcPr>
            <w:tcW w:w="480" w:type="dxa"/>
            <w:vAlign w:val="bottom"/>
            <w:tcBorders>
              <w:bottom w:val="single" w:sz="8" w:color="F0F0F0"/>
            </w:tcBorders>
            <w:shd w:val="clear" w:color="auto" w:fill="F0F0F0"/>
          </w:tcPr>
          <w:p>
            <w:pPr>
              <w:jc w:val="right"/>
              <w:spacing w:after="0"/>
              <w:rPr>
                <w:sz w:val="20"/>
                <w:szCs w:val="20"/>
                <w:color w:val="auto"/>
              </w:rPr>
            </w:pPr>
            <w:r>
              <w:rPr>
                <w:rFonts w:ascii="Arial" w:cs="Arial" w:eastAsia="Arial" w:hAnsi="Arial"/>
                <w:sz w:val="14"/>
                <w:szCs w:val="14"/>
                <w:b w:val="1"/>
                <w:bCs w:val="1"/>
                <w:color w:val="636466"/>
              </w:rPr>
              <w:t>49</w:t>
            </w:r>
          </w:p>
        </w:tc>
        <w:tc>
          <w:tcPr>
            <w:tcW w:w="220" w:type="dxa"/>
            <w:vAlign w:val="bottom"/>
            <w:tcBorders>
              <w:bottom w:val="single" w:sz="8" w:color="F0F0F0"/>
            </w:tcBorders>
            <w:shd w:val="clear" w:color="auto" w:fill="F0F0F0"/>
          </w:tcPr>
          <w:p>
            <w:pPr>
              <w:spacing w:after="0"/>
              <w:rPr>
                <w:sz w:val="23"/>
                <w:szCs w:val="23"/>
                <w:color w:val="auto"/>
              </w:rPr>
            </w:pPr>
          </w:p>
        </w:tc>
      </w:tr>
      <w:tr>
        <w:trPr>
          <w:trHeight w:val="250"/>
        </w:trPr>
        <w:tc>
          <w:tcPr>
            <w:tcW w:w="5380" w:type="dxa"/>
            <w:vAlign w:val="bottom"/>
            <w:tcBorders>
              <w:top w:val="single" w:sz="8" w:color="5673B8"/>
            </w:tcBorders>
          </w:tcPr>
          <w:p>
            <w:pPr>
              <w:ind w:left="20"/>
              <w:spacing w:after="0"/>
              <w:rPr>
                <w:sz w:val="20"/>
                <w:szCs w:val="20"/>
                <w:color w:val="auto"/>
              </w:rPr>
            </w:pPr>
            <w:r>
              <w:rPr>
                <w:rFonts w:ascii="Arial" w:cs="Arial" w:eastAsia="Arial" w:hAnsi="Arial"/>
                <w:sz w:val="14"/>
                <w:szCs w:val="14"/>
                <w:b w:val="1"/>
                <w:bCs w:val="1"/>
                <w:color w:val="636466"/>
              </w:rPr>
              <w:t>Compensation Philosophy and Objectives</w:t>
            </w:r>
          </w:p>
        </w:tc>
        <w:tc>
          <w:tcPr>
            <w:tcW w:w="480" w:type="dxa"/>
            <w:vAlign w:val="bottom"/>
            <w:tcBorders>
              <w:top w:val="single" w:sz="8" w:color="5673B8"/>
              <w:bottom w:val="single" w:sz="8" w:color="F0F0F0"/>
            </w:tcBorders>
            <w:shd w:val="clear" w:color="auto" w:fill="F0F0F0"/>
          </w:tcPr>
          <w:p>
            <w:pPr>
              <w:jc w:val="right"/>
              <w:spacing w:after="0"/>
              <w:rPr>
                <w:sz w:val="20"/>
                <w:szCs w:val="20"/>
                <w:color w:val="auto"/>
              </w:rPr>
            </w:pPr>
            <w:r>
              <w:rPr>
                <w:rFonts w:ascii="Arial" w:cs="Arial" w:eastAsia="Arial" w:hAnsi="Arial"/>
                <w:sz w:val="14"/>
                <w:szCs w:val="14"/>
                <w:b w:val="1"/>
                <w:bCs w:val="1"/>
                <w:color w:val="636466"/>
              </w:rPr>
              <w:t>51</w:t>
            </w:r>
          </w:p>
        </w:tc>
        <w:tc>
          <w:tcPr>
            <w:tcW w:w="220" w:type="dxa"/>
            <w:vAlign w:val="bottom"/>
            <w:tcBorders>
              <w:top w:val="single" w:sz="8" w:color="F0F0F0"/>
              <w:bottom w:val="single" w:sz="8" w:color="F0F0F0"/>
            </w:tcBorders>
            <w:shd w:val="clear" w:color="auto" w:fill="F0F0F0"/>
          </w:tcPr>
          <w:p>
            <w:pPr>
              <w:spacing w:after="0"/>
              <w:rPr>
                <w:sz w:val="21"/>
                <w:szCs w:val="21"/>
                <w:color w:val="auto"/>
              </w:rPr>
            </w:pPr>
          </w:p>
        </w:tc>
      </w:tr>
      <w:tr>
        <w:trPr>
          <w:trHeight w:val="250"/>
        </w:trPr>
        <w:tc>
          <w:tcPr>
            <w:tcW w:w="5380" w:type="dxa"/>
            <w:vAlign w:val="bottom"/>
            <w:tcBorders>
              <w:top w:val="single" w:sz="8" w:color="5673B8"/>
            </w:tcBorders>
          </w:tcPr>
          <w:p>
            <w:pPr>
              <w:ind w:left="20"/>
              <w:spacing w:after="0"/>
              <w:rPr>
                <w:sz w:val="20"/>
                <w:szCs w:val="20"/>
                <w:color w:val="auto"/>
              </w:rPr>
            </w:pPr>
            <w:r>
              <w:rPr>
                <w:rFonts w:ascii="Arial" w:cs="Arial" w:eastAsia="Arial" w:hAnsi="Arial"/>
                <w:sz w:val="14"/>
                <w:szCs w:val="14"/>
                <w:b w:val="1"/>
                <w:bCs w:val="1"/>
                <w:color w:val="636466"/>
              </w:rPr>
              <w:t>How We Determine Executive Compensation</w:t>
            </w:r>
          </w:p>
        </w:tc>
        <w:tc>
          <w:tcPr>
            <w:tcW w:w="480" w:type="dxa"/>
            <w:vAlign w:val="bottom"/>
            <w:tcBorders>
              <w:top w:val="single" w:sz="8" w:color="5673B8"/>
              <w:bottom w:val="single" w:sz="8" w:color="F0F0F0"/>
            </w:tcBorders>
            <w:shd w:val="clear" w:color="auto" w:fill="F0F0F0"/>
          </w:tcPr>
          <w:p>
            <w:pPr>
              <w:jc w:val="right"/>
              <w:spacing w:after="0"/>
              <w:rPr>
                <w:sz w:val="20"/>
                <w:szCs w:val="20"/>
                <w:color w:val="auto"/>
              </w:rPr>
            </w:pPr>
            <w:r>
              <w:rPr>
                <w:rFonts w:ascii="Arial" w:cs="Arial" w:eastAsia="Arial" w:hAnsi="Arial"/>
                <w:sz w:val="14"/>
                <w:szCs w:val="14"/>
                <w:b w:val="1"/>
                <w:bCs w:val="1"/>
                <w:color w:val="636466"/>
              </w:rPr>
              <w:t>51</w:t>
            </w:r>
          </w:p>
        </w:tc>
        <w:tc>
          <w:tcPr>
            <w:tcW w:w="220" w:type="dxa"/>
            <w:vAlign w:val="bottom"/>
            <w:tcBorders>
              <w:top w:val="single" w:sz="8" w:color="F0F0F0"/>
              <w:bottom w:val="single" w:sz="8" w:color="F0F0F0"/>
            </w:tcBorders>
            <w:shd w:val="clear" w:color="auto" w:fill="F0F0F0"/>
          </w:tcPr>
          <w:p>
            <w:pPr>
              <w:spacing w:after="0"/>
              <w:rPr>
                <w:sz w:val="21"/>
                <w:szCs w:val="21"/>
                <w:color w:val="auto"/>
              </w:rPr>
            </w:pPr>
          </w:p>
        </w:tc>
      </w:tr>
      <w:tr>
        <w:trPr>
          <w:trHeight w:val="250"/>
        </w:trPr>
        <w:tc>
          <w:tcPr>
            <w:tcW w:w="5380" w:type="dxa"/>
            <w:vAlign w:val="bottom"/>
            <w:tcBorders>
              <w:top w:val="single" w:sz="8" w:color="5673B8"/>
            </w:tcBorders>
          </w:tcPr>
          <w:p>
            <w:pPr>
              <w:ind w:left="20"/>
              <w:spacing w:after="0"/>
              <w:rPr>
                <w:sz w:val="20"/>
                <w:szCs w:val="20"/>
                <w:color w:val="auto"/>
              </w:rPr>
            </w:pPr>
            <w:r>
              <w:rPr>
                <w:rFonts w:ascii="Arial" w:cs="Arial" w:eastAsia="Arial" w:hAnsi="Arial"/>
                <w:sz w:val="14"/>
                <w:szCs w:val="14"/>
                <w:b w:val="1"/>
                <w:bCs w:val="1"/>
                <w:color w:val="636466"/>
              </w:rPr>
              <w:t>Key Components and Design of the Executive Compensation Program</w:t>
            </w:r>
          </w:p>
        </w:tc>
        <w:tc>
          <w:tcPr>
            <w:tcW w:w="480" w:type="dxa"/>
            <w:vAlign w:val="bottom"/>
            <w:tcBorders>
              <w:top w:val="single" w:sz="8" w:color="5673B8"/>
              <w:bottom w:val="single" w:sz="8" w:color="F0F0F0"/>
            </w:tcBorders>
            <w:shd w:val="clear" w:color="auto" w:fill="F0F0F0"/>
          </w:tcPr>
          <w:p>
            <w:pPr>
              <w:jc w:val="right"/>
              <w:spacing w:after="0"/>
              <w:rPr>
                <w:sz w:val="20"/>
                <w:szCs w:val="20"/>
                <w:color w:val="auto"/>
              </w:rPr>
            </w:pPr>
            <w:r>
              <w:rPr>
                <w:rFonts w:ascii="Arial" w:cs="Arial" w:eastAsia="Arial" w:hAnsi="Arial"/>
                <w:sz w:val="14"/>
                <w:szCs w:val="14"/>
                <w:b w:val="1"/>
                <w:bCs w:val="1"/>
                <w:color w:val="636466"/>
              </w:rPr>
              <w:t>56</w:t>
            </w:r>
          </w:p>
        </w:tc>
        <w:tc>
          <w:tcPr>
            <w:tcW w:w="220" w:type="dxa"/>
            <w:vAlign w:val="bottom"/>
            <w:tcBorders>
              <w:top w:val="single" w:sz="8" w:color="F0F0F0"/>
              <w:bottom w:val="single" w:sz="8" w:color="F0F0F0"/>
            </w:tcBorders>
            <w:shd w:val="clear" w:color="auto" w:fill="F0F0F0"/>
          </w:tcPr>
          <w:p>
            <w:pPr>
              <w:spacing w:after="0"/>
              <w:rPr>
                <w:sz w:val="21"/>
                <w:szCs w:val="21"/>
                <w:color w:val="auto"/>
              </w:rPr>
            </w:pPr>
          </w:p>
        </w:tc>
      </w:tr>
      <w:tr>
        <w:trPr>
          <w:trHeight w:val="250"/>
        </w:trPr>
        <w:tc>
          <w:tcPr>
            <w:tcW w:w="5380" w:type="dxa"/>
            <w:vAlign w:val="bottom"/>
            <w:tcBorders>
              <w:top w:val="single" w:sz="8" w:color="5673B8"/>
            </w:tcBorders>
          </w:tcPr>
          <w:p>
            <w:pPr>
              <w:ind w:left="20"/>
              <w:spacing w:after="0"/>
              <w:rPr>
                <w:sz w:val="20"/>
                <w:szCs w:val="20"/>
                <w:color w:val="auto"/>
              </w:rPr>
            </w:pPr>
            <w:r>
              <w:rPr>
                <w:rFonts w:ascii="Arial" w:cs="Arial" w:eastAsia="Arial" w:hAnsi="Arial"/>
                <w:sz w:val="14"/>
                <w:szCs w:val="14"/>
                <w:b w:val="1"/>
                <w:bCs w:val="1"/>
                <w:color w:val="636466"/>
              </w:rPr>
              <w:t>Goals for and Achievement of 2025 Performance-Based Compensation</w:t>
            </w:r>
          </w:p>
        </w:tc>
        <w:tc>
          <w:tcPr>
            <w:tcW w:w="480" w:type="dxa"/>
            <w:vAlign w:val="bottom"/>
            <w:tcBorders>
              <w:top w:val="single" w:sz="8" w:color="5673B8"/>
              <w:bottom w:val="single" w:sz="8" w:color="F0F0F0"/>
            </w:tcBorders>
            <w:shd w:val="clear" w:color="auto" w:fill="F0F0F0"/>
          </w:tcPr>
          <w:p>
            <w:pPr>
              <w:jc w:val="right"/>
              <w:spacing w:after="0"/>
              <w:rPr>
                <w:sz w:val="20"/>
                <w:szCs w:val="20"/>
                <w:color w:val="auto"/>
              </w:rPr>
            </w:pPr>
            <w:r>
              <w:rPr>
                <w:rFonts w:ascii="Arial" w:cs="Arial" w:eastAsia="Arial" w:hAnsi="Arial"/>
                <w:sz w:val="14"/>
                <w:szCs w:val="14"/>
                <w:b w:val="1"/>
                <w:bCs w:val="1"/>
                <w:color w:val="636466"/>
              </w:rPr>
              <w:t>58</w:t>
            </w:r>
          </w:p>
        </w:tc>
        <w:tc>
          <w:tcPr>
            <w:tcW w:w="220" w:type="dxa"/>
            <w:vAlign w:val="bottom"/>
            <w:tcBorders>
              <w:top w:val="single" w:sz="8" w:color="F0F0F0"/>
              <w:bottom w:val="single" w:sz="8" w:color="F0F0F0"/>
            </w:tcBorders>
            <w:shd w:val="clear" w:color="auto" w:fill="F0F0F0"/>
          </w:tcPr>
          <w:p>
            <w:pPr>
              <w:spacing w:after="0"/>
              <w:rPr>
                <w:sz w:val="21"/>
                <w:szCs w:val="21"/>
                <w:color w:val="auto"/>
              </w:rPr>
            </w:pPr>
          </w:p>
        </w:tc>
      </w:tr>
      <w:tr>
        <w:trPr>
          <w:trHeight w:val="250"/>
        </w:trPr>
        <w:tc>
          <w:tcPr>
            <w:tcW w:w="5380" w:type="dxa"/>
            <w:vAlign w:val="bottom"/>
            <w:tcBorders>
              <w:top w:val="single" w:sz="8" w:color="5673B8"/>
            </w:tcBorders>
          </w:tcPr>
          <w:p>
            <w:pPr>
              <w:ind w:left="20"/>
              <w:spacing w:after="0"/>
              <w:rPr>
                <w:sz w:val="20"/>
                <w:szCs w:val="20"/>
                <w:color w:val="auto"/>
              </w:rPr>
            </w:pPr>
            <w:r>
              <w:rPr>
                <w:rFonts w:ascii="Arial" w:cs="Arial" w:eastAsia="Arial" w:hAnsi="Arial"/>
                <w:sz w:val="14"/>
                <w:szCs w:val="14"/>
                <w:b w:val="1"/>
                <w:bCs w:val="1"/>
                <w:color w:val="636466"/>
              </w:rPr>
              <w:t>2025 Compensation Decisions for Our NEOs</w:t>
            </w:r>
          </w:p>
        </w:tc>
        <w:tc>
          <w:tcPr>
            <w:tcW w:w="480" w:type="dxa"/>
            <w:vAlign w:val="bottom"/>
            <w:tcBorders>
              <w:top w:val="single" w:sz="8" w:color="5673B8"/>
              <w:bottom w:val="single" w:sz="8" w:color="F0F0F0"/>
            </w:tcBorders>
            <w:shd w:val="clear" w:color="auto" w:fill="F0F0F0"/>
          </w:tcPr>
          <w:p>
            <w:pPr>
              <w:jc w:val="right"/>
              <w:spacing w:after="0"/>
              <w:rPr>
                <w:sz w:val="20"/>
                <w:szCs w:val="20"/>
                <w:color w:val="auto"/>
              </w:rPr>
            </w:pPr>
            <w:r>
              <w:rPr>
                <w:rFonts w:ascii="Arial" w:cs="Arial" w:eastAsia="Arial" w:hAnsi="Arial"/>
                <w:sz w:val="14"/>
                <w:szCs w:val="14"/>
                <w:b w:val="1"/>
                <w:bCs w:val="1"/>
                <w:color w:val="636466"/>
              </w:rPr>
              <w:t>62</w:t>
            </w:r>
          </w:p>
        </w:tc>
        <w:tc>
          <w:tcPr>
            <w:tcW w:w="220" w:type="dxa"/>
            <w:vAlign w:val="bottom"/>
            <w:tcBorders>
              <w:top w:val="single" w:sz="8" w:color="F0F0F0"/>
              <w:bottom w:val="single" w:sz="8" w:color="F0F0F0"/>
            </w:tcBorders>
            <w:shd w:val="clear" w:color="auto" w:fill="F0F0F0"/>
          </w:tcPr>
          <w:p>
            <w:pPr>
              <w:spacing w:after="0"/>
              <w:rPr>
                <w:sz w:val="21"/>
                <w:szCs w:val="21"/>
                <w:color w:val="auto"/>
              </w:rPr>
            </w:pPr>
          </w:p>
        </w:tc>
      </w:tr>
      <w:tr>
        <w:trPr>
          <w:trHeight w:val="221"/>
        </w:trPr>
        <w:tc>
          <w:tcPr>
            <w:tcW w:w="5380" w:type="dxa"/>
            <w:vAlign w:val="bottom"/>
            <w:tcBorders>
              <w:top w:val="single" w:sz="8" w:color="5673B8"/>
            </w:tcBorders>
          </w:tcPr>
          <w:p>
            <w:pPr>
              <w:ind w:left="20"/>
              <w:spacing w:after="0"/>
              <w:rPr>
                <w:sz w:val="20"/>
                <w:szCs w:val="20"/>
                <w:color w:val="auto"/>
              </w:rPr>
            </w:pPr>
            <w:r>
              <w:rPr>
                <w:rFonts w:ascii="Arial" w:cs="Arial" w:eastAsia="Arial" w:hAnsi="Arial"/>
                <w:sz w:val="14"/>
                <w:szCs w:val="14"/>
                <w:b w:val="1"/>
                <w:bCs w:val="1"/>
                <w:color w:val="636466"/>
              </w:rPr>
              <w:t>Additional Compensation Information</w:t>
            </w:r>
          </w:p>
        </w:tc>
        <w:tc>
          <w:tcPr>
            <w:tcW w:w="480" w:type="dxa"/>
            <w:vAlign w:val="bottom"/>
            <w:tcBorders>
              <w:top w:val="single" w:sz="8" w:color="5673B8"/>
            </w:tcBorders>
            <w:shd w:val="clear" w:color="auto" w:fill="F0F0F0"/>
          </w:tcPr>
          <w:p>
            <w:pPr>
              <w:jc w:val="right"/>
              <w:spacing w:after="0"/>
              <w:rPr>
                <w:sz w:val="20"/>
                <w:szCs w:val="20"/>
                <w:color w:val="auto"/>
              </w:rPr>
            </w:pPr>
            <w:r>
              <w:rPr>
                <w:rFonts w:ascii="Arial" w:cs="Arial" w:eastAsia="Arial" w:hAnsi="Arial"/>
                <w:sz w:val="14"/>
                <w:szCs w:val="14"/>
                <w:b w:val="1"/>
                <w:bCs w:val="1"/>
                <w:color w:val="636466"/>
              </w:rPr>
              <w:t>73</w:t>
            </w:r>
          </w:p>
        </w:tc>
        <w:tc>
          <w:tcPr>
            <w:tcW w:w="220" w:type="dxa"/>
            <w:vAlign w:val="bottom"/>
            <w:tcBorders>
              <w:top w:val="single" w:sz="8" w:color="F0F0F0"/>
            </w:tcBorders>
            <w:shd w:val="clear" w:color="auto" w:fill="F0F0F0"/>
          </w:tcPr>
          <w:p>
            <w:pPr>
              <w:spacing w:after="0"/>
              <w:rPr>
                <w:sz w:val="19"/>
                <w:szCs w:val="19"/>
                <w:color w:val="auto"/>
              </w:rPr>
            </w:pPr>
          </w:p>
        </w:tc>
      </w:tr>
      <w:tr>
        <w:trPr>
          <w:trHeight w:val="83"/>
        </w:trPr>
        <w:tc>
          <w:tcPr>
            <w:tcW w:w="5380" w:type="dxa"/>
            <w:vAlign w:val="bottom"/>
          </w:tcPr>
          <w:p>
            <w:pPr>
              <w:spacing w:after="0"/>
              <w:rPr>
                <w:sz w:val="7"/>
                <w:szCs w:val="7"/>
                <w:color w:val="auto"/>
              </w:rPr>
            </w:pPr>
          </w:p>
        </w:tc>
        <w:tc>
          <w:tcPr>
            <w:tcW w:w="480" w:type="dxa"/>
            <w:vAlign w:val="bottom"/>
            <w:shd w:val="clear" w:color="auto" w:fill="F0F0F0"/>
          </w:tcPr>
          <w:p>
            <w:pPr>
              <w:spacing w:after="0"/>
              <w:rPr>
                <w:sz w:val="7"/>
                <w:szCs w:val="7"/>
                <w:color w:val="auto"/>
              </w:rPr>
            </w:pPr>
          </w:p>
        </w:tc>
        <w:tc>
          <w:tcPr>
            <w:tcW w:w="220" w:type="dxa"/>
            <w:vAlign w:val="bottom"/>
            <w:shd w:val="clear" w:color="auto" w:fill="F0F0F0"/>
          </w:tcPr>
          <w:p>
            <w:pPr>
              <w:spacing w:after="0"/>
              <w:rPr>
                <w:sz w:val="7"/>
                <w:szCs w:val="7"/>
                <w:color w:val="auto"/>
              </w:rPr>
            </w:pPr>
          </w:p>
        </w:tc>
      </w:tr>
      <w:tr>
        <w:trPr>
          <w:trHeight w:val="270"/>
        </w:trPr>
        <w:tc>
          <w:tcPr>
            <w:tcW w:w="5380" w:type="dxa"/>
            <w:vAlign w:val="bottom"/>
            <w:shd w:val="clear" w:color="auto" w:fill="F0F0F0"/>
          </w:tcPr>
          <w:p>
            <w:pPr>
              <w:spacing w:after="0"/>
              <w:rPr>
                <w:sz w:val="23"/>
                <w:szCs w:val="23"/>
                <w:color w:val="auto"/>
              </w:rPr>
            </w:pPr>
          </w:p>
        </w:tc>
        <w:tc>
          <w:tcPr>
            <w:tcW w:w="480" w:type="dxa"/>
            <w:vAlign w:val="bottom"/>
            <w:shd w:val="clear" w:color="auto" w:fill="F0F0F0"/>
          </w:tcPr>
          <w:p>
            <w:pPr>
              <w:spacing w:after="0"/>
              <w:rPr>
                <w:sz w:val="23"/>
                <w:szCs w:val="23"/>
                <w:color w:val="auto"/>
              </w:rPr>
            </w:pPr>
          </w:p>
        </w:tc>
        <w:tc>
          <w:tcPr>
            <w:tcW w:w="220" w:type="dxa"/>
            <w:vAlign w:val="bottom"/>
            <w:shd w:val="clear" w:color="auto" w:fill="F0F0F0"/>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3625215</wp:posOffset>
            </wp:positionH>
            <wp:positionV relativeFrom="paragraph">
              <wp:posOffset>574040</wp:posOffset>
            </wp:positionV>
            <wp:extent cx="1242695" cy="2057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340"/>
            <w:col w:w="76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40" w:hanging="614"/>
        <w:spacing w:after="0"/>
        <w:tabs>
          <w:tab w:leader="none" w:pos="640" w:val="left"/>
        </w:tabs>
        <w:numPr>
          <w:ilvl w:val="0"/>
          <w:numId w:val="42"/>
        </w:numPr>
        <w:rPr>
          <w:rFonts w:ascii="Arial" w:cs="Arial" w:eastAsia="Arial" w:hAnsi="Arial"/>
          <w:sz w:val="18"/>
          <w:szCs w:val="18"/>
          <w:b w:val="1"/>
          <w:bCs w:val="1"/>
          <w:color w:val="852166"/>
        </w:rPr>
      </w:pP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6" w:name="page57"/>
    <w:bookmarkEnd w:id="56"/>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Executive Summary</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2025 Performance Highlights</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2025 was a year of strong execution with record financial performance, multiple regulatory approvals and significant progress across our pipeline. These achievements reflect our commitment to operational excellence as we deliver meaningful innovation for patients. Total revenue growth was driven by the strength of our highly differentiated marketed therapies, including sustained adoption of Xywav® across both narcolepsy and idiopathic hypersomnia, meaningful Epidiolex® growth, and growth contributions from Modeyso™ and Ziihera®. In addition, at the end of 2025, we reported positive results from the Phase 3 trial of zanidatamab in first-line HER2-positive locally advanced or metastatic GEA. We continue to enhance our R&amp;D capabilities as we broaden and deepen our pipeline across rare disease.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Commercial</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1C71"/>
        </w:rPr>
        <w:t>Rare Sleep Disorders</w:t>
      </w:r>
    </w:p>
    <w:p>
      <w:pPr>
        <w:spacing w:after="0" w:line="194" w:lineRule="exact"/>
        <w:rPr>
          <w:sz w:val="20"/>
          <w:szCs w:val="20"/>
          <w:color w:val="auto"/>
        </w:rPr>
      </w:pPr>
    </w:p>
    <w:p>
      <w:pPr>
        <w:ind w:left="320" w:hanging="231"/>
        <w:spacing w:after="0"/>
        <w:tabs>
          <w:tab w:leader="none" w:pos="320" w:val="left"/>
        </w:tabs>
        <w:numPr>
          <w:ilvl w:val="0"/>
          <w:numId w:val="43"/>
        </w:numPr>
        <w:rPr>
          <w:rFonts w:ascii="Arial" w:cs="Arial" w:eastAsia="Arial" w:hAnsi="Arial"/>
          <w:sz w:val="16"/>
          <w:szCs w:val="16"/>
          <w:b w:val="1"/>
          <w:bCs w:val="1"/>
          <w:color w:val="001C71"/>
        </w:rPr>
      </w:pPr>
      <w:r>
        <w:rPr>
          <w:rFonts w:ascii="Arial" w:cs="Arial" w:eastAsia="Arial" w:hAnsi="Arial"/>
          <w:sz w:val="16"/>
          <w:szCs w:val="16"/>
          <w:color w:val="auto"/>
        </w:rPr>
        <w:t>Xywav net product sales were $1,657.0 million in 2025.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1C71"/>
        </w:rPr>
        <w:t>Rare Epilepsies</w:t>
      </w:r>
    </w:p>
    <w:p>
      <w:pPr>
        <w:spacing w:after="0" w:line="194" w:lineRule="exact"/>
        <w:rPr>
          <w:sz w:val="20"/>
          <w:szCs w:val="20"/>
          <w:color w:val="auto"/>
        </w:rPr>
      </w:pPr>
    </w:p>
    <w:p>
      <w:pPr>
        <w:ind w:left="320" w:hanging="231"/>
        <w:spacing w:after="0"/>
        <w:tabs>
          <w:tab w:leader="none" w:pos="320" w:val="left"/>
        </w:tabs>
        <w:numPr>
          <w:ilvl w:val="0"/>
          <w:numId w:val="44"/>
        </w:numPr>
        <w:rPr>
          <w:rFonts w:ascii="Arial" w:cs="Arial" w:eastAsia="Arial" w:hAnsi="Arial"/>
          <w:sz w:val="16"/>
          <w:szCs w:val="16"/>
          <w:b w:val="1"/>
          <w:bCs w:val="1"/>
          <w:color w:val="001C71"/>
        </w:rPr>
      </w:pPr>
      <w:r>
        <w:rPr>
          <w:rFonts w:ascii="Arial" w:cs="Arial" w:eastAsia="Arial" w:hAnsi="Arial"/>
          <w:sz w:val="16"/>
          <w:szCs w:val="16"/>
          <w:color w:val="auto"/>
        </w:rPr>
        <w:t>Epidiolex/Epidyolex® net product sales were $1,059.2 million in 2025.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1C71"/>
        </w:rPr>
        <w:t>Rare Oncology</w:t>
      </w:r>
    </w:p>
    <w:p>
      <w:pPr>
        <w:spacing w:after="0" w:line="194" w:lineRule="exact"/>
        <w:rPr>
          <w:sz w:val="20"/>
          <w:szCs w:val="20"/>
          <w:color w:val="auto"/>
        </w:rPr>
      </w:pPr>
    </w:p>
    <w:p>
      <w:pPr>
        <w:ind w:left="320" w:hanging="231"/>
        <w:spacing w:after="0"/>
        <w:tabs>
          <w:tab w:leader="none" w:pos="320" w:val="left"/>
        </w:tabs>
        <w:numPr>
          <w:ilvl w:val="0"/>
          <w:numId w:val="45"/>
        </w:numPr>
        <w:rPr>
          <w:rFonts w:ascii="Arial" w:cs="Arial" w:eastAsia="Arial" w:hAnsi="Arial"/>
          <w:sz w:val="16"/>
          <w:szCs w:val="16"/>
          <w:b w:val="1"/>
          <w:bCs w:val="1"/>
          <w:color w:val="001C71"/>
        </w:rPr>
      </w:pPr>
      <w:r>
        <w:rPr>
          <w:rFonts w:ascii="Arial" w:cs="Arial" w:eastAsia="Arial" w:hAnsi="Arial"/>
          <w:sz w:val="16"/>
          <w:szCs w:val="16"/>
          <w:color w:val="auto"/>
        </w:rPr>
        <w:t>Ziihera net product sales were $24.8 million in 2025.</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45"/>
        </w:numPr>
        <w:rPr>
          <w:rFonts w:ascii="Arial" w:cs="Arial" w:eastAsia="Arial" w:hAnsi="Arial"/>
          <w:sz w:val="16"/>
          <w:szCs w:val="16"/>
          <w:b w:val="1"/>
          <w:bCs w:val="1"/>
          <w:color w:val="001C71"/>
        </w:rPr>
      </w:pPr>
      <w:r>
        <w:rPr>
          <w:rFonts w:ascii="Arial" w:cs="Arial" w:eastAsia="Arial" w:hAnsi="Arial"/>
          <w:sz w:val="16"/>
          <w:szCs w:val="16"/>
          <w:color w:val="auto"/>
        </w:rPr>
        <w:t>Modeyso net product sales were $48.0 million in 2025.</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45"/>
        </w:numPr>
        <w:rPr>
          <w:rFonts w:ascii="Arial" w:cs="Arial" w:eastAsia="Arial" w:hAnsi="Arial"/>
          <w:sz w:val="16"/>
          <w:szCs w:val="16"/>
          <w:b w:val="1"/>
          <w:bCs w:val="1"/>
          <w:color w:val="001C71"/>
        </w:rPr>
      </w:pPr>
      <w:r>
        <w:rPr>
          <w:rFonts w:ascii="Arial" w:cs="Arial" w:eastAsia="Arial" w:hAnsi="Arial"/>
          <w:sz w:val="16"/>
          <w:szCs w:val="16"/>
          <w:color w:val="auto"/>
        </w:rPr>
        <w:t>Zepzelca® net product sales were $307.3 million in 2025.</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45"/>
        </w:numPr>
        <w:rPr>
          <w:rFonts w:ascii="Arial" w:cs="Arial" w:eastAsia="Arial" w:hAnsi="Arial"/>
          <w:sz w:val="16"/>
          <w:szCs w:val="16"/>
          <w:b w:val="1"/>
          <w:bCs w:val="1"/>
          <w:color w:val="001C71"/>
        </w:rPr>
      </w:pPr>
      <w:r>
        <w:rPr>
          <w:rFonts w:ascii="Arial" w:cs="Arial" w:eastAsia="Arial" w:hAnsi="Arial"/>
          <w:sz w:val="16"/>
          <w:szCs w:val="16"/>
          <w:color w:val="auto"/>
        </w:rPr>
        <w:t>Rylaze®/Enrylaze® net product sales were $402.9 million in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Pipeline</w:t>
      </w:r>
    </w:p>
    <w:p>
      <w:pPr>
        <w:spacing w:after="0" w:line="122" w:lineRule="exact"/>
        <w:rPr>
          <w:sz w:val="20"/>
          <w:szCs w:val="20"/>
          <w:color w:val="auto"/>
        </w:rPr>
      </w:pPr>
    </w:p>
    <w:p>
      <w:pPr>
        <w:ind w:left="340" w:right="20" w:hanging="251"/>
        <w:spacing w:after="0" w:line="301" w:lineRule="auto"/>
        <w:tabs>
          <w:tab w:leader="none" w:pos="329" w:val="left"/>
        </w:tabs>
        <w:numPr>
          <w:ilvl w:val="0"/>
          <w:numId w:val="46"/>
        </w:numPr>
        <w:rPr>
          <w:rFonts w:ascii="Arial" w:cs="Arial" w:eastAsia="Arial" w:hAnsi="Arial"/>
          <w:sz w:val="16"/>
          <w:szCs w:val="16"/>
          <w:b w:val="1"/>
          <w:bCs w:val="1"/>
          <w:color w:val="001C71"/>
        </w:rPr>
      </w:pPr>
      <w:r>
        <w:rPr>
          <w:rFonts w:ascii="Arial" w:cs="Arial" w:eastAsia="Arial" w:hAnsi="Arial"/>
          <w:sz w:val="16"/>
          <w:szCs w:val="16"/>
          <w:color w:val="auto"/>
        </w:rPr>
        <w:t>In April 2025, Ziihera received a positive Committee for Medicinal Products for Human Use opinion for the treatment of advanced HER2-positive BTC. In June 2025, the European Commission granted conditional marketing authorization for Ziihera for the treatment of adults with unresectable locally advanced or metastatic HER2-positive (IHC3+) BTC previously treated with at least one prior line of systemic therapy.</w:t>
      </w:r>
    </w:p>
    <w:p>
      <w:pPr>
        <w:spacing w:after="0" w:line="63" w:lineRule="exact"/>
        <w:rPr>
          <w:rFonts w:ascii="Arial" w:cs="Arial" w:eastAsia="Arial" w:hAnsi="Arial"/>
          <w:sz w:val="16"/>
          <w:szCs w:val="16"/>
          <w:b w:val="1"/>
          <w:bCs w:val="1"/>
          <w:color w:val="001C71"/>
        </w:rPr>
      </w:pPr>
    </w:p>
    <w:p>
      <w:pPr>
        <w:jc w:val="both"/>
        <w:ind w:left="340" w:right="80" w:hanging="251"/>
        <w:spacing w:after="0" w:line="301" w:lineRule="auto"/>
        <w:tabs>
          <w:tab w:leader="none" w:pos="329" w:val="left"/>
        </w:tabs>
        <w:numPr>
          <w:ilvl w:val="0"/>
          <w:numId w:val="46"/>
        </w:numPr>
        <w:rPr>
          <w:rFonts w:ascii="Arial" w:cs="Arial" w:eastAsia="Arial" w:hAnsi="Arial"/>
          <w:sz w:val="16"/>
          <w:szCs w:val="16"/>
          <w:b w:val="1"/>
          <w:bCs w:val="1"/>
          <w:color w:val="001C71"/>
        </w:rPr>
      </w:pPr>
      <w:r>
        <w:rPr>
          <w:rFonts w:ascii="Arial" w:cs="Arial" w:eastAsia="Arial" w:hAnsi="Arial"/>
          <w:sz w:val="16"/>
          <w:szCs w:val="16"/>
          <w:color w:val="auto"/>
        </w:rPr>
        <w:t>The sNDA submission for the combination of Zepzelca with atezolizumab or atezolizumab and hyaluronidase-tqjs was granted priority review by FDA in June 2025 and subsequently approved in October 2025 as a first-line maintenance treatment for adults with extensive-stage SCLC whose disease has not progressed after first-line induction therapy with atezolizumab, or atezolizumab and hyaluronidase-tqjs carboplatin and etoposide.</w:t>
      </w:r>
    </w:p>
    <w:p>
      <w:pPr>
        <w:spacing w:after="0" w:line="63" w:lineRule="exact"/>
        <w:rPr>
          <w:rFonts w:ascii="Arial" w:cs="Arial" w:eastAsia="Arial" w:hAnsi="Arial"/>
          <w:sz w:val="16"/>
          <w:szCs w:val="16"/>
          <w:b w:val="1"/>
          <w:bCs w:val="1"/>
          <w:color w:val="001C71"/>
        </w:rPr>
      </w:pPr>
    </w:p>
    <w:p>
      <w:pPr>
        <w:jc w:val="both"/>
        <w:ind w:left="340" w:right="120" w:hanging="251"/>
        <w:spacing w:after="0" w:line="301" w:lineRule="auto"/>
        <w:tabs>
          <w:tab w:leader="none" w:pos="329" w:val="left"/>
        </w:tabs>
        <w:numPr>
          <w:ilvl w:val="0"/>
          <w:numId w:val="46"/>
        </w:numPr>
        <w:rPr>
          <w:rFonts w:ascii="Arial" w:cs="Arial" w:eastAsia="Arial" w:hAnsi="Arial"/>
          <w:sz w:val="16"/>
          <w:szCs w:val="16"/>
          <w:b w:val="1"/>
          <w:bCs w:val="1"/>
          <w:color w:val="001C71"/>
        </w:rPr>
      </w:pPr>
      <w:r>
        <w:rPr>
          <w:rFonts w:ascii="Arial" w:cs="Arial" w:eastAsia="Arial" w:hAnsi="Arial"/>
          <w:sz w:val="16"/>
          <w:szCs w:val="16"/>
          <w:color w:val="auto"/>
        </w:rPr>
        <w:t>Following the Chimerix Acquisition in April 2025, Modeyso received FDA approval in August 2025 and was subsequently launched for the treatment of adult and pediatric patients 1 year of age and older with diffuse midline glioma harboring an H3 K27M mutation with progressive disease following prior therapy.</w:t>
      </w:r>
    </w:p>
    <w:p>
      <w:pPr>
        <w:spacing w:after="0" w:line="63" w:lineRule="exact"/>
        <w:rPr>
          <w:rFonts w:ascii="Arial" w:cs="Arial" w:eastAsia="Arial" w:hAnsi="Arial"/>
          <w:sz w:val="16"/>
          <w:szCs w:val="16"/>
          <w:b w:val="1"/>
          <w:bCs w:val="1"/>
          <w:color w:val="001C71"/>
        </w:rPr>
      </w:pPr>
    </w:p>
    <w:p>
      <w:pPr>
        <w:ind w:left="320" w:hanging="231"/>
        <w:spacing w:after="0"/>
        <w:tabs>
          <w:tab w:leader="none" w:pos="320" w:val="left"/>
        </w:tabs>
        <w:numPr>
          <w:ilvl w:val="0"/>
          <w:numId w:val="46"/>
        </w:numPr>
        <w:rPr>
          <w:rFonts w:ascii="Arial" w:cs="Arial" w:eastAsia="Arial" w:hAnsi="Arial"/>
          <w:sz w:val="16"/>
          <w:szCs w:val="16"/>
          <w:b w:val="1"/>
          <w:bCs w:val="1"/>
          <w:color w:val="001C71"/>
        </w:rPr>
      </w:pPr>
      <w:r>
        <w:rPr>
          <w:rFonts w:ascii="Arial" w:cs="Arial" w:eastAsia="Arial" w:hAnsi="Arial"/>
          <w:sz w:val="16"/>
          <w:szCs w:val="16"/>
          <w:color w:val="auto"/>
        </w:rPr>
        <w:t>Modeyso and Zepzelca were included in the NCCN® Clinical Practice Guidelines in Oncology in 2025.</w:t>
      </w:r>
    </w:p>
    <w:p>
      <w:pPr>
        <w:spacing w:after="0" w:line="140" w:lineRule="exact"/>
        <w:rPr>
          <w:rFonts w:ascii="Arial" w:cs="Arial" w:eastAsia="Arial" w:hAnsi="Arial"/>
          <w:sz w:val="16"/>
          <w:szCs w:val="16"/>
          <w:b w:val="1"/>
          <w:bCs w:val="1"/>
          <w:color w:val="001C71"/>
        </w:rPr>
      </w:pPr>
    </w:p>
    <w:p>
      <w:pPr>
        <w:ind w:left="340" w:right="120" w:hanging="251"/>
        <w:spacing w:after="0" w:line="301" w:lineRule="auto"/>
        <w:tabs>
          <w:tab w:leader="none" w:pos="329" w:val="left"/>
        </w:tabs>
        <w:numPr>
          <w:ilvl w:val="0"/>
          <w:numId w:val="46"/>
        </w:numPr>
        <w:rPr>
          <w:rFonts w:ascii="Arial" w:cs="Arial" w:eastAsia="Arial" w:hAnsi="Arial"/>
          <w:sz w:val="16"/>
          <w:szCs w:val="16"/>
          <w:b w:val="1"/>
          <w:bCs w:val="1"/>
          <w:color w:val="001C71"/>
        </w:rPr>
      </w:pPr>
      <w:r>
        <w:rPr>
          <w:rFonts w:ascii="Arial" w:cs="Arial" w:eastAsia="Arial" w:hAnsi="Arial"/>
          <w:sz w:val="16"/>
          <w:szCs w:val="16"/>
          <w:color w:val="auto"/>
        </w:rPr>
        <w:t>Announced positive top-line results from the Phase 3 HERIZON-GEA-01 trial, showing statistically significant and clinically meaningful progression-free survival and overall survival benefits for zanidatamab and chemotherapy with or without tislelizumab in HER2-positive locally advanced or metastatic GEA.</w:t>
      </w:r>
    </w:p>
    <w:p>
      <w:pPr>
        <w:spacing w:after="0" w:line="63" w:lineRule="exact"/>
        <w:rPr>
          <w:rFonts w:ascii="Arial" w:cs="Arial" w:eastAsia="Arial" w:hAnsi="Arial"/>
          <w:sz w:val="16"/>
          <w:szCs w:val="16"/>
          <w:b w:val="1"/>
          <w:bCs w:val="1"/>
          <w:color w:val="001C71"/>
        </w:rPr>
      </w:pPr>
    </w:p>
    <w:p>
      <w:pPr>
        <w:ind w:left="320" w:hanging="231"/>
        <w:spacing w:after="0"/>
        <w:tabs>
          <w:tab w:leader="none" w:pos="320" w:val="left"/>
        </w:tabs>
        <w:numPr>
          <w:ilvl w:val="0"/>
          <w:numId w:val="46"/>
        </w:numPr>
        <w:rPr>
          <w:rFonts w:ascii="Arial" w:cs="Arial" w:eastAsia="Arial" w:hAnsi="Arial"/>
          <w:sz w:val="16"/>
          <w:szCs w:val="16"/>
          <w:b w:val="1"/>
          <w:bCs w:val="1"/>
          <w:color w:val="001C71"/>
        </w:rPr>
      </w:pPr>
      <w:r>
        <w:rPr>
          <w:rFonts w:ascii="Arial" w:cs="Arial" w:eastAsia="Arial" w:hAnsi="Arial"/>
          <w:sz w:val="16"/>
          <w:szCs w:val="16"/>
          <w:color w:val="auto"/>
        </w:rPr>
        <w:t>Initiated zanidatamab Phase 2 EmpowHER-BC-208 trial to evaluate HER2-positive neoadjuvant and adjuvant breast cancer.</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46"/>
        </w:numPr>
        <w:rPr>
          <w:rFonts w:ascii="Arial" w:cs="Arial" w:eastAsia="Arial" w:hAnsi="Arial"/>
          <w:sz w:val="16"/>
          <w:szCs w:val="16"/>
          <w:b w:val="1"/>
          <w:bCs w:val="1"/>
          <w:color w:val="001C71"/>
        </w:rPr>
      </w:pPr>
      <w:r>
        <w:rPr>
          <w:rFonts w:ascii="Arial" w:cs="Arial" w:eastAsia="Arial" w:hAnsi="Arial"/>
          <w:sz w:val="16"/>
          <w:szCs w:val="16"/>
          <w:color w:val="auto"/>
        </w:rPr>
        <w:t>Initiated a Phase 1b trial of Epidiolex in focal-onset seizures.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209550</wp:posOffset>
            </wp:positionV>
            <wp:extent cx="1242695" cy="2057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49</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7" w:name="page58"/>
    <w:bookmarkEnd w:id="57"/>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2997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765935" cy="29972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Key Features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3574415" cy="2057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574415" cy="205740"/>
                    </a:xfrm>
                    <a:prstGeom prst="rect">
                      <a:avLst/>
                    </a:prstGeom>
                    <a:noFill/>
                  </pic:spPr>
                </pic:pic>
              </a:graphicData>
            </a:graphic>
          </wp:anchor>
        </w:drawing>
      </w:r>
    </w:p>
    <w:p>
      <w:pPr>
        <w:spacing w:after="0" w:line="214"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FFFFFF"/>
        </w:rPr>
        <w:t>What We Do</w:t>
      </w:r>
    </w:p>
    <w:p>
      <w:pPr>
        <w:ind w:left="360" w:hanging="268"/>
        <w:spacing w:after="0" w:line="186" w:lineRule="auto"/>
        <w:tabs>
          <w:tab w:leader="none" w:pos="360" w:val="left"/>
        </w:tabs>
        <w:numPr>
          <w:ilvl w:val="0"/>
          <w:numId w:val="47"/>
        </w:numPr>
        <w:rPr>
          <w:rFonts w:ascii="Wingdings" w:cs="Wingdings" w:eastAsia="Wingdings" w:hAnsi="Wingdings"/>
          <w:sz w:val="43"/>
          <w:szCs w:val="43"/>
          <w:b w:val="1"/>
          <w:bCs w:val="1"/>
          <w:color w:val="852166"/>
          <w:vertAlign w:val="subscript"/>
        </w:rPr>
      </w:pPr>
      <w:r>
        <w:rPr>
          <w:rFonts w:ascii="Arial" w:cs="Arial" w:eastAsia="Arial" w:hAnsi="Arial"/>
          <w:sz w:val="14"/>
          <w:szCs w:val="14"/>
          <w:color w:val="auto"/>
        </w:rPr>
        <w:t>Design executive compensation to align pay with performance</w:t>
      </w:r>
    </w:p>
    <w:p>
      <w:pPr>
        <w:spacing w:after="0" w:line="175" w:lineRule="exact"/>
        <w:rPr>
          <w:rFonts w:ascii="Wingdings" w:cs="Wingdings" w:eastAsia="Wingdings" w:hAnsi="Wingdings"/>
          <w:sz w:val="43"/>
          <w:szCs w:val="43"/>
          <w:b w:val="1"/>
          <w:bCs w:val="1"/>
          <w:color w:val="852166"/>
          <w:vertAlign w:val="subscript"/>
        </w:rPr>
      </w:pPr>
    </w:p>
    <w:p>
      <w:pPr>
        <w:ind w:left="360" w:right="180" w:hanging="268"/>
        <w:spacing w:after="0" w:line="183" w:lineRule="auto"/>
        <w:tabs>
          <w:tab w:leader="none" w:pos="360" w:val="left"/>
        </w:tabs>
        <w:numPr>
          <w:ilvl w:val="0"/>
          <w:numId w:val="47"/>
        </w:numPr>
        <w:rPr>
          <w:rFonts w:ascii="Wingdings" w:cs="Wingdings" w:eastAsia="Wingdings" w:hAnsi="Wingdings"/>
          <w:sz w:val="29"/>
          <w:szCs w:val="29"/>
          <w:b w:val="1"/>
          <w:bCs w:val="1"/>
          <w:color w:val="852166"/>
          <w:vertAlign w:val="subscript"/>
        </w:rPr>
      </w:pPr>
      <w:r>
        <w:rPr>
          <w:rFonts w:ascii="Arial" w:cs="Arial" w:eastAsia="Arial" w:hAnsi="Arial"/>
          <w:sz w:val="12"/>
          <w:szCs w:val="12"/>
          <w:color w:val="auto"/>
        </w:rPr>
        <w:t>Balance short-term and long-term incentive compensation, with a majority of executive compensation being “at-risk”</w:t>
      </w:r>
    </w:p>
    <w:p>
      <w:pPr>
        <w:spacing w:after="0" w:line="108" w:lineRule="exact"/>
        <w:rPr>
          <w:rFonts w:ascii="Wingdings" w:cs="Wingdings" w:eastAsia="Wingdings" w:hAnsi="Wingdings"/>
          <w:sz w:val="29"/>
          <w:szCs w:val="29"/>
          <w:b w:val="1"/>
          <w:bCs w:val="1"/>
          <w:color w:val="852166"/>
          <w:vertAlign w:val="subscript"/>
        </w:rPr>
      </w:pPr>
    </w:p>
    <w:p>
      <w:pPr>
        <w:ind w:left="360" w:right="180" w:hanging="268"/>
        <w:spacing w:after="0" w:line="183" w:lineRule="auto"/>
        <w:tabs>
          <w:tab w:leader="none" w:pos="360" w:val="left"/>
        </w:tabs>
        <w:numPr>
          <w:ilvl w:val="0"/>
          <w:numId w:val="47"/>
        </w:numPr>
        <w:rPr>
          <w:rFonts w:ascii="Wingdings" w:cs="Wingdings" w:eastAsia="Wingdings" w:hAnsi="Wingdings"/>
          <w:sz w:val="29"/>
          <w:szCs w:val="29"/>
          <w:b w:val="1"/>
          <w:bCs w:val="1"/>
          <w:color w:val="852166"/>
          <w:vertAlign w:val="subscript"/>
        </w:rPr>
      </w:pPr>
      <w:r>
        <w:rPr>
          <w:rFonts w:ascii="Arial" w:cs="Arial" w:eastAsia="Arial" w:hAnsi="Arial"/>
          <w:sz w:val="12"/>
          <w:szCs w:val="12"/>
          <w:color w:val="auto"/>
        </w:rPr>
        <w:t>Grant equity awards that vest based on performance goals over a multi-year performance period</w:t>
      </w:r>
    </w:p>
    <w:p>
      <w:pPr>
        <w:spacing w:after="0" w:line="1" w:lineRule="exact"/>
        <w:rPr>
          <w:rFonts w:ascii="Wingdings" w:cs="Wingdings" w:eastAsia="Wingdings" w:hAnsi="Wingdings"/>
          <w:sz w:val="29"/>
          <w:szCs w:val="29"/>
          <w:b w:val="1"/>
          <w:bCs w:val="1"/>
          <w:color w:val="852166"/>
          <w:vertAlign w:val="subscript"/>
        </w:rPr>
      </w:pPr>
    </w:p>
    <w:p>
      <w:pPr>
        <w:ind w:left="360" w:hanging="268"/>
        <w:spacing w:after="0" w:line="183" w:lineRule="auto"/>
        <w:tabs>
          <w:tab w:leader="none" w:pos="360" w:val="left"/>
        </w:tabs>
        <w:numPr>
          <w:ilvl w:val="0"/>
          <w:numId w:val="47"/>
        </w:numPr>
        <w:rPr>
          <w:rFonts w:ascii="Wingdings" w:cs="Wingdings" w:eastAsia="Wingdings" w:hAnsi="Wingdings"/>
          <w:sz w:val="35"/>
          <w:szCs w:val="35"/>
          <w:b w:val="1"/>
          <w:bCs w:val="1"/>
          <w:color w:val="852166"/>
          <w:vertAlign w:val="subscript"/>
        </w:rPr>
      </w:pPr>
      <w:r>
        <w:rPr>
          <w:rFonts w:ascii="Arial" w:cs="Arial" w:eastAsia="Arial" w:hAnsi="Arial"/>
          <w:sz w:val="13"/>
          <w:szCs w:val="13"/>
          <w:color w:val="auto"/>
        </w:rPr>
        <w:t>Maintain executive share ownership guidelines</w:t>
      </w:r>
    </w:p>
    <w:p>
      <w:pPr>
        <w:spacing w:after="0" w:line="66" w:lineRule="exact"/>
        <w:rPr>
          <w:rFonts w:ascii="Wingdings" w:cs="Wingdings" w:eastAsia="Wingdings" w:hAnsi="Wingdings"/>
          <w:sz w:val="35"/>
          <w:szCs w:val="35"/>
          <w:b w:val="1"/>
          <w:bCs w:val="1"/>
          <w:color w:val="852166"/>
          <w:vertAlign w:val="subscript"/>
        </w:rPr>
      </w:pPr>
    </w:p>
    <w:p>
      <w:pPr>
        <w:ind w:left="360" w:hanging="268"/>
        <w:spacing w:after="0" w:line="184" w:lineRule="auto"/>
        <w:tabs>
          <w:tab w:leader="none" w:pos="360" w:val="left"/>
        </w:tabs>
        <w:numPr>
          <w:ilvl w:val="0"/>
          <w:numId w:val="47"/>
        </w:numPr>
        <w:rPr>
          <w:rFonts w:ascii="Wingdings" w:cs="Wingdings" w:eastAsia="Wingdings" w:hAnsi="Wingdings"/>
          <w:sz w:val="35"/>
          <w:szCs w:val="35"/>
          <w:b w:val="1"/>
          <w:bCs w:val="1"/>
          <w:color w:val="852166"/>
          <w:vertAlign w:val="subscript"/>
        </w:rPr>
      </w:pPr>
      <w:r>
        <w:rPr>
          <w:rFonts w:ascii="Arial" w:cs="Arial" w:eastAsia="Arial" w:hAnsi="Arial"/>
          <w:sz w:val="13"/>
          <w:szCs w:val="13"/>
          <w:color w:val="auto"/>
        </w:rPr>
        <w:t>Provide “double-trigger” CIC benefits</w:t>
      </w:r>
    </w:p>
    <w:p>
      <w:pPr>
        <w:spacing w:after="0" w:line="66" w:lineRule="exact"/>
        <w:rPr>
          <w:rFonts w:ascii="Wingdings" w:cs="Wingdings" w:eastAsia="Wingdings" w:hAnsi="Wingdings"/>
          <w:sz w:val="35"/>
          <w:szCs w:val="35"/>
          <w:b w:val="1"/>
          <w:bCs w:val="1"/>
          <w:color w:val="852166"/>
          <w:vertAlign w:val="subscript"/>
        </w:rPr>
      </w:pPr>
    </w:p>
    <w:p>
      <w:pPr>
        <w:ind w:left="360" w:hanging="268"/>
        <w:spacing w:after="0" w:line="184" w:lineRule="auto"/>
        <w:tabs>
          <w:tab w:leader="none" w:pos="360" w:val="left"/>
        </w:tabs>
        <w:numPr>
          <w:ilvl w:val="0"/>
          <w:numId w:val="47"/>
        </w:numPr>
        <w:rPr>
          <w:rFonts w:ascii="Wingdings" w:cs="Wingdings" w:eastAsia="Wingdings" w:hAnsi="Wingdings"/>
          <w:sz w:val="35"/>
          <w:szCs w:val="35"/>
          <w:b w:val="1"/>
          <w:bCs w:val="1"/>
          <w:color w:val="852166"/>
          <w:vertAlign w:val="subscript"/>
        </w:rPr>
      </w:pPr>
      <w:r>
        <w:rPr>
          <w:rFonts w:ascii="Arial" w:cs="Arial" w:eastAsia="Arial" w:hAnsi="Arial"/>
          <w:sz w:val="13"/>
          <w:szCs w:val="13"/>
          <w:color w:val="auto"/>
        </w:rPr>
        <w:t>Prohibit hedging and pledging by executive officers and directors</w:t>
      </w:r>
    </w:p>
    <w:p>
      <w:pPr>
        <w:spacing w:after="0" w:line="66" w:lineRule="exact"/>
        <w:rPr>
          <w:rFonts w:ascii="Wingdings" w:cs="Wingdings" w:eastAsia="Wingdings" w:hAnsi="Wingdings"/>
          <w:sz w:val="35"/>
          <w:szCs w:val="35"/>
          <w:b w:val="1"/>
          <w:bCs w:val="1"/>
          <w:color w:val="852166"/>
          <w:vertAlign w:val="subscript"/>
        </w:rPr>
      </w:pPr>
    </w:p>
    <w:p>
      <w:pPr>
        <w:ind w:left="360" w:hanging="268"/>
        <w:spacing w:after="0" w:line="197" w:lineRule="auto"/>
        <w:tabs>
          <w:tab w:leader="none" w:pos="360" w:val="left"/>
        </w:tabs>
        <w:numPr>
          <w:ilvl w:val="0"/>
          <w:numId w:val="47"/>
        </w:numPr>
        <w:rPr>
          <w:rFonts w:ascii="Wingdings" w:cs="Wingdings" w:eastAsia="Wingdings" w:hAnsi="Wingdings"/>
          <w:sz w:val="43"/>
          <w:szCs w:val="43"/>
          <w:b w:val="1"/>
          <w:bCs w:val="1"/>
          <w:color w:val="852166"/>
          <w:vertAlign w:val="subscript"/>
        </w:rPr>
      </w:pPr>
      <w:r>
        <w:rPr>
          <w:rFonts w:ascii="Arial" w:cs="Arial" w:eastAsia="Arial" w:hAnsi="Arial"/>
          <w:sz w:val="14"/>
          <w:szCs w:val="14"/>
          <w:color w:val="auto"/>
        </w:rPr>
        <w:t>Maintain a clawback policy</w:t>
      </w:r>
    </w:p>
    <w:p>
      <w:pPr>
        <w:spacing w:after="0" w:line="176" w:lineRule="exact"/>
        <w:rPr>
          <w:rFonts w:ascii="Wingdings" w:cs="Wingdings" w:eastAsia="Wingdings" w:hAnsi="Wingdings"/>
          <w:sz w:val="43"/>
          <w:szCs w:val="43"/>
          <w:b w:val="1"/>
          <w:bCs w:val="1"/>
          <w:color w:val="852166"/>
          <w:vertAlign w:val="subscript"/>
        </w:rPr>
      </w:pPr>
    </w:p>
    <w:p>
      <w:pPr>
        <w:ind w:left="360" w:hanging="268"/>
        <w:spacing w:after="0" w:line="182" w:lineRule="auto"/>
        <w:tabs>
          <w:tab w:leader="none" w:pos="360" w:val="left"/>
        </w:tabs>
        <w:numPr>
          <w:ilvl w:val="0"/>
          <w:numId w:val="47"/>
        </w:numPr>
        <w:rPr>
          <w:rFonts w:ascii="Wingdings" w:cs="Wingdings" w:eastAsia="Wingdings" w:hAnsi="Wingdings"/>
          <w:sz w:val="40"/>
          <w:szCs w:val="40"/>
          <w:b w:val="1"/>
          <w:bCs w:val="1"/>
          <w:color w:val="852166"/>
          <w:vertAlign w:val="subscript"/>
        </w:rPr>
      </w:pPr>
      <w:r>
        <w:rPr>
          <w:rFonts w:ascii="Arial" w:cs="Arial" w:eastAsia="Arial" w:hAnsi="Arial"/>
          <w:sz w:val="14"/>
          <w:szCs w:val="14"/>
          <w:color w:val="auto"/>
        </w:rPr>
        <w:t>Establish threshold and maximum levels of achievement for payouts under our performance-vesting equity awards and maximum levels of achievement for payouts under our annual performance bonus plan, including an overall cap on individual payout amounts</w:t>
      </w:r>
    </w:p>
    <w:p>
      <w:pPr>
        <w:ind w:left="360" w:hanging="268"/>
        <w:spacing w:after="0" w:line="180" w:lineRule="auto"/>
        <w:tabs>
          <w:tab w:leader="none" w:pos="360" w:val="left"/>
        </w:tabs>
        <w:numPr>
          <w:ilvl w:val="0"/>
          <w:numId w:val="47"/>
        </w:numPr>
        <w:rPr>
          <w:rFonts w:ascii="Wingdings" w:cs="Wingdings" w:eastAsia="Wingdings" w:hAnsi="Wingdings"/>
          <w:sz w:val="34"/>
          <w:szCs w:val="34"/>
          <w:b w:val="1"/>
          <w:bCs w:val="1"/>
          <w:color w:val="852166"/>
          <w:vertAlign w:val="subscript"/>
        </w:rPr>
      </w:pPr>
      <w:r>
        <w:rPr>
          <w:rFonts w:ascii="Arial" w:cs="Arial" w:eastAsia="Arial" w:hAnsi="Arial"/>
          <w:sz w:val="13"/>
          <w:szCs w:val="13"/>
          <w:color w:val="auto"/>
        </w:rPr>
        <w:t>Have 100% independent directors on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357441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-671195</wp:posOffset>
            </wp:positionV>
            <wp:extent cx="357441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-902970</wp:posOffset>
            </wp:positionV>
            <wp:extent cx="357441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-1194435</wp:posOffset>
            </wp:positionV>
            <wp:extent cx="357441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-1425575</wp:posOffset>
            </wp:positionV>
            <wp:extent cx="357441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-1657350</wp:posOffset>
            </wp:positionV>
            <wp:extent cx="357441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-1948815</wp:posOffset>
            </wp:positionV>
            <wp:extent cx="357441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-2240280</wp:posOffset>
            </wp:positionV>
            <wp:extent cx="357441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746"/>
        <w:spacing w:after="0"/>
        <w:rPr>
          <w:sz w:val="20"/>
          <w:szCs w:val="20"/>
          <w:color w:val="auto"/>
        </w:rPr>
      </w:pPr>
      <w:r>
        <w:rPr>
          <w:rFonts w:ascii="Arial" w:cs="Arial" w:eastAsia="Arial" w:hAnsi="Arial"/>
          <w:sz w:val="18"/>
          <w:szCs w:val="18"/>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-153035</wp:posOffset>
            </wp:positionV>
            <wp:extent cx="3411855" cy="2057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411855" cy="205740"/>
                    </a:xfrm>
                    <a:prstGeom prst="rect">
                      <a:avLst/>
                    </a:prstGeom>
                    <a:noFill/>
                  </pic:spPr>
                </pic:pic>
              </a:graphicData>
            </a:graphic>
          </wp:anchor>
        </w:drawing>
      </w:r>
    </w:p>
    <w:p>
      <w:pPr>
        <w:ind w:left="266" w:hanging="266"/>
        <w:spacing w:after="0" w:line="181" w:lineRule="auto"/>
        <w:tabs>
          <w:tab w:leader="none" w:pos="266" w:val="left"/>
        </w:tabs>
        <w:numPr>
          <w:ilvl w:val="0"/>
          <w:numId w:val="48"/>
        </w:numPr>
        <w:rPr>
          <w:rFonts w:ascii="Wingdings" w:cs="Wingdings" w:eastAsia="Wingdings" w:hAnsi="Wingdings"/>
          <w:sz w:val="41"/>
          <w:szCs w:val="41"/>
          <w:b w:val="1"/>
          <w:bCs w:val="1"/>
          <w:color w:val="001C71"/>
          <w:vertAlign w:val="subscript"/>
        </w:rPr>
      </w:pPr>
      <w:r>
        <w:rPr>
          <w:rFonts w:ascii="Arial" w:cs="Arial" w:eastAsia="Arial" w:hAnsi="Arial"/>
          <w:sz w:val="14"/>
          <w:szCs w:val="14"/>
          <w:color w:val="auto"/>
        </w:rPr>
        <w:t>No excessive CIC or severance arrangements</w:t>
      </w:r>
    </w:p>
    <w:p>
      <w:pPr>
        <w:spacing w:after="0" w:line="66" w:lineRule="exact"/>
        <w:rPr>
          <w:rFonts w:ascii="Wingdings" w:cs="Wingdings" w:eastAsia="Wingdings" w:hAnsi="Wingdings"/>
          <w:sz w:val="41"/>
          <w:szCs w:val="41"/>
          <w:b w:val="1"/>
          <w:bCs w:val="1"/>
          <w:color w:val="001C71"/>
          <w:vertAlign w:val="subscript"/>
        </w:rPr>
      </w:pPr>
    </w:p>
    <w:p>
      <w:pPr>
        <w:ind w:left="266" w:hanging="266"/>
        <w:spacing w:after="0" w:line="184" w:lineRule="auto"/>
        <w:tabs>
          <w:tab w:leader="none" w:pos="266" w:val="left"/>
        </w:tabs>
        <w:numPr>
          <w:ilvl w:val="0"/>
          <w:numId w:val="48"/>
        </w:numPr>
        <w:rPr>
          <w:rFonts w:ascii="Wingdings" w:cs="Wingdings" w:eastAsia="Wingdings" w:hAnsi="Wingdings"/>
          <w:sz w:val="35"/>
          <w:szCs w:val="35"/>
          <w:b w:val="1"/>
          <w:bCs w:val="1"/>
          <w:color w:val="001C71"/>
          <w:vertAlign w:val="subscript"/>
        </w:rPr>
      </w:pPr>
      <w:r>
        <w:rPr>
          <w:rFonts w:ascii="Arial" w:cs="Arial" w:eastAsia="Arial" w:hAnsi="Arial"/>
          <w:sz w:val="13"/>
          <w:szCs w:val="13"/>
          <w:color w:val="auto"/>
        </w:rPr>
        <w:t>No “single-trigger” cash or equity CIC benefits</w:t>
      </w:r>
    </w:p>
    <w:p>
      <w:pPr>
        <w:spacing w:after="0" w:line="66" w:lineRule="exact"/>
        <w:rPr>
          <w:rFonts w:ascii="Wingdings" w:cs="Wingdings" w:eastAsia="Wingdings" w:hAnsi="Wingdings"/>
          <w:sz w:val="35"/>
          <w:szCs w:val="35"/>
          <w:b w:val="1"/>
          <w:bCs w:val="1"/>
          <w:color w:val="001C71"/>
          <w:vertAlign w:val="subscript"/>
        </w:rPr>
      </w:pPr>
    </w:p>
    <w:p>
      <w:pPr>
        <w:ind w:left="266" w:hanging="266"/>
        <w:spacing w:after="0" w:line="197" w:lineRule="auto"/>
        <w:tabs>
          <w:tab w:leader="none" w:pos="266" w:val="left"/>
        </w:tabs>
        <w:numPr>
          <w:ilvl w:val="0"/>
          <w:numId w:val="48"/>
        </w:numPr>
        <w:rPr>
          <w:rFonts w:ascii="Wingdings" w:cs="Wingdings" w:eastAsia="Wingdings" w:hAnsi="Wingdings"/>
          <w:sz w:val="43"/>
          <w:szCs w:val="43"/>
          <w:b w:val="1"/>
          <w:bCs w:val="1"/>
          <w:color w:val="001C71"/>
          <w:vertAlign w:val="subscript"/>
        </w:rPr>
      </w:pPr>
      <w:r>
        <w:rPr>
          <w:rFonts w:ascii="Arial" w:cs="Arial" w:eastAsia="Arial" w:hAnsi="Arial"/>
          <w:sz w:val="14"/>
          <w:szCs w:val="14"/>
          <w:color w:val="auto"/>
        </w:rPr>
        <w:t>No repricing of underwater stock options without prior shareholder approval</w:t>
      </w:r>
    </w:p>
    <w:p>
      <w:pPr>
        <w:spacing w:after="0" w:line="67" w:lineRule="exact"/>
        <w:rPr>
          <w:rFonts w:ascii="Wingdings" w:cs="Wingdings" w:eastAsia="Wingdings" w:hAnsi="Wingdings"/>
          <w:sz w:val="43"/>
          <w:szCs w:val="43"/>
          <w:b w:val="1"/>
          <w:bCs w:val="1"/>
          <w:color w:val="001C71"/>
          <w:vertAlign w:val="subscript"/>
        </w:rPr>
      </w:pPr>
    </w:p>
    <w:p>
      <w:pPr>
        <w:ind w:left="266" w:hanging="266"/>
        <w:spacing w:after="0" w:line="197" w:lineRule="auto"/>
        <w:tabs>
          <w:tab w:leader="none" w:pos="266" w:val="left"/>
        </w:tabs>
        <w:numPr>
          <w:ilvl w:val="0"/>
          <w:numId w:val="48"/>
        </w:numPr>
        <w:rPr>
          <w:rFonts w:ascii="Wingdings" w:cs="Wingdings" w:eastAsia="Wingdings" w:hAnsi="Wingdings"/>
          <w:sz w:val="43"/>
          <w:szCs w:val="43"/>
          <w:b w:val="1"/>
          <w:bCs w:val="1"/>
          <w:color w:val="001C71"/>
          <w:vertAlign w:val="subscript"/>
        </w:rPr>
      </w:pPr>
      <w:r>
        <w:rPr>
          <w:rFonts w:ascii="Arial" w:cs="Arial" w:eastAsia="Arial" w:hAnsi="Arial"/>
          <w:sz w:val="14"/>
          <w:szCs w:val="14"/>
          <w:color w:val="auto"/>
        </w:rPr>
        <w:t>No excessive perquisites</w:t>
      </w:r>
    </w:p>
    <w:p>
      <w:pPr>
        <w:spacing w:after="0" w:line="67" w:lineRule="exact"/>
        <w:rPr>
          <w:rFonts w:ascii="Wingdings" w:cs="Wingdings" w:eastAsia="Wingdings" w:hAnsi="Wingdings"/>
          <w:sz w:val="43"/>
          <w:szCs w:val="43"/>
          <w:b w:val="1"/>
          <w:bCs w:val="1"/>
          <w:color w:val="001C71"/>
          <w:vertAlign w:val="subscript"/>
        </w:rPr>
      </w:pPr>
    </w:p>
    <w:p>
      <w:pPr>
        <w:ind w:left="266" w:hanging="266"/>
        <w:spacing w:after="0" w:line="184" w:lineRule="auto"/>
        <w:tabs>
          <w:tab w:leader="none" w:pos="266" w:val="left"/>
        </w:tabs>
        <w:numPr>
          <w:ilvl w:val="0"/>
          <w:numId w:val="48"/>
        </w:numPr>
        <w:rPr>
          <w:rFonts w:ascii="Wingdings" w:cs="Wingdings" w:eastAsia="Wingdings" w:hAnsi="Wingdings"/>
          <w:sz w:val="35"/>
          <w:szCs w:val="35"/>
          <w:b w:val="1"/>
          <w:bCs w:val="1"/>
          <w:color w:val="001C71"/>
          <w:vertAlign w:val="subscript"/>
        </w:rPr>
      </w:pPr>
      <w:r>
        <w:rPr>
          <w:rFonts w:ascii="Arial" w:cs="Arial" w:eastAsia="Arial" w:hAnsi="Arial"/>
          <w:sz w:val="13"/>
          <w:szCs w:val="13"/>
          <w:color w:val="auto"/>
        </w:rPr>
        <w:t>No tax gross ups on severance or CIC benefits</w:t>
      </w:r>
    </w:p>
    <w:p>
      <w:pPr>
        <w:spacing w:after="0" w:line="175" w:lineRule="exact"/>
        <w:rPr>
          <w:rFonts w:ascii="Wingdings" w:cs="Wingdings" w:eastAsia="Wingdings" w:hAnsi="Wingdings"/>
          <w:sz w:val="35"/>
          <w:szCs w:val="35"/>
          <w:b w:val="1"/>
          <w:bCs w:val="1"/>
          <w:color w:val="001C71"/>
          <w:vertAlign w:val="subscript"/>
        </w:rPr>
      </w:pPr>
    </w:p>
    <w:p>
      <w:pPr>
        <w:ind w:left="266" w:right="220" w:hanging="266"/>
        <w:spacing w:after="0" w:line="183" w:lineRule="auto"/>
        <w:tabs>
          <w:tab w:leader="none" w:pos="266" w:val="left"/>
        </w:tabs>
        <w:numPr>
          <w:ilvl w:val="0"/>
          <w:numId w:val="48"/>
        </w:numPr>
        <w:rPr>
          <w:rFonts w:ascii="Wingdings" w:cs="Wingdings" w:eastAsia="Wingdings" w:hAnsi="Wingdings"/>
          <w:sz w:val="29"/>
          <w:szCs w:val="29"/>
          <w:b w:val="1"/>
          <w:bCs w:val="1"/>
          <w:color w:val="001C71"/>
          <w:vertAlign w:val="subscript"/>
        </w:rPr>
      </w:pPr>
      <w:r>
        <w:rPr>
          <w:rFonts w:ascii="Arial" w:cs="Arial" w:eastAsia="Arial" w:hAnsi="Arial"/>
          <w:sz w:val="12"/>
          <w:szCs w:val="12"/>
          <w:color w:val="auto"/>
        </w:rPr>
        <w:t>No post-termination retirement or pension benefits that are not available to employees generally</w:t>
      </w:r>
    </w:p>
    <w:p>
      <w:pPr>
        <w:spacing w:after="0" w:line="1" w:lineRule="exact"/>
        <w:rPr>
          <w:rFonts w:ascii="Wingdings" w:cs="Wingdings" w:eastAsia="Wingdings" w:hAnsi="Wingdings"/>
          <w:sz w:val="29"/>
          <w:szCs w:val="29"/>
          <w:b w:val="1"/>
          <w:bCs w:val="1"/>
          <w:color w:val="001C71"/>
          <w:vertAlign w:val="subscript"/>
        </w:rPr>
      </w:pPr>
    </w:p>
    <w:p>
      <w:pPr>
        <w:ind w:left="266" w:hanging="266"/>
        <w:spacing w:after="0" w:line="183" w:lineRule="auto"/>
        <w:tabs>
          <w:tab w:leader="none" w:pos="266" w:val="left"/>
        </w:tabs>
        <w:numPr>
          <w:ilvl w:val="0"/>
          <w:numId w:val="48"/>
        </w:numPr>
        <w:rPr>
          <w:rFonts w:ascii="Wingdings" w:cs="Wingdings" w:eastAsia="Wingdings" w:hAnsi="Wingdings"/>
          <w:sz w:val="35"/>
          <w:szCs w:val="35"/>
          <w:b w:val="1"/>
          <w:bCs w:val="1"/>
          <w:color w:val="001C71"/>
          <w:vertAlign w:val="subscript"/>
        </w:rPr>
      </w:pPr>
      <w:r>
        <w:rPr>
          <w:rFonts w:ascii="Arial" w:cs="Arial" w:eastAsia="Arial" w:hAnsi="Arial"/>
          <w:sz w:val="13"/>
          <w:szCs w:val="13"/>
          <w:color w:val="auto"/>
        </w:rPr>
        <w:t>No guaranteed bonuses or base salary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65405</wp:posOffset>
            </wp:positionV>
            <wp:extent cx="341185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-165100</wp:posOffset>
            </wp:positionV>
            <wp:extent cx="34118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118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-456565</wp:posOffset>
            </wp:positionV>
            <wp:extent cx="341185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-688340</wp:posOffset>
            </wp:positionV>
            <wp:extent cx="34118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4118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-919480</wp:posOffset>
            </wp:positionV>
            <wp:extent cx="34118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4118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-1210945</wp:posOffset>
            </wp:positionV>
            <wp:extent cx="34118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118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-1502410</wp:posOffset>
            </wp:positionV>
            <wp:extent cx="34118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336" w:lineRule="exact"/>
        <w:rPr>
          <w:sz w:val="20"/>
          <w:szCs w:val="20"/>
          <w:color w:val="auto"/>
        </w:rPr>
      </w:pPr>
    </w:p>
    <w:p>
      <w:pPr>
        <w:sectPr>
          <w:pgSz w:w="11900" w:h="16838" w:orient="portrait"/>
          <w:cols w:equalWidth="0" w:num="2">
            <w:col w:w="5380" w:space="594"/>
            <w:col w:w="5226"/>
          </w:cols>
          <w:pgMar w:left="320" w:top="522" w:right="379" w:bottom="1440" w:gutter="0" w:footer="0" w:header="0"/>
        </w:sectPr>
      </w:pPr>
    </w:p>
    <w:p>
      <w:pPr>
        <w:ind w:left="360" w:right="6260" w:hanging="268"/>
        <w:spacing w:after="0" w:line="183" w:lineRule="auto"/>
        <w:tabs>
          <w:tab w:leader="none" w:pos="360" w:val="left"/>
        </w:tabs>
        <w:numPr>
          <w:ilvl w:val="0"/>
          <w:numId w:val="49"/>
        </w:numPr>
        <w:rPr>
          <w:rFonts w:ascii="Wingdings" w:cs="Wingdings" w:eastAsia="Wingdings" w:hAnsi="Wingdings"/>
          <w:sz w:val="29"/>
          <w:szCs w:val="29"/>
          <w:b w:val="1"/>
          <w:bCs w:val="1"/>
          <w:color w:val="852166"/>
          <w:vertAlign w:val="subscript"/>
        </w:rPr>
      </w:pPr>
      <w:r>
        <w:rPr>
          <w:rFonts w:ascii="Arial" w:cs="Arial" w:eastAsia="Arial" w:hAnsi="Arial"/>
          <w:sz w:val="12"/>
          <w:szCs w:val="12"/>
          <w:color w:val="auto"/>
        </w:rPr>
        <w:t>Retain independent compensation consultant who reports directly to our Compensation Committee</w:t>
      </w:r>
    </w:p>
    <w:p>
      <w:pPr>
        <w:spacing w:after="0" w:line="108" w:lineRule="exact"/>
        <w:rPr>
          <w:rFonts w:ascii="Wingdings" w:cs="Wingdings" w:eastAsia="Wingdings" w:hAnsi="Wingdings"/>
          <w:sz w:val="29"/>
          <w:szCs w:val="29"/>
          <w:b w:val="1"/>
          <w:bCs w:val="1"/>
          <w:color w:val="852166"/>
          <w:vertAlign w:val="subscript"/>
        </w:rPr>
      </w:pPr>
    </w:p>
    <w:p>
      <w:pPr>
        <w:ind w:left="360" w:right="6040" w:hanging="268"/>
        <w:spacing w:after="0" w:line="183" w:lineRule="auto"/>
        <w:tabs>
          <w:tab w:leader="none" w:pos="360" w:val="left"/>
        </w:tabs>
        <w:numPr>
          <w:ilvl w:val="0"/>
          <w:numId w:val="49"/>
        </w:numPr>
        <w:rPr>
          <w:rFonts w:ascii="Wingdings" w:cs="Wingdings" w:eastAsia="Wingdings" w:hAnsi="Wingdings"/>
          <w:sz w:val="29"/>
          <w:szCs w:val="29"/>
          <w:b w:val="1"/>
          <w:bCs w:val="1"/>
          <w:color w:val="852166"/>
          <w:vertAlign w:val="subscript"/>
        </w:rPr>
      </w:pPr>
      <w:r>
        <w:rPr>
          <w:rFonts w:ascii="Arial" w:cs="Arial" w:eastAsia="Arial" w:hAnsi="Arial"/>
          <w:sz w:val="12"/>
          <w:szCs w:val="12"/>
          <w:color w:val="auto"/>
        </w:rPr>
        <w:t>Our Compensation Committee meets regularly in executive session without management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7441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-267335</wp:posOffset>
            </wp:positionV>
            <wp:extent cx="357441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-558800</wp:posOffset>
            </wp:positionV>
            <wp:extent cx="357441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2025 Pay-for-Performance Overview</w:t>
      </w:r>
    </w:p>
    <w:p>
      <w:pPr>
        <w:spacing w:after="0" w:line="185"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As discussed throughout this Compensation Discussion and Analysis, our executive compensation program is designed to align executive pay with the achievement of our most critical financial and strategic objectives and the creation of long-term, sustainable shareholder value. The following 2025 compensation payouts were directly impacted by our achievement of pre-established financial and strategic goals.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Annual Performance Bonus</w:t>
      </w:r>
    </w:p>
    <w:p>
      <w:pPr>
        <w:spacing w:after="0" w:line="12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2025 annual bonus program provides for a cash bonus based on the achievement of pre-established corporate objectives, as determined by our Compensation Committee, and reflects the individual NEO’s contributions toward such achievements. This program is described in more detail below under “</w:t>
      </w:r>
      <w:r>
        <w:rPr>
          <w:rFonts w:ascii="Arial" w:cs="Arial" w:eastAsia="Arial" w:hAnsi="Arial"/>
          <w:sz w:val="16"/>
          <w:szCs w:val="16"/>
          <w:i w:val="1"/>
          <w:iCs w:val="1"/>
          <w:color w:val="auto"/>
        </w:rPr>
        <w:t>2025 Performance Bonus Program</w:t>
      </w:r>
      <w:r>
        <w:rPr>
          <w:rFonts w:ascii="Arial" w:cs="Arial" w:eastAsia="Arial" w:hAnsi="Arial"/>
          <w:sz w:val="16"/>
          <w:szCs w:val="16"/>
          <w:color w:val="auto"/>
        </w:rPr>
        <w:t>.” Our performance during 2025 against the bonus plan corporate objectives resulted in achievement at 150% of target.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Long-Term Incentive</w:t>
      </w:r>
    </w:p>
    <w:p>
      <w:pPr>
        <w:spacing w:after="0" w:line="122"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Our 2025 annual long-term incentive program consisted of 50% RSUs and 50% PSUs that are eligible to vest based on pre-established performance goals measured over a multi-year performance period.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Long-Term Incentive Payouts</w:t>
      </w:r>
    </w:p>
    <w:p>
      <w:pPr>
        <w:spacing w:after="0" w:line="12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PSUs granted for the 2023-2025 performance period provided senior executives with the opportunity to earn share awards based on a mix of commercial, financial and development goals measured from January 1, 2023 through December 31, 2025, modified by a TSR ranking versus peers, measured during the same period. Based on the achievement of the commercial, financial and development objectives, the preliminary payout was 97% of target. However, our TSR ranked in the 47th percentile against peers, which reduced the payout by 3% based on the schedule that was established by our Compensation Committee at the time of grant. As a result, the final payout of the 2023-2025 PSU award cycle was 94% of target. Additional details about our PSU program and the 2023-2025 PSU award cycle are provided below under </w:t>
      </w:r>
      <w:r>
        <w:rPr>
          <w:rFonts w:ascii="Arial" w:cs="Arial" w:eastAsia="Arial" w:hAnsi="Arial"/>
          <w:sz w:val="16"/>
          <w:szCs w:val="16"/>
          <w:i w:val="1"/>
          <w:iCs w:val="1"/>
          <w:color w:val="auto"/>
        </w:rPr>
        <w:t>“Goals for and Achievement of 2025 Performance-Based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2025 – 2027 PSU Program” </w:t>
      </w:r>
      <w:r>
        <w:rPr>
          <w:rFonts w:ascii="Arial" w:cs="Arial" w:eastAsia="Arial" w:hAnsi="Arial"/>
          <w:sz w:val="16"/>
          <w:szCs w:val="16"/>
          <w:color w:val="auto"/>
        </w:rPr>
        <w:t>and</w:t>
      </w:r>
      <w:r>
        <w:rPr>
          <w:rFonts w:ascii="Arial" w:cs="Arial" w:eastAsia="Arial" w:hAnsi="Arial"/>
          <w:sz w:val="16"/>
          <w:szCs w:val="16"/>
          <w:i w:val="1"/>
          <w:iCs w:val="1"/>
          <w:color w:val="auto"/>
        </w:rPr>
        <w:t xml:space="preserve"> “2025 Compensation Decisions for Our NEOs—Conclusion of Performance Period for 2023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176530</wp:posOffset>
            </wp:positionV>
            <wp:extent cx="1242695" cy="2057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90"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50</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type w:val="continuous"/>
        </w:sectPr>
      </w:pPr>
    </w:p>
    <w:bookmarkStart w:id="58" w:name="page59"/>
    <w:bookmarkEnd w:id="58"/>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Special Compensation Considerations for Mr. Cozadd</w:t>
      </w:r>
    </w:p>
    <w:p>
      <w:pPr>
        <w:spacing w:after="0" w:line="122"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As noted above, Mr. Cozadd ceased serving as our CEO on August 11, 2025, and he retired from all employment positions with our Company effective September 14, 2025 following service in a transition role. Accordingly, when addressing CEO compensation for 2025, the compensation programs and decisions described in this Compensation Discussion and Analysis generally relate to Ms. Gala, who assumed the CEO position effective August 11, 2025.</w:t>
      </w:r>
    </w:p>
    <w:p>
      <w:pPr>
        <w:spacing w:after="0" w:line="118"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color w:val="auto"/>
        </w:rPr>
        <w:t>Because Mr. Cozadd’s anticipated retirement was announced in December 2024, our Compensation Committee and Board established several special compensation arrangements for Mr. Cozadd for 2025. Our Compensation Committee and Board believed these arrangements were best tailored to appropriately incentivize Mr. Cozadd during the period of transition. The special transition arrangements for Mr. Cozadd are more fully described below in this Compensation Discussion and Analysis.</w:t>
      </w:r>
    </w:p>
    <w:p>
      <w:pPr>
        <w:spacing w:after="0" w:line="157" w:lineRule="exact"/>
        <w:rPr>
          <w:sz w:val="20"/>
          <w:szCs w:val="20"/>
          <w:color w:val="auto"/>
        </w:rPr>
      </w:pPr>
    </w:p>
    <w:p>
      <w:pPr>
        <w:spacing w:after="0"/>
        <w:rPr>
          <w:sz w:val="20"/>
          <w:szCs w:val="20"/>
          <w:color w:val="auto"/>
        </w:rPr>
      </w:pPr>
      <w:r>
        <w:rPr>
          <w:rFonts w:ascii="Arial" w:cs="Arial" w:eastAsia="Arial" w:hAnsi="Arial"/>
          <w:sz w:val="29"/>
          <w:szCs w:val="29"/>
          <w:color w:val="852166"/>
        </w:rPr>
        <w:t>Compensation Philosophy and Objectives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is designed to support the following philosophy and objectives:</w:t>
      </w:r>
    </w:p>
    <w:p>
      <w:pPr>
        <w:spacing w:after="0" w:line="194" w:lineRule="exact"/>
        <w:rPr>
          <w:sz w:val="20"/>
          <w:szCs w:val="20"/>
          <w:color w:val="auto"/>
        </w:rPr>
      </w:pPr>
    </w:p>
    <w:p>
      <w:pPr>
        <w:ind w:left="340" w:right="360" w:hanging="251"/>
        <w:spacing w:after="0" w:line="332" w:lineRule="auto"/>
        <w:tabs>
          <w:tab w:leader="none" w:pos="329" w:val="left"/>
        </w:tabs>
        <w:numPr>
          <w:ilvl w:val="0"/>
          <w:numId w:val="50"/>
        </w:numPr>
        <w:rPr>
          <w:rFonts w:ascii="Arial" w:cs="Arial" w:eastAsia="Arial" w:hAnsi="Arial"/>
          <w:sz w:val="16"/>
          <w:szCs w:val="16"/>
          <w:color w:val="001C71"/>
        </w:rPr>
      </w:pPr>
      <w:r>
        <w:rPr>
          <w:rFonts w:ascii="Arial" w:cs="Arial" w:eastAsia="Arial" w:hAnsi="Arial"/>
          <w:sz w:val="16"/>
          <w:szCs w:val="16"/>
          <w:b w:val="1"/>
          <w:bCs w:val="1"/>
          <w:color w:val="001C71"/>
        </w:rPr>
        <w:t xml:space="preserve">Attract, incentivize, reward and retain experienced, talented individuals with relevant experience in the life sciences industry through a competitive pay structure: </w:t>
      </w:r>
      <w:r>
        <w:rPr>
          <w:rFonts w:ascii="Arial" w:cs="Arial" w:eastAsia="Arial" w:hAnsi="Arial"/>
          <w:sz w:val="16"/>
          <w:szCs w:val="16"/>
          <w:color w:val="000000"/>
        </w:rPr>
        <w:t>We reward individuals fairly over time and seek to retain those individuals who continue to meet our high expectations.</w:t>
      </w:r>
    </w:p>
    <w:p>
      <w:pPr>
        <w:spacing w:after="0" w:line="30" w:lineRule="exact"/>
        <w:rPr>
          <w:rFonts w:ascii="Arial" w:cs="Arial" w:eastAsia="Arial" w:hAnsi="Arial"/>
          <w:sz w:val="16"/>
          <w:szCs w:val="16"/>
          <w:color w:val="001C71"/>
        </w:rPr>
      </w:pPr>
    </w:p>
    <w:p>
      <w:pPr>
        <w:ind w:left="340" w:right="120" w:hanging="251"/>
        <w:spacing w:after="0" w:line="295" w:lineRule="auto"/>
        <w:tabs>
          <w:tab w:leader="none" w:pos="329" w:val="left"/>
        </w:tabs>
        <w:numPr>
          <w:ilvl w:val="0"/>
          <w:numId w:val="50"/>
        </w:numPr>
        <w:rPr>
          <w:rFonts w:ascii="Arial" w:cs="Arial" w:eastAsia="Arial" w:hAnsi="Arial"/>
          <w:sz w:val="16"/>
          <w:szCs w:val="16"/>
          <w:color w:val="001C71"/>
        </w:rPr>
      </w:pPr>
      <w:r>
        <w:rPr>
          <w:rFonts w:ascii="Arial" w:cs="Arial" w:eastAsia="Arial" w:hAnsi="Arial"/>
          <w:sz w:val="16"/>
          <w:szCs w:val="16"/>
          <w:b w:val="1"/>
          <w:bCs w:val="1"/>
          <w:color w:val="001C71"/>
        </w:rPr>
        <w:t xml:space="preserve">Deliver balanced total compensation packages to accomplish our business objectives and mission: </w:t>
      </w:r>
      <w:r>
        <w:rPr>
          <w:rFonts w:ascii="Arial" w:cs="Arial" w:eastAsia="Arial" w:hAnsi="Arial"/>
          <w:sz w:val="16"/>
          <w:szCs w:val="16"/>
          <w:color w:val="000000"/>
        </w:rPr>
        <w:t>Our executive compensation program</w:t>
      </w:r>
      <w:r>
        <w:rPr>
          <w:rFonts w:ascii="Arial" w:cs="Arial" w:eastAsia="Arial" w:hAnsi="Arial"/>
          <w:sz w:val="16"/>
          <w:szCs w:val="16"/>
          <w:b w:val="1"/>
          <w:bCs w:val="1"/>
          <w:color w:val="001C71"/>
        </w:rPr>
        <w:t xml:space="preserve"> </w:t>
      </w:r>
      <w:r>
        <w:rPr>
          <w:rFonts w:ascii="Arial" w:cs="Arial" w:eastAsia="Arial" w:hAnsi="Arial"/>
          <w:sz w:val="16"/>
          <w:szCs w:val="16"/>
          <w:color w:val="000000"/>
        </w:rPr>
        <w:t>focuses on target total direct compensation, combining short- and long-term components, cash and equity, and fixed and variable payments, in the proportions that we believe are the most appropriate to incentivize and reward our executive officers for achieving our corporate goals while minimizing incentives for excessive risk-taking or unethical conduct.</w:t>
      </w:r>
    </w:p>
    <w:p>
      <w:pPr>
        <w:spacing w:after="0" w:line="67" w:lineRule="exact"/>
        <w:rPr>
          <w:rFonts w:ascii="Arial" w:cs="Arial" w:eastAsia="Arial" w:hAnsi="Arial"/>
          <w:sz w:val="16"/>
          <w:szCs w:val="16"/>
          <w:color w:val="001C71"/>
        </w:rPr>
      </w:pPr>
    </w:p>
    <w:p>
      <w:pPr>
        <w:ind w:left="340" w:hanging="251"/>
        <w:spacing w:after="0" w:line="289" w:lineRule="auto"/>
        <w:tabs>
          <w:tab w:leader="none" w:pos="329" w:val="left"/>
        </w:tabs>
        <w:numPr>
          <w:ilvl w:val="0"/>
          <w:numId w:val="50"/>
        </w:numPr>
        <w:rPr>
          <w:rFonts w:ascii="Arial" w:cs="Arial" w:eastAsia="Arial" w:hAnsi="Arial"/>
          <w:sz w:val="16"/>
          <w:szCs w:val="16"/>
          <w:color w:val="001C71"/>
        </w:rPr>
      </w:pPr>
      <w:r>
        <w:rPr>
          <w:rFonts w:ascii="Arial" w:cs="Arial" w:eastAsia="Arial" w:hAnsi="Arial"/>
          <w:sz w:val="16"/>
          <w:szCs w:val="16"/>
          <w:b w:val="1"/>
          <w:bCs w:val="1"/>
          <w:color w:val="001C71"/>
        </w:rPr>
        <w:t xml:space="preserve">Align pay with our performance: </w:t>
      </w:r>
      <w:r>
        <w:rPr>
          <w:rFonts w:ascii="Arial" w:cs="Arial" w:eastAsia="Arial" w:hAnsi="Arial"/>
          <w:sz w:val="16"/>
          <w:szCs w:val="16"/>
          <w:color w:val="000000"/>
        </w:rPr>
        <w:t>As illustrated below, a substantial portion of our NEOs’ compensation opportunity is variable or “at-risk” and</w:t>
      </w:r>
      <w:r>
        <w:rPr>
          <w:rFonts w:ascii="Arial" w:cs="Arial" w:eastAsia="Arial" w:hAnsi="Arial"/>
          <w:sz w:val="16"/>
          <w:szCs w:val="16"/>
          <w:b w:val="1"/>
          <w:bCs w:val="1"/>
          <w:color w:val="001C71"/>
        </w:rPr>
        <w:t xml:space="preserve"> </w:t>
      </w:r>
      <w:r>
        <w:rPr>
          <w:rFonts w:ascii="Arial" w:cs="Arial" w:eastAsia="Arial" w:hAnsi="Arial"/>
          <w:sz w:val="16"/>
          <w:szCs w:val="16"/>
          <w:color w:val="000000"/>
        </w:rPr>
        <w:t>dependent upon our performance. Our annual performance bonus awards are not earned unless pre-determined levels of performance are achieved against annual corporate objectives approved by our Compensation Committee at the beginning of the year. Likewise, our PSUs are not earned unless pre-determined levels of performance are achieved and our RSUs will not provide increased value unless there is an increase in the value of our shares, which benefits all shareholders. We also have executive share ownership guidelines to further support our ownership culture and align the interests of executive officers and shareholders.</w:t>
      </w:r>
    </w:p>
    <w:p>
      <w:pPr>
        <w:spacing w:after="0" w:line="165" w:lineRule="exact"/>
        <w:rPr>
          <w:sz w:val="20"/>
          <w:szCs w:val="20"/>
          <w:color w:val="auto"/>
        </w:rPr>
      </w:pPr>
    </w:p>
    <w:p>
      <w:pPr>
        <w:spacing w:after="0"/>
        <w:rPr>
          <w:sz w:val="20"/>
          <w:szCs w:val="20"/>
          <w:color w:val="auto"/>
        </w:rPr>
      </w:pPr>
      <w:r>
        <w:rPr>
          <w:rFonts w:ascii="Arial" w:cs="Arial" w:eastAsia="Arial" w:hAnsi="Arial"/>
          <w:sz w:val="29"/>
          <w:szCs w:val="29"/>
          <w:color w:val="852166"/>
        </w:rPr>
        <w:t>How We Determine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Role of our Compensation Committee</w:t>
      </w:r>
    </w:p>
    <w:p>
      <w:pPr>
        <w:spacing w:after="0" w:line="18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Our Compensation Committee is (and was at all times during 2025) composed entirely of independent directors, as defined by the Nasdaq listing standards applicable to the independence of Compensation Committee members. Our Compensation Committee meets as often as it determines necessary to carry out its duties and responsibilities through regularly scheduled meetings and, if necessary, special meetings. Our Compensation Committee also has the authority to take certain actions by written consent of all members. The agenda for each Compensation Committee meeting is usually developed by members of our human resources department and our CEO, with input from members of our legal department, and is reviewed and finalized with the chairperson of our Compensation Committee.</w:t>
      </w:r>
    </w:p>
    <w:p>
      <w:pPr>
        <w:spacing w:after="0" w:line="129"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Our Compensation Committee reviews and oversees our compensation policies, plans and programs, and reviews and generally determines the compensation to be paid to the executive officers, including the NEOs. Our CEO’s compensation is approved by the independent members of our Board, upon recommendation from our Compensation Committee, after considering advice from its independent compensation consultant. References in this Compensation Discussion and Analysis to our Board approving our CEO’s compensation are to the independent members of our Board.</w:t>
      </w:r>
    </w:p>
    <w:p>
      <w:pPr>
        <w:spacing w:after="0" w:line="126"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In making executive compensation determinations other than for our CEO, our Compensation Committee considers recommendations from our CEO. Our Compensation Committee takes a holistic approach to compensation and seeks to ensure that the aggregate level of pay across all the pay elements satisfies our Company’s desired objectives for each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177800</wp:posOffset>
            </wp:positionV>
            <wp:extent cx="1242695" cy="2057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51</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9" w:name="page60"/>
    <w:bookmarkEnd w:id="59"/>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Role of our CEO and Management</w:t>
      </w:r>
    </w:p>
    <w:p>
      <w:pPr>
        <w:spacing w:after="0" w:line="18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making recommendations regarding executive compensation determinations, our CEO receives input from our human resources department and from the individuals who manage or report directly to the other executive officers, and our CEO reviews various sources of market compensation data provided by the independent compensation consultant to our Compensation Committee, as described below. While our CEO discusses our CEO’s recommendations for the other executive officers with our Compensation Committee, our CEO does not participate in the deliberations and recommendations concerning determination of such CEO’s pay or evaluation of such CEO’s performance, whether with our Compensation Committee and/or with our Board. Until August 11, 2025, Mr. Cozadd participated in such review and discussion and provided his recommendations with respect to executive officer compensation. Since August 11, 2025, Ms. Gala has participated in such review and discussion and provided her recommendations with respect to executive officer compensation. Members of our human resources department and legal department also attend compensation committee meetings, as appropriate.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Annual Executive Compensation Program Cycle</w:t>
      </w:r>
    </w:p>
    <w:p>
      <w:pPr>
        <w:spacing w:after="0" w:line="185" w:lineRule="exact"/>
        <w:rPr>
          <w:sz w:val="20"/>
          <w:szCs w:val="20"/>
          <w:color w:val="auto"/>
        </w:rPr>
      </w:pPr>
    </w:p>
    <w:p>
      <w:pPr>
        <w:ind w:right="760"/>
        <w:spacing w:after="0" w:line="321" w:lineRule="auto"/>
        <w:rPr>
          <w:sz w:val="20"/>
          <w:szCs w:val="20"/>
          <w:color w:val="auto"/>
        </w:rPr>
      </w:pPr>
      <w:r>
        <w:rPr>
          <w:rFonts w:ascii="Arial" w:cs="Arial" w:eastAsia="Arial" w:hAnsi="Arial"/>
          <w:sz w:val="16"/>
          <w:szCs w:val="16"/>
          <w:color w:val="auto"/>
        </w:rPr>
        <w:t>Below are the highlights of the annual cycle our Compensation Committee follows in reviewing and making decisions with respect to our executive compensation program, as applicable.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424"/>
        </w:trPr>
        <w:tc>
          <w:tcPr>
            <w:tcW w:w="220" w:type="dxa"/>
            <w:vAlign w:val="bottom"/>
            <w:shd w:val="clear" w:color="auto" w:fill="001C71"/>
          </w:tcPr>
          <w:p>
            <w:pPr>
              <w:spacing w:after="0"/>
              <w:rPr>
                <w:sz w:val="24"/>
                <w:szCs w:val="24"/>
                <w:color w:val="auto"/>
              </w:rPr>
            </w:pPr>
          </w:p>
        </w:tc>
        <w:tc>
          <w:tcPr>
            <w:tcW w:w="2180" w:type="dxa"/>
            <w:vAlign w:val="bottom"/>
            <w:shd w:val="clear" w:color="auto" w:fill="001C71"/>
          </w:tcPr>
          <w:p>
            <w:pPr>
              <w:ind w:left="820"/>
              <w:spacing w:after="0"/>
              <w:rPr>
                <w:sz w:val="20"/>
                <w:szCs w:val="20"/>
                <w:color w:val="auto"/>
              </w:rPr>
            </w:pPr>
            <w:r>
              <w:rPr>
                <w:rFonts w:ascii="Arial" w:cs="Arial" w:eastAsia="Arial" w:hAnsi="Arial"/>
                <w:sz w:val="22"/>
                <w:szCs w:val="22"/>
                <w:b w:val="1"/>
                <w:bCs w:val="1"/>
                <w:color w:val="FFFFFF"/>
              </w:rPr>
              <w:t>1Q</w:t>
            </w:r>
          </w:p>
        </w:tc>
        <w:tc>
          <w:tcPr>
            <w:tcW w:w="480" w:type="dxa"/>
            <w:vAlign w:val="bottom"/>
          </w:tcPr>
          <w:p>
            <w:pPr>
              <w:jc w:val="right"/>
              <w:spacing w:after="0"/>
              <w:rPr>
                <w:sz w:val="20"/>
                <w:szCs w:val="20"/>
                <w:color w:val="auto"/>
              </w:rPr>
            </w:pPr>
            <w:r>
              <w:rPr>
                <w:rFonts w:ascii="Wingdings" w:cs="Wingdings" w:eastAsia="Wingdings" w:hAnsi="Wingdings"/>
                <w:sz w:val="29"/>
                <w:szCs w:val="29"/>
                <w:b w:val="1"/>
                <w:bCs w:val="1"/>
                <w:color w:val="001C71"/>
              </w:rPr>
              <w:t>à</w:t>
            </w:r>
          </w:p>
        </w:tc>
        <w:tc>
          <w:tcPr>
            <w:tcW w:w="240" w:type="dxa"/>
            <w:vAlign w:val="bottom"/>
            <w:shd w:val="clear" w:color="auto" w:fill="5673B8"/>
          </w:tcPr>
          <w:p>
            <w:pPr>
              <w:spacing w:after="0"/>
              <w:rPr>
                <w:sz w:val="24"/>
                <w:szCs w:val="24"/>
                <w:color w:val="auto"/>
              </w:rPr>
            </w:pPr>
          </w:p>
        </w:tc>
        <w:tc>
          <w:tcPr>
            <w:tcW w:w="2200" w:type="dxa"/>
            <w:vAlign w:val="bottom"/>
            <w:shd w:val="clear" w:color="auto" w:fill="5673B8"/>
          </w:tcPr>
          <w:p>
            <w:pPr>
              <w:ind w:left="840"/>
              <w:spacing w:after="0"/>
              <w:rPr>
                <w:sz w:val="20"/>
                <w:szCs w:val="20"/>
                <w:color w:val="auto"/>
              </w:rPr>
            </w:pPr>
            <w:r>
              <w:rPr>
                <w:rFonts w:ascii="Arial" w:cs="Arial" w:eastAsia="Arial" w:hAnsi="Arial"/>
                <w:sz w:val="22"/>
                <w:szCs w:val="22"/>
                <w:b w:val="1"/>
                <w:bCs w:val="1"/>
                <w:color w:val="FFFFFF"/>
              </w:rPr>
              <w:t>2Q</w:t>
            </w:r>
          </w:p>
        </w:tc>
        <w:tc>
          <w:tcPr>
            <w:tcW w:w="500" w:type="dxa"/>
            <w:vAlign w:val="bottom"/>
          </w:tcPr>
          <w:p>
            <w:pPr>
              <w:jc w:val="right"/>
              <w:spacing w:after="0"/>
              <w:rPr>
                <w:sz w:val="20"/>
                <w:szCs w:val="20"/>
                <w:color w:val="auto"/>
              </w:rPr>
            </w:pPr>
            <w:r>
              <w:rPr>
                <w:rFonts w:ascii="Wingdings" w:cs="Wingdings" w:eastAsia="Wingdings" w:hAnsi="Wingdings"/>
                <w:sz w:val="29"/>
                <w:szCs w:val="29"/>
                <w:b w:val="1"/>
                <w:bCs w:val="1"/>
                <w:color w:val="001C71"/>
              </w:rPr>
              <w:t>à</w:t>
            </w:r>
          </w:p>
        </w:tc>
        <w:tc>
          <w:tcPr>
            <w:tcW w:w="240" w:type="dxa"/>
            <w:vAlign w:val="bottom"/>
            <w:shd w:val="clear" w:color="auto" w:fill="852166"/>
          </w:tcPr>
          <w:p>
            <w:pPr>
              <w:spacing w:after="0"/>
              <w:rPr>
                <w:sz w:val="24"/>
                <w:szCs w:val="24"/>
                <w:color w:val="auto"/>
              </w:rPr>
            </w:pPr>
          </w:p>
        </w:tc>
        <w:tc>
          <w:tcPr>
            <w:tcW w:w="2200" w:type="dxa"/>
            <w:vAlign w:val="bottom"/>
            <w:shd w:val="clear" w:color="auto" w:fill="852166"/>
          </w:tcPr>
          <w:p>
            <w:pPr>
              <w:ind w:left="840"/>
              <w:spacing w:after="0"/>
              <w:rPr>
                <w:sz w:val="20"/>
                <w:szCs w:val="20"/>
                <w:color w:val="auto"/>
              </w:rPr>
            </w:pPr>
            <w:r>
              <w:rPr>
                <w:rFonts w:ascii="Arial" w:cs="Arial" w:eastAsia="Arial" w:hAnsi="Arial"/>
                <w:sz w:val="22"/>
                <w:szCs w:val="22"/>
                <w:b w:val="1"/>
                <w:bCs w:val="1"/>
                <w:color w:val="FFFFFF"/>
              </w:rPr>
              <w:t>3Q</w:t>
            </w:r>
          </w:p>
        </w:tc>
        <w:tc>
          <w:tcPr>
            <w:tcW w:w="500" w:type="dxa"/>
            <w:vAlign w:val="bottom"/>
          </w:tcPr>
          <w:p>
            <w:pPr>
              <w:jc w:val="right"/>
              <w:spacing w:after="0"/>
              <w:rPr>
                <w:sz w:val="20"/>
                <w:szCs w:val="20"/>
                <w:color w:val="auto"/>
              </w:rPr>
            </w:pPr>
            <w:r>
              <w:rPr>
                <w:rFonts w:ascii="Wingdings" w:cs="Wingdings" w:eastAsia="Wingdings" w:hAnsi="Wingdings"/>
                <w:sz w:val="29"/>
                <w:szCs w:val="29"/>
                <w:b w:val="1"/>
                <w:bCs w:val="1"/>
                <w:color w:val="001C71"/>
              </w:rPr>
              <w:t>à</w:t>
            </w:r>
          </w:p>
        </w:tc>
        <w:tc>
          <w:tcPr>
            <w:tcW w:w="240" w:type="dxa"/>
            <w:vAlign w:val="bottom"/>
            <w:shd w:val="clear" w:color="auto" w:fill="D27E28"/>
          </w:tcPr>
          <w:p>
            <w:pPr>
              <w:spacing w:after="0"/>
              <w:rPr>
                <w:sz w:val="24"/>
                <w:szCs w:val="24"/>
                <w:color w:val="auto"/>
              </w:rPr>
            </w:pPr>
          </w:p>
        </w:tc>
        <w:tc>
          <w:tcPr>
            <w:tcW w:w="2220" w:type="dxa"/>
            <w:vAlign w:val="bottom"/>
            <w:shd w:val="clear" w:color="auto" w:fill="D27E28"/>
          </w:tcPr>
          <w:p>
            <w:pPr>
              <w:ind w:left="840"/>
              <w:spacing w:after="0"/>
              <w:rPr>
                <w:sz w:val="20"/>
                <w:szCs w:val="20"/>
                <w:color w:val="auto"/>
              </w:rPr>
            </w:pPr>
            <w:r>
              <w:rPr>
                <w:rFonts w:ascii="Arial" w:cs="Arial" w:eastAsia="Arial" w:hAnsi="Arial"/>
                <w:sz w:val="22"/>
                <w:szCs w:val="22"/>
                <w:b w:val="1"/>
                <w:bCs w:val="1"/>
                <w:color w:val="FFFFFF"/>
              </w:rPr>
              <w:t>4Q</w:t>
            </w:r>
          </w:p>
        </w:tc>
      </w:tr>
      <w:tr>
        <w:trPr>
          <w:trHeight w:val="102"/>
        </w:trPr>
        <w:tc>
          <w:tcPr>
            <w:tcW w:w="220" w:type="dxa"/>
            <w:vAlign w:val="bottom"/>
            <w:shd w:val="clear" w:color="auto" w:fill="001C71"/>
          </w:tcPr>
          <w:p>
            <w:pPr>
              <w:spacing w:after="0"/>
              <w:rPr>
                <w:sz w:val="8"/>
                <w:szCs w:val="8"/>
                <w:color w:val="auto"/>
              </w:rPr>
            </w:pPr>
          </w:p>
        </w:tc>
        <w:tc>
          <w:tcPr>
            <w:tcW w:w="2180" w:type="dxa"/>
            <w:vAlign w:val="bottom"/>
            <w:shd w:val="clear" w:color="auto" w:fill="001C71"/>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shd w:val="clear" w:color="auto" w:fill="5673B8"/>
          </w:tcPr>
          <w:p>
            <w:pPr>
              <w:spacing w:after="0"/>
              <w:rPr>
                <w:sz w:val="8"/>
                <w:szCs w:val="8"/>
                <w:color w:val="auto"/>
              </w:rPr>
            </w:pPr>
          </w:p>
        </w:tc>
        <w:tc>
          <w:tcPr>
            <w:tcW w:w="2200" w:type="dxa"/>
            <w:vAlign w:val="bottom"/>
            <w:shd w:val="clear" w:color="auto" w:fill="5673B8"/>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shd w:val="clear" w:color="auto" w:fill="852166"/>
          </w:tcPr>
          <w:p>
            <w:pPr>
              <w:spacing w:after="0"/>
              <w:rPr>
                <w:sz w:val="8"/>
                <w:szCs w:val="8"/>
                <w:color w:val="auto"/>
              </w:rPr>
            </w:pPr>
          </w:p>
        </w:tc>
        <w:tc>
          <w:tcPr>
            <w:tcW w:w="2200" w:type="dxa"/>
            <w:vAlign w:val="bottom"/>
            <w:shd w:val="clear" w:color="auto" w:fill="852166"/>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shd w:val="clear" w:color="auto" w:fill="D27E28"/>
          </w:tcPr>
          <w:p>
            <w:pPr>
              <w:spacing w:after="0"/>
              <w:rPr>
                <w:sz w:val="8"/>
                <w:szCs w:val="8"/>
                <w:color w:val="auto"/>
              </w:rPr>
            </w:pPr>
          </w:p>
        </w:tc>
        <w:tc>
          <w:tcPr>
            <w:tcW w:w="2220" w:type="dxa"/>
            <w:vAlign w:val="bottom"/>
            <w:shd w:val="clear" w:color="auto" w:fill="D27E28"/>
          </w:tcPr>
          <w:p>
            <w:pPr>
              <w:spacing w:after="0"/>
              <w:rPr>
                <w:sz w:val="8"/>
                <w:szCs w:val="8"/>
                <w:color w:val="auto"/>
              </w:rPr>
            </w:pPr>
          </w:p>
        </w:tc>
      </w:tr>
      <w:tr>
        <w:trPr>
          <w:trHeight w:val="94"/>
        </w:trPr>
        <w:tc>
          <w:tcPr>
            <w:tcW w:w="220" w:type="dxa"/>
            <w:vAlign w:val="bottom"/>
          </w:tcPr>
          <w:p>
            <w:pPr>
              <w:spacing w:after="0"/>
              <w:rPr>
                <w:sz w:val="8"/>
                <w:szCs w:val="8"/>
                <w:color w:val="auto"/>
              </w:rPr>
            </w:pPr>
          </w:p>
        </w:tc>
        <w:tc>
          <w:tcPr>
            <w:tcW w:w="2180" w:type="dxa"/>
            <w:vAlign w:val="bottom"/>
            <w:shd w:val="clear" w:color="auto" w:fill="F0F0F0"/>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0" w:type="dxa"/>
            <w:vAlign w:val="bottom"/>
            <w:shd w:val="clear" w:color="auto" w:fill="F0F0F0"/>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0" w:type="dxa"/>
            <w:vAlign w:val="bottom"/>
            <w:shd w:val="clear" w:color="auto" w:fill="F0F0F0"/>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20" w:type="dxa"/>
            <w:vAlign w:val="bottom"/>
            <w:shd w:val="clear" w:color="auto" w:fill="F0F0F0"/>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15175" cy="11741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15175" cy="117411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p>
      <w:pPr>
        <w:spacing w:after="0" w:line="18" w:lineRule="exact"/>
        <w:rPr>
          <w:sz w:val="20"/>
          <w:szCs w:val="20"/>
          <w:color w:val="auto"/>
        </w:rPr>
      </w:pPr>
    </w:p>
    <w:p>
      <w:pPr>
        <w:ind w:left="240" w:right="320"/>
        <w:spacing w:after="0" w:line="265" w:lineRule="auto"/>
        <w:rPr>
          <w:sz w:val="20"/>
          <w:szCs w:val="20"/>
          <w:color w:val="auto"/>
        </w:rPr>
      </w:pPr>
      <w:r>
        <w:rPr>
          <w:rFonts w:ascii="Arial" w:cs="Arial" w:eastAsia="Arial" w:hAnsi="Arial"/>
          <w:sz w:val="14"/>
          <w:szCs w:val="14"/>
          <w:color w:val="636466"/>
        </w:rPr>
        <w:t>Review prior year’s performance and determine bonus and PSU program payouts; establish goals for short and long-term incentive plans; set current year levels of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636466"/>
        </w:rPr>
        <w:t>Consider any compensation-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636466"/>
        </w:rPr>
        <w:t>related proxy proposals and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636466"/>
        </w:rPr>
        <w:t>disclosures; review executive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636466"/>
        </w:rPr>
        <w:t>share ownership levels;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636466"/>
        </w:rPr>
        <w:t>review non-employee director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636466"/>
        </w:rPr>
        <w:t>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636466"/>
        </w:rPr>
        <w:t>Review compensation-related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636466"/>
        </w:rPr>
        <w:t>corporate governance trends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636466"/>
        </w:rPr>
        <w:t>and any feedback received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636466"/>
        </w:rPr>
        <w:t>from shareholders; discuss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636466"/>
        </w:rPr>
        <w:t>talent and succession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636466"/>
        </w:rPr>
        <w:t>planning for CEO and other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636466"/>
        </w:rPr>
        <w:t>senior management roles;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636466"/>
        </w:rPr>
        <w:t>determine peer group for next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636466"/>
        </w:rPr>
        <w:t>year</w:t>
      </w:r>
    </w:p>
    <w:p>
      <w:pPr>
        <w:spacing w:after="0" w:line="20" w:lineRule="exact"/>
        <w:rPr>
          <w:sz w:val="20"/>
          <w:szCs w:val="20"/>
          <w:color w:val="auto"/>
        </w:rPr>
      </w:pPr>
      <w:r>
        <w:rPr>
          <w:sz w:val="20"/>
          <w:szCs w:val="20"/>
          <w:color w:val="auto"/>
        </w:rPr>
        <w:br w:type="column"/>
      </w:r>
    </w:p>
    <w:p>
      <w:pPr>
        <w:ind w:right="360"/>
        <w:spacing w:after="0" w:line="276" w:lineRule="auto"/>
        <w:rPr>
          <w:sz w:val="20"/>
          <w:szCs w:val="20"/>
          <w:color w:val="auto"/>
        </w:rPr>
      </w:pPr>
      <w:r>
        <w:rPr>
          <w:rFonts w:ascii="Arial" w:cs="Arial" w:eastAsia="Arial" w:hAnsi="Arial"/>
          <w:sz w:val="14"/>
          <w:szCs w:val="14"/>
          <w:color w:val="636466"/>
        </w:rPr>
        <w:t>Discuss compensation philosophy and direction for next year, including incentive plan designs</w:t>
      </w:r>
    </w:p>
    <w:p>
      <w:pPr>
        <w:spacing w:after="0" w:line="1024" w:lineRule="exact"/>
        <w:rPr>
          <w:sz w:val="20"/>
          <w:szCs w:val="20"/>
          <w:color w:val="auto"/>
        </w:rPr>
      </w:pPr>
    </w:p>
    <w:p>
      <w:pPr>
        <w:sectPr>
          <w:pgSz w:w="11900" w:h="16838" w:orient="portrait"/>
          <w:cols w:equalWidth="0" w:num="4">
            <w:col w:w="2420" w:space="720"/>
            <w:col w:w="2220" w:space="720"/>
            <w:col w:w="2220" w:space="720"/>
            <w:col w:w="2200"/>
          </w:cols>
          <w:pgMar w:left="320" w:top="522" w:right="359" w:bottom="1440" w:gutter="0" w:footer="0" w:header="0"/>
          <w:type w:val="continuous"/>
        </w:sect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Role of the Independent Compensation Consultant</w:t>
      </w:r>
    </w:p>
    <w:p>
      <w:pPr>
        <w:spacing w:after="0" w:line="18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Our Compensation Committee engages an independent compensation consultant each year to provide a competitive compensation assessment with respect to the executive officers to assist our Compensation Committee in making annual compensation decisions. Since 2010, Aon has been engaged by our Compensation Committee as our independent consultant. Aon supports our Compensation Committee in addressing the design of our compensation peer group, provides industry compensation data, provides our Compensation Committee with advice regarding executive officers’ compensation, including base salaries, performance-based bonuses and long-term equity compensation, and similar advice regarding non-employee directors’ compensation. Our Compensation Committee has also consulted with Aon to update the peer company and industry compensation data on an annual basis and address specific questions that arise as the committee fulfills their responsibilities as outlined in our Compensation Committee charter. Aon provides support in addressing changes in trends and best practices for executive compensation, incentive and equity compensation and/or other best practices that are requested by our Compensation Committee, to help inform our Compensation Committee’s decisions. Aon reports directly to our Compensation Committee, which maintains the authority to direct Aon’s work and engagement. As requested, and under the purview of our Compensation Committee, Aon may advise the human resources department on projects from time to time. Aon interacts with management to gain access to our Company information that is required to perform services and to understand the culture and policies of the organization. Aon attends Compensation Committee meetings, and our Compensation Committee and Aon meet in executive session with no members of management present, as needed, to address various compensation matters, including deliberations regarding our CEO’s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180340</wp:posOffset>
            </wp:positionV>
            <wp:extent cx="1242695" cy="2057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9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52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type w:val="continuous"/>
        </w:sectPr>
      </w:pPr>
    </w:p>
    <w:bookmarkStart w:id="60" w:name="page61"/>
    <w:bookmarkEnd w:id="60"/>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assessing Aon’s independence from management in providing executive compensation services to our Compensation Committee, our Compensation Committee considered that Aon is only engaged by, takes direction from, and reports to, our Compensation Committee for such services and, accordingly, only our Compensation Committee has the right to terminate or replace Aon as its compensation consultant at any time. Our Compensation Committee also analyzed whether the work of Aon as a compensation consultant with respect to executive and director compensation raised any conflict of interest, taking into consideration the following factors:</w:t>
      </w:r>
    </w:p>
    <w:p>
      <w:pPr>
        <w:sectPr>
          <w:pgSz w:w="11900" w:h="16838" w:orient="portrait"/>
          <w:cols w:equalWidth="0" w:num="1">
            <w:col w:w="11240"/>
          </w:cols>
          <w:pgMar w:left="320" w:top="522" w:right="339" w:bottom="1440" w:gutter="0" w:footer="0" w:header="0"/>
        </w:sectPr>
      </w:pPr>
    </w:p>
    <w:p>
      <w:pPr>
        <w:spacing w:after="0" w:line="181" w:lineRule="exact"/>
        <w:rPr>
          <w:sz w:val="20"/>
          <w:szCs w:val="20"/>
          <w:color w:val="auto"/>
        </w:rPr>
      </w:pPr>
    </w:p>
    <w:p>
      <w:pPr>
        <w:ind w:left="260" w:right="640" w:hanging="234"/>
        <w:spacing w:after="0" w:line="321" w:lineRule="auto"/>
        <w:tabs>
          <w:tab w:leader="none" w:pos="252" w:val="left"/>
        </w:tabs>
        <w:numPr>
          <w:ilvl w:val="0"/>
          <w:numId w:val="51"/>
        </w:numPr>
        <w:rPr>
          <w:rFonts w:ascii="Wingdings" w:cs="Wingdings" w:eastAsia="Wingdings" w:hAnsi="Wingdings"/>
          <w:sz w:val="16"/>
          <w:szCs w:val="16"/>
          <w:b w:val="1"/>
          <w:bCs w:val="1"/>
          <w:color w:val="auto"/>
          <w:shd w:val="clear" w:color="auto" w:fill="852166"/>
        </w:rPr>
      </w:pPr>
      <w:r>
        <w:rPr>
          <w:rFonts w:ascii="Arial" w:cs="Arial" w:eastAsia="Arial" w:hAnsi="Arial"/>
          <w:sz w:val="16"/>
          <w:szCs w:val="16"/>
          <w:color w:val="auto"/>
        </w:rPr>
        <w:t>the provision of other services to our Company by Aon and its affiliates;</w:t>
      </w:r>
    </w:p>
    <w:p>
      <w:pPr>
        <w:spacing w:after="0" w:line="47" w:lineRule="exact"/>
        <w:rPr>
          <w:rFonts w:ascii="Wingdings" w:cs="Wingdings" w:eastAsia="Wingdings" w:hAnsi="Wingdings"/>
          <w:sz w:val="16"/>
          <w:szCs w:val="16"/>
          <w:b w:val="1"/>
          <w:bCs w:val="1"/>
          <w:color w:val="auto"/>
          <w:shd w:val="clear" w:color="auto" w:fill="852166"/>
        </w:rPr>
      </w:pPr>
    </w:p>
    <w:p>
      <w:pPr>
        <w:ind w:left="260" w:hanging="234"/>
        <w:spacing w:after="0" w:line="321" w:lineRule="auto"/>
        <w:tabs>
          <w:tab w:leader="none" w:pos="252" w:val="left"/>
        </w:tabs>
        <w:numPr>
          <w:ilvl w:val="0"/>
          <w:numId w:val="51"/>
        </w:numPr>
        <w:rPr>
          <w:rFonts w:ascii="Wingdings" w:cs="Wingdings" w:eastAsia="Wingdings" w:hAnsi="Wingdings"/>
          <w:sz w:val="16"/>
          <w:szCs w:val="16"/>
          <w:b w:val="1"/>
          <w:bCs w:val="1"/>
          <w:color w:val="auto"/>
          <w:shd w:val="clear" w:color="auto" w:fill="852166"/>
        </w:rPr>
      </w:pPr>
      <w:r>
        <w:rPr>
          <w:rFonts w:ascii="Arial" w:cs="Arial" w:eastAsia="Arial" w:hAnsi="Arial"/>
          <w:sz w:val="16"/>
          <w:szCs w:val="16"/>
          <w:color w:val="auto"/>
        </w:rPr>
        <w:t>the amount of fees we paid to Aon and its affiliates, as a percentage of Aon’s total revenue;</w:t>
      </w:r>
    </w:p>
    <w:p>
      <w:pPr>
        <w:spacing w:after="0" w:line="47" w:lineRule="exact"/>
        <w:rPr>
          <w:rFonts w:ascii="Wingdings" w:cs="Wingdings" w:eastAsia="Wingdings" w:hAnsi="Wingdings"/>
          <w:sz w:val="16"/>
          <w:szCs w:val="16"/>
          <w:b w:val="1"/>
          <w:bCs w:val="1"/>
          <w:color w:val="auto"/>
          <w:shd w:val="clear" w:color="auto" w:fill="852166"/>
        </w:rPr>
      </w:pPr>
    </w:p>
    <w:p>
      <w:pPr>
        <w:ind w:left="260" w:right="280" w:hanging="234"/>
        <w:spacing w:after="0" w:line="292" w:lineRule="auto"/>
        <w:tabs>
          <w:tab w:leader="none" w:pos="252" w:val="left"/>
        </w:tabs>
        <w:numPr>
          <w:ilvl w:val="0"/>
          <w:numId w:val="51"/>
        </w:numPr>
        <w:rPr>
          <w:rFonts w:ascii="Wingdings" w:cs="Wingdings" w:eastAsia="Wingdings" w:hAnsi="Wingdings"/>
          <w:sz w:val="16"/>
          <w:szCs w:val="16"/>
          <w:b w:val="1"/>
          <w:bCs w:val="1"/>
          <w:color w:val="auto"/>
          <w:shd w:val="clear" w:color="auto" w:fill="852166"/>
        </w:rPr>
      </w:pPr>
      <w:r>
        <w:rPr>
          <w:rFonts w:ascii="Arial" w:cs="Arial" w:eastAsia="Arial" w:hAnsi="Arial"/>
          <w:sz w:val="16"/>
          <w:szCs w:val="16"/>
          <w:color w:val="auto"/>
        </w:rPr>
        <w:t>any business or personal relationship of Aon or the individual compensation advisors employed by it with any executive officer of our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242" w:right="200" w:hanging="242"/>
        <w:spacing w:after="0" w:line="321" w:lineRule="auto"/>
        <w:tabs>
          <w:tab w:leader="none" w:pos="234" w:val="left"/>
        </w:tabs>
        <w:numPr>
          <w:ilvl w:val="0"/>
          <w:numId w:val="52"/>
        </w:numPr>
        <w:rPr>
          <w:rFonts w:ascii="Wingdings" w:cs="Wingdings" w:eastAsia="Wingdings" w:hAnsi="Wingdings"/>
          <w:sz w:val="16"/>
          <w:szCs w:val="16"/>
          <w:b w:val="1"/>
          <w:bCs w:val="1"/>
          <w:color w:val="auto"/>
          <w:shd w:val="clear" w:color="auto" w:fill="852166"/>
        </w:rPr>
      </w:pPr>
      <w:r>
        <w:rPr>
          <w:rFonts w:ascii="Arial" w:cs="Arial" w:eastAsia="Arial" w:hAnsi="Arial"/>
          <w:sz w:val="16"/>
          <w:szCs w:val="16"/>
          <w:color w:val="auto"/>
        </w:rPr>
        <w:t>any business or personal relationship of the individual compensation advisors with any Compensation Committee member;</w:t>
      </w:r>
    </w:p>
    <w:p>
      <w:pPr>
        <w:spacing w:after="0" w:line="47" w:lineRule="exact"/>
        <w:rPr>
          <w:rFonts w:ascii="Wingdings" w:cs="Wingdings" w:eastAsia="Wingdings" w:hAnsi="Wingdings"/>
          <w:sz w:val="16"/>
          <w:szCs w:val="16"/>
          <w:b w:val="1"/>
          <w:bCs w:val="1"/>
          <w:color w:val="auto"/>
          <w:shd w:val="clear" w:color="auto" w:fill="852166"/>
        </w:rPr>
      </w:pPr>
    </w:p>
    <w:p>
      <w:pPr>
        <w:ind w:left="242" w:right="80" w:hanging="242"/>
        <w:spacing w:after="0" w:line="321" w:lineRule="auto"/>
        <w:tabs>
          <w:tab w:leader="none" w:pos="234" w:val="left"/>
        </w:tabs>
        <w:numPr>
          <w:ilvl w:val="0"/>
          <w:numId w:val="52"/>
        </w:numPr>
        <w:rPr>
          <w:rFonts w:ascii="Wingdings" w:cs="Wingdings" w:eastAsia="Wingdings" w:hAnsi="Wingdings"/>
          <w:sz w:val="16"/>
          <w:szCs w:val="16"/>
          <w:b w:val="1"/>
          <w:bCs w:val="1"/>
          <w:color w:val="auto"/>
          <w:shd w:val="clear" w:color="auto" w:fill="852166"/>
        </w:rPr>
      </w:pPr>
      <w:r>
        <w:rPr>
          <w:rFonts w:ascii="Arial" w:cs="Arial" w:eastAsia="Arial" w:hAnsi="Arial"/>
          <w:sz w:val="16"/>
          <w:szCs w:val="16"/>
          <w:color w:val="auto"/>
        </w:rPr>
        <w:t>Aon’s policies and procedures that are designed to prevent conflicts of interest; and</w:t>
      </w:r>
    </w:p>
    <w:p>
      <w:pPr>
        <w:spacing w:after="0" w:line="47" w:lineRule="exact"/>
        <w:rPr>
          <w:rFonts w:ascii="Wingdings" w:cs="Wingdings" w:eastAsia="Wingdings" w:hAnsi="Wingdings"/>
          <w:sz w:val="16"/>
          <w:szCs w:val="16"/>
          <w:b w:val="1"/>
          <w:bCs w:val="1"/>
          <w:color w:val="auto"/>
          <w:shd w:val="clear" w:color="auto" w:fill="852166"/>
        </w:rPr>
      </w:pPr>
    </w:p>
    <w:p>
      <w:pPr>
        <w:ind w:left="242" w:right="240" w:hanging="242"/>
        <w:spacing w:after="0" w:line="321" w:lineRule="auto"/>
        <w:tabs>
          <w:tab w:leader="none" w:pos="234" w:val="left"/>
        </w:tabs>
        <w:numPr>
          <w:ilvl w:val="0"/>
          <w:numId w:val="52"/>
        </w:numPr>
        <w:rPr>
          <w:rFonts w:ascii="Wingdings" w:cs="Wingdings" w:eastAsia="Wingdings" w:hAnsi="Wingdings"/>
          <w:sz w:val="16"/>
          <w:szCs w:val="16"/>
          <w:b w:val="1"/>
          <w:bCs w:val="1"/>
          <w:color w:val="auto"/>
          <w:shd w:val="clear" w:color="auto" w:fill="852166"/>
        </w:rPr>
      </w:pPr>
      <w:r>
        <w:rPr>
          <w:rFonts w:ascii="Arial" w:cs="Arial" w:eastAsia="Arial" w:hAnsi="Arial"/>
          <w:sz w:val="16"/>
          <w:szCs w:val="16"/>
          <w:color w:val="auto"/>
        </w:rPr>
        <w:t>any ordinary shares of our Company owned by Aon or the individual compensation advisors employed by Aon.</w:t>
      </w:r>
    </w:p>
    <w:p>
      <w:pPr>
        <w:spacing w:after="0" w:line="379" w:lineRule="exact"/>
        <w:rPr>
          <w:sz w:val="20"/>
          <w:szCs w:val="20"/>
          <w:color w:val="auto"/>
        </w:rPr>
      </w:pPr>
    </w:p>
    <w:p>
      <w:pPr>
        <w:sectPr>
          <w:pgSz w:w="11900" w:h="16838" w:orient="portrait"/>
          <w:cols w:equalWidth="0" w:num="2">
            <w:col w:w="5320" w:space="578"/>
            <w:col w:w="5342"/>
          </w:cols>
          <w:pgMar w:left="320" w:top="522" w:right="339" w:bottom="1440" w:gutter="0" w:footer="0" w:header="0"/>
          <w:type w:val="continuous"/>
        </w:sectPr>
      </w:pPr>
    </w:p>
    <w:p>
      <w:pPr>
        <w:spacing w:after="0" w:line="208"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Our Compensation Committee has determined, based on its analysis of the above factors, that the work of Aon and the individual compensation advisors employed by Aon as compensation consultants to our Company has not created any conflict of interest.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Competitive Assessment of Compensation – Peer Companies and Market Data</w:t>
      </w:r>
    </w:p>
    <w:p>
      <w:pPr>
        <w:spacing w:after="0" w:line="18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Because we aim to attract and retain the most highly qualified executive officers in an extremely competitive market, our Compensation Committee believes that it is important when making its compensation decisions to be informed as to the current practices of comparable public companies with which we compete for top talent. To this end, our Compensation Committee reviews market data for each executive officer’s position, compiled by Aon as described below, including information relating to the mix and levels of compensation for executive officers in the life sciences industry, with a focus on target total direct compensation, consisting of target total cash compensation and equity compensation, in line with our Compensation Committee’s holistic approach to executive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2025 Peer Group</w:t>
      </w:r>
    </w:p>
    <w:p>
      <w:pPr>
        <w:spacing w:after="0" w:line="12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Our Compensation Committee uses a peer group and other market data to provide context for its executive compensation decision-making. Each year, Aon reviews the external market data and evaluates the composition of our peer group to ensure it appropriately reflects our growth, changes in our revenues and market capitalization and the consolidation in our industry. In July 2024, with the assistance of Aon, our Compensation Committee considered companies:</w:t>
      </w:r>
    </w:p>
    <w:p>
      <w:pPr>
        <w:spacing w:after="0" w:line="320" w:lineRule="exact"/>
        <w:rPr>
          <w:sz w:val="20"/>
          <w:szCs w:val="20"/>
          <w:color w:val="auto"/>
        </w:rPr>
      </w:pPr>
    </w:p>
    <w:p>
      <w:pPr>
        <w:ind w:left="320" w:hanging="231"/>
        <w:spacing w:after="0"/>
        <w:tabs>
          <w:tab w:leader="none" w:pos="320" w:val="left"/>
        </w:tabs>
        <w:numPr>
          <w:ilvl w:val="0"/>
          <w:numId w:val="53"/>
        </w:numPr>
        <w:rPr>
          <w:rFonts w:ascii="Arial" w:cs="Arial" w:eastAsia="Arial" w:hAnsi="Arial"/>
          <w:sz w:val="16"/>
          <w:szCs w:val="16"/>
          <w:b w:val="1"/>
          <w:bCs w:val="1"/>
          <w:color w:val="001C71"/>
        </w:rPr>
      </w:pPr>
      <w:r>
        <w:rPr>
          <w:rFonts w:ascii="Arial" w:cs="Arial" w:eastAsia="Arial" w:hAnsi="Arial"/>
          <w:sz w:val="16"/>
          <w:szCs w:val="16"/>
          <w:color w:val="auto"/>
        </w:rPr>
        <w:t>in the life sciences industry (specifically biotechnology and specialty biopharma companies) with commercial products on the market;</w:t>
      </w:r>
    </w:p>
    <w:p>
      <w:pPr>
        <w:spacing w:after="0" w:line="140" w:lineRule="exact"/>
        <w:rPr>
          <w:rFonts w:ascii="Arial" w:cs="Arial" w:eastAsia="Arial" w:hAnsi="Arial"/>
          <w:sz w:val="16"/>
          <w:szCs w:val="16"/>
          <w:b w:val="1"/>
          <w:bCs w:val="1"/>
          <w:color w:val="001C71"/>
        </w:rPr>
      </w:pPr>
    </w:p>
    <w:p>
      <w:pPr>
        <w:ind w:left="340" w:right="180" w:hanging="251"/>
        <w:spacing w:after="0" w:line="321" w:lineRule="auto"/>
        <w:tabs>
          <w:tab w:leader="none" w:pos="329" w:val="left"/>
        </w:tabs>
        <w:numPr>
          <w:ilvl w:val="0"/>
          <w:numId w:val="53"/>
        </w:numPr>
        <w:rPr>
          <w:rFonts w:ascii="Arial" w:cs="Arial" w:eastAsia="Arial" w:hAnsi="Arial"/>
          <w:sz w:val="16"/>
          <w:szCs w:val="16"/>
          <w:b w:val="1"/>
          <w:bCs w:val="1"/>
          <w:color w:val="001C71"/>
        </w:rPr>
      </w:pPr>
      <w:r>
        <w:rPr>
          <w:rFonts w:ascii="Arial" w:cs="Arial" w:eastAsia="Arial" w:hAnsi="Arial"/>
          <w:sz w:val="16"/>
          <w:szCs w:val="16"/>
          <w:color w:val="auto"/>
        </w:rPr>
        <w:t>with revenues generally of approximately one-half (0.5x) to three times (3x) our then-projected revenue (resulting in a range of generally between $2.0 billion to $12.3 billion in revenues);</w:t>
      </w:r>
    </w:p>
    <w:p>
      <w:pPr>
        <w:spacing w:after="0" w:line="47" w:lineRule="exact"/>
        <w:rPr>
          <w:rFonts w:ascii="Arial" w:cs="Arial" w:eastAsia="Arial" w:hAnsi="Arial"/>
          <w:sz w:val="16"/>
          <w:szCs w:val="16"/>
          <w:b w:val="1"/>
          <w:bCs w:val="1"/>
          <w:color w:val="001C71"/>
        </w:rPr>
      </w:pPr>
    </w:p>
    <w:p>
      <w:pPr>
        <w:ind w:left="340" w:right="360" w:hanging="251"/>
        <w:spacing w:after="0" w:line="321" w:lineRule="auto"/>
        <w:tabs>
          <w:tab w:leader="none" w:pos="329" w:val="left"/>
        </w:tabs>
        <w:numPr>
          <w:ilvl w:val="0"/>
          <w:numId w:val="53"/>
        </w:numPr>
        <w:rPr>
          <w:rFonts w:ascii="Arial" w:cs="Arial" w:eastAsia="Arial" w:hAnsi="Arial"/>
          <w:sz w:val="16"/>
          <w:szCs w:val="16"/>
          <w:b w:val="1"/>
          <w:bCs w:val="1"/>
          <w:color w:val="001C71"/>
        </w:rPr>
      </w:pPr>
      <w:r>
        <w:rPr>
          <w:rFonts w:ascii="Arial" w:cs="Arial" w:eastAsia="Arial" w:hAnsi="Arial"/>
          <w:sz w:val="16"/>
          <w:szCs w:val="16"/>
          <w:color w:val="auto"/>
        </w:rPr>
        <w:t>with market value generally of approximately one-third (0.3x) to four times (4x) our market capitalization at the time (resulting in a range of generally between $2.3 billion to $27.4 billion in market capitalization); and</w:t>
      </w:r>
    </w:p>
    <w:p>
      <w:pPr>
        <w:spacing w:after="0" w:line="47" w:lineRule="exact"/>
        <w:rPr>
          <w:rFonts w:ascii="Arial" w:cs="Arial" w:eastAsia="Arial" w:hAnsi="Arial"/>
          <w:sz w:val="16"/>
          <w:szCs w:val="16"/>
          <w:b w:val="1"/>
          <w:bCs w:val="1"/>
          <w:color w:val="001C71"/>
        </w:rPr>
      </w:pPr>
    </w:p>
    <w:p>
      <w:pPr>
        <w:ind w:left="320" w:hanging="231"/>
        <w:spacing w:after="0"/>
        <w:tabs>
          <w:tab w:leader="none" w:pos="320" w:val="left"/>
        </w:tabs>
        <w:numPr>
          <w:ilvl w:val="0"/>
          <w:numId w:val="53"/>
        </w:numPr>
        <w:rPr>
          <w:rFonts w:ascii="Arial" w:cs="Arial" w:eastAsia="Arial" w:hAnsi="Arial"/>
          <w:sz w:val="16"/>
          <w:szCs w:val="16"/>
          <w:b w:val="1"/>
          <w:bCs w:val="1"/>
          <w:color w:val="001C71"/>
        </w:rPr>
      </w:pPr>
      <w:r>
        <w:rPr>
          <w:rFonts w:ascii="Arial" w:cs="Arial" w:eastAsia="Arial" w:hAnsi="Arial"/>
          <w:sz w:val="16"/>
          <w:szCs w:val="16"/>
          <w:color w:val="auto"/>
        </w:rPr>
        <w:t>primarily located in the U.S. with a secondary focus on companies that are headquartered in Europe.</w:t>
      </w:r>
    </w:p>
    <w:p>
      <w:pPr>
        <w:spacing w:after="0" w:line="194"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Based on the above criteria, our Compensation Committee determined to add two additional companies, Alnylam Pharmaceuticals, Inc. and Moderna, Inc., to the executive compensation peer group used for our 2025 compensation decisions, which we refer to as our 2025 peer group. Horizon Therapeutics plc and Seagen, Inc. were removed from our 2025 peer group because they were previously acquired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169545</wp:posOffset>
            </wp:positionV>
            <wp:extent cx="1242695" cy="2057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53</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61" w:name="page62"/>
    <w:bookmarkEnd w:id="61"/>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7"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Our 2025 peer group consisted of the 13 companies listed in the table below. At the time our Compensation Committee approved the 2025 peer group, we were at the 50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for trailing 12 months revenue and the 17</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for market capitalization among the new peer group. Our Compensation Committee considered this a reasonable balance and a good representation of companies that were of similar scope and complexity.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tcPr>
          <w:p>
            <w:pPr>
              <w:ind w:left="100"/>
              <w:spacing w:after="0"/>
              <w:rPr>
                <w:sz w:val="20"/>
                <w:szCs w:val="20"/>
                <w:color w:val="auto"/>
              </w:rPr>
            </w:pPr>
            <w:r>
              <w:rPr>
                <w:rFonts w:ascii="Arial" w:cs="Arial" w:eastAsia="Arial" w:hAnsi="Arial"/>
                <w:sz w:val="14"/>
                <w:szCs w:val="14"/>
                <w:color w:val="auto"/>
              </w:rPr>
              <w:t>Alkermes plc</w:t>
            </w:r>
          </w:p>
        </w:tc>
        <w:tc>
          <w:tcPr>
            <w:tcW w:w="2500" w:type="dxa"/>
            <w:vAlign w:val="bottom"/>
          </w:tcPr>
          <w:p>
            <w:pPr>
              <w:ind w:left="420"/>
              <w:spacing w:after="0"/>
              <w:rPr>
                <w:sz w:val="20"/>
                <w:szCs w:val="20"/>
                <w:color w:val="auto"/>
              </w:rPr>
            </w:pPr>
            <w:r>
              <w:rPr>
                <w:rFonts w:ascii="Arial" w:cs="Arial" w:eastAsia="Arial" w:hAnsi="Arial"/>
                <w:sz w:val="14"/>
                <w:szCs w:val="14"/>
                <w:color w:val="auto"/>
              </w:rPr>
              <w:t>Exelixis, Inc.</w:t>
            </w:r>
          </w:p>
        </w:tc>
        <w:tc>
          <w:tcPr>
            <w:tcW w:w="3160" w:type="dxa"/>
            <w:vAlign w:val="bottom"/>
          </w:tcPr>
          <w:p>
            <w:pPr>
              <w:ind w:left="700"/>
              <w:spacing w:after="0"/>
              <w:rPr>
                <w:sz w:val="20"/>
                <w:szCs w:val="20"/>
                <w:color w:val="auto"/>
              </w:rPr>
            </w:pPr>
            <w:r>
              <w:rPr>
                <w:rFonts w:ascii="Arial" w:cs="Arial" w:eastAsia="Arial" w:hAnsi="Arial"/>
                <w:sz w:val="14"/>
                <w:szCs w:val="14"/>
                <w:color w:val="auto"/>
              </w:rPr>
              <w:t>Neurocrine Biosciences, Inc.</w:t>
            </w:r>
          </w:p>
        </w:tc>
        <w:tc>
          <w:tcPr>
            <w:tcW w:w="3120" w:type="dxa"/>
            <w:vAlign w:val="bottom"/>
          </w:tcPr>
          <w:p>
            <w:pPr>
              <w:ind w:left="340"/>
              <w:spacing w:after="0"/>
              <w:rPr>
                <w:sz w:val="20"/>
                <w:szCs w:val="20"/>
                <w:color w:val="auto"/>
              </w:rPr>
            </w:pPr>
            <w:r>
              <w:rPr>
                <w:rFonts w:ascii="Arial" w:cs="Arial" w:eastAsia="Arial" w:hAnsi="Arial"/>
                <w:sz w:val="14"/>
                <w:szCs w:val="14"/>
                <w:color w:val="auto"/>
              </w:rPr>
              <w:t>Vertex Pharmaceuticals Incorporated</w:t>
            </w:r>
          </w:p>
        </w:tc>
      </w:tr>
      <w:tr>
        <w:trPr>
          <w:trHeight w:val="22"/>
        </w:trPr>
        <w:tc>
          <w:tcPr>
            <w:tcW w:w="2460" w:type="dxa"/>
            <w:vAlign w:val="bottom"/>
            <w:tcBorders>
              <w:bottom w:val="single" w:sz="8" w:color="5673B8"/>
            </w:tcBorders>
          </w:tcPr>
          <w:p>
            <w:pPr>
              <w:spacing w:after="0" w:line="20" w:lineRule="exact"/>
              <w:rPr>
                <w:sz w:val="1"/>
                <w:szCs w:val="1"/>
                <w:color w:val="auto"/>
              </w:rPr>
            </w:pPr>
          </w:p>
        </w:tc>
        <w:tc>
          <w:tcPr>
            <w:tcW w:w="2500" w:type="dxa"/>
            <w:vAlign w:val="bottom"/>
            <w:tcBorders>
              <w:bottom w:val="single" w:sz="8" w:color="5673B8"/>
            </w:tcBorders>
          </w:tcPr>
          <w:p>
            <w:pPr>
              <w:spacing w:after="0" w:line="20" w:lineRule="exact"/>
              <w:rPr>
                <w:sz w:val="1"/>
                <w:szCs w:val="1"/>
                <w:color w:val="auto"/>
              </w:rPr>
            </w:pPr>
          </w:p>
        </w:tc>
        <w:tc>
          <w:tcPr>
            <w:tcW w:w="3160" w:type="dxa"/>
            <w:vAlign w:val="bottom"/>
            <w:tcBorders>
              <w:bottom w:val="single" w:sz="8" w:color="5673B8"/>
            </w:tcBorders>
          </w:tcPr>
          <w:p>
            <w:pPr>
              <w:spacing w:after="0" w:line="20" w:lineRule="exact"/>
              <w:rPr>
                <w:sz w:val="1"/>
                <w:szCs w:val="1"/>
                <w:color w:val="auto"/>
              </w:rPr>
            </w:pPr>
          </w:p>
        </w:tc>
        <w:tc>
          <w:tcPr>
            <w:tcW w:w="3120" w:type="dxa"/>
            <w:vAlign w:val="bottom"/>
            <w:tcBorders>
              <w:bottom w:val="single" w:sz="8" w:color="5673B8"/>
            </w:tcBorders>
          </w:tcPr>
          <w:p>
            <w:pPr>
              <w:spacing w:after="0" w:line="20" w:lineRule="exact"/>
              <w:rPr>
                <w:sz w:val="1"/>
                <w:szCs w:val="1"/>
                <w:color w:val="auto"/>
              </w:rPr>
            </w:pPr>
          </w:p>
        </w:tc>
      </w:tr>
      <w:tr>
        <w:trPr>
          <w:trHeight w:val="202"/>
        </w:trPr>
        <w:tc>
          <w:tcPr>
            <w:tcW w:w="2460" w:type="dxa"/>
            <w:vAlign w:val="bottom"/>
          </w:tcPr>
          <w:p>
            <w:pPr>
              <w:ind w:left="100"/>
              <w:spacing w:after="0"/>
              <w:rPr>
                <w:sz w:val="20"/>
                <w:szCs w:val="20"/>
                <w:color w:val="auto"/>
              </w:rPr>
            </w:pPr>
            <w:r>
              <w:rPr>
                <w:rFonts w:ascii="Arial" w:cs="Arial" w:eastAsia="Arial" w:hAnsi="Arial"/>
                <w:sz w:val="14"/>
                <w:szCs w:val="14"/>
                <w:color w:val="auto"/>
              </w:rPr>
              <w:t>Alnylam Pharmaceuticals, Inc.</w:t>
            </w:r>
          </w:p>
        </w:tc>
        <w:tc>
          <w:tcPr>
            <w:tcW w:w="2500" w:type="dxa"/>
            <w:vAlign w:val="bottom"/>
          </w:tcPr>
          <w:p>
            <w:pPr>
              <w:ind w:left="420"/>
              <w:spacing w:after="0"/>
              <w:rPr>
                <w:sz w:val="20"/>
                <w:szCs w:val="20"/>
                <w:color w:val="auto"/>
              </w:rPr>
            </w:pPr>
            <w:r>
              <w:rPr>
                <w:rFonts w:ascii="Arial" w:cs="Arial" w:eastAsia="Arial" w:hAnsi="Arial"/>
                <w:sz w:val="14"/>
                <w:szCs w:val="14"/>
                <w:color w:val="auto"/>
              </w:rPr>
              <w:t>Gilead Sciences, Inc.</w:t>
            </w:r>
          </w:p>
        </w:tc>
        <w:tc>
          <w:tcPr>
            <w:tcW w:w="3160" w:type="dxa"/>
            <w:vAlign w:val="bottom"/>
          </w:tcPr>
          <w:p>
            <w:pPr>
              <w:ind w:left="700"/>
              <w:spacing w:after="0"/>
              <w:rPr>
                <w:sz w:val="20"/>
                <w:szCs w:val="20"/>
                <w:color w:val="auto"/>
              </w:rPr>
            </w:pPr>
            <w:r>
              <w:rPr>
                <w:rFonts w:ascii="Arial" w:cs="Arial" w:eastAsia="Arial" w:hAnsi="Arial"/>
                <w:sz w:val="14"/>
                <w:szCs w:val="14"/>
                <w:color w:val="auto"/>
              </w:rPr>
              <w:t>Organon &amp; Co.</w:t>
            </w:r>
          </w:p>
        </w:tc>
        <w:tc>
          <w:tcPr>
            <w:tcW w:w="3120" w:type="dxa"/>
            <w:vAlign w:val="bottom"/>
          </w:tcPr>
          <w:p>
            <w:pPr>
              <w:spacing w:after="0"/>
              <w:rPr>
                <w:sz w:val="17"/>
                <w:szCs w:val="17"/>
                <w:color w:val="auto"/>
              </w:rPr>
            </w:pPr>
          </w:p>
        </w:tc>
      </w:tr>
      <w:tr>
        <w:trPr>
          <w:trHeight w:val="22"/>
        </w:trPr>
        <w:tc>
          <w:tcPr>
            <w:tcW w:w="2460" w:type="dxa"/>
            <w:vAlign w:val="bottom"/>
            <w:tcBorders>
              <w:bottom w:val="single" w:sz="8" w:color="5673B8"/>
            </w:tcBorders>
          </w:tcPr>
          <w:p>
            <w:pPr>
              <w:spacing w:after="0" w:line="20" w:lineRule="exact"/>
              <w:rPr>
                <w:sz w:val="1"/>
                <w:szCs w:val="1"/>
                <w:color w:val="auto"/>
              </w:rPr>
            </w:pPr>
          </w:p>
        </w:tc>
        <w:tc>
          <w:tcPr>
            <w:tcW w:w="2500" w:type="dxa"/>
            <w:vAlign w:val="bottom"/>
            <w:tcBorders>
              <w:bottom w:val="single" w:sz="8" w:color="5673B8"/>
            </w:tcBorders>
          </w:tcPr>
          <w:p>
            <w:pPr>
              <w:spacing w:after="0" w:line="20" w:lineRule="exact"/>
              <w:rPr>
                <w:sz w:val="1"/>
                <w:szCs w:val="1"/>
                <w:color w:val="auto"/>
              </w:rPr>
            </w:pPr>
          </w:p>
        </w:tc>
        <w:tc>
          <w:tcPr>
            <w:tcW w:w="3160" w:type="dxa"/>
            <w:vAlign w:val="bottom"/>
            <w:tcBorders>
              <w:bottom w:val="single" w:sz="8" w:color="5673B8"/>
            </w:tcBorders>
          </w:tcPr>
          <w:p>
            <w:pPr>
              <w:spacing w:after="0" w:line="20" w:lineRule="exact"/>
              <w:rPr>
                <w:sz w:val="1"/>
                <w:szCs w:val="1"/>
                <w:color w:val="auto"/>
              </w:rPr>
            </w:pPr>
          </w:p>
        </w:tc>
        <w:tc>
          <w:tcPr>
            <w:tcW w:w="3120" w:type="dxa"/>
            <w:vAlign w:val="bottom"/>
            <w:tcBorders>
              <w:bottom w:val="single" w:sz="8" w:color="5673B8"/>
            </w:tcBorders>
          </w:tcPr>
          <w:p>
            <w:pPr>
              <w:spacing w:after="0" w:line="20" w:lineRule="exact"/>
              <w:rPr>
                <w:sz w:val="1"/>
                <w:szCs w:val="1"/>
                <w:color w:val="auto"/>
              </w:rPr>
            </w:pPr>
          </w:p>
        </w:tc>
      </w:tr>
      <w:tr>
        <w:trPr>
          <w:trHeight w:val="202"/>
        </w:trPr>
        <w:tc>
          <w:tcPr>
            <w:tcW w:w="2460" w:type="dxa"/>
            <w:vAlign w:val="bottom"/>
          </w:tcPr>
          <w:p>
            <w:pPr>
              <w:ind w:left="100"/>
              <w:spacing w:after="0"/>
              <w:rPr>
                <w:sz w:val="20"/>
                <w:szCs w:val="20"/>
                <w:color w:val="auto"/>
              </w:rPr>
            </w:pPr>
            <w:r>
              <w:rPr>
                <w:rFonts w:ascii="Arial" w:cs="Arial" w:eastAsia="Arial" w:hAnsi="Arial"/>
                <w:sz w:val="14"/>
                <w:szCs w:val="14"/>
                <w:color w:val="auto"/>
              </w:rPr>
              <w:t>Biogen, Inc.</w:t>
            </w:r>
          </w:p>
        </w:tc>
        <w:tc>
          <w:tcPr>
            <w:tcW w:w="2500" w:type="dxa"/>
            <w:vAlign w:val="bottom"/>
          </w:tcPr>
          <w:p>
            <w:pPr>
              <w:ind w:left="420"/>
              <w:spacing w:after="0"/>
              <w:rPr>
                <w:sz w:val="20"/>
                <w:szCs w:val="20"/>
                <w:color w:val="auto"/>
              </w:rPr>
            </w:pPr>
            <w:r>
              <w:rPr>
                <w:rFonts w:ascii="Arial" w:cs="Arial" w:eastAsia="Arial" w:hAnsi="Arial"/>
                <w:sz w:val="14"/>
                <w:szCs w:val="14"/>
                <w:color w:val="auto"/>
              </w:rPr>
              <w:t>Incyte Corporation</w:t>
            </w:r>
          </w:p>
        </w:tc>
        <w:tc>
          <w:tcPr>
            <w:tcW w:w="3160" w:type="dxa"/>
            <w:vAlign w:val="bottom"/>
          </w:tcPr>
          <w:p>
            <w:pPr>
              <w:ind w:left="700"/>
              <w:spacing w:after="0"/>
              <w:rPr>
                <w:sz w:val="20"/>
                <w:szCs w:val="20"/>
                <w:color w:val="auto"/>
              </w:rPr>
            </w:pPr>
            <w:r>
              <w:rPr>
                <w:rFonts w:ascii="Arial" w:cs="Arial" w:eastAsia="Arial" w:hAnsi="Arial"/>
                <w:sz w:val="14"/>
                <w:szCs w:val="14"/>
                <w:color w:val="auto"/>
              </w:rPr>
              <w:t>Regeneron Pharmaceuticals, Inc.</w:t>
            </w:r>
          </w:p>
        </w:tc>
        <w:tc>
          <w:tcPr>
            <w:tcW w:w="3120" w:type="dxa"/>
            <w:vAlign w:val="bottom"/>
          </w:tcPr>
          <w:p>
            <w:pPr>
              <w:spacing w:after="0"/>
              <w:rPr>
                <w:sz w:val="17"/>
                <w:szCs w:val="17"/>
                <w:color w:val="auto"/>
              </w:rPr>
            </w:pPr>
          </w:p>
        </w:tc>
      </w:tr>
      <w:tr>
        <w:trPr>
          <w:trHeight w:val="22"/>
        </w:trPr>
        <w:tc>
          <w:tcPr>
            <w:tcW w:w="2460" w:type="dxa"/>
            <w:vAlign w:val="bottom"/>
            <w:tcBorders>
              <w:bottom w:val="single" w:sz="8" w:color="5673B8"/>
            </w:tcBorders>
          </w:tcPr>
          <w:p>
            <w:pPr>
              <w:spacing w:after="0" w:line="20" w:lineRule="exact"/>
              <w:rPr>
                <w:sz w:val="1"/>
                <w:szCs w:val="1"/>
                <w:color w:val="auto"/>
              </w:rPr>
            </w:pPr>
          </w:p>
        </w:tc>
        <w:tc>
          <w:tcPr>
            <w:tcW w:w="2500" w:type="dxa"/>
            <w:vAlign w:val="bottom"/>
            <w:tcBorders>
              <w:bottom w:val="single" w:sz="8" w:color="5673B8"/>
            </w:tcBorders>
          </w:tcPr>
          <w:p>
            <w:pPr>
              <w:spacing w:after="0" w:line="20" w:lineRule="exact"/>
              <w:rPr>
                <w:sz w:val="1"/>
                <w:szCs w:val="1"/>
                <w:color w:val="auto"/>
              </w:rPr>
            </w:pPr>
          </w:p>
        </w:tc>
        <w:tc>
          <w:tcPr>
            <w:tcW w:w="3160" w:type="dxa"/>
            <w:vAlign w:val="bottom"/>
            <w:tcBorders>
              <w:bottom w:val="single" w:sz="8" w:color="5673B8"/>
            </w:tcBorders>
          </w:tcPr>
          <w:p>
            <w:pPr>
              <w:spacing w:after="0" w:line="20" w:lineRule="exact"/>
              <w:rPr>
                <w:sz w:val="1"/>
                <w:szCs w:val="1"/>
                <w:color w:val="auto"/>
              </w:rPr>
            </w:pPr>
          </w:p>
        </w:tc>
        <w:tc>
          <w:tcPr>
            <w:tcW w:w="3120" w:type="dxa"/>
            <w:vAlign w:val="bottom"/>
            <w:tcBorders>
              <w:bottom w:val="single" w:sz="8" w:color="5673B8"/>
            </w:tcBorders>
          </w:tcPr>
          <w:p>
            <w:pPr>
              <w:spacing w:after="0" w:line="20" w:lineRule="exact"/>
              <w:rPr>
                <w:sz w:val="1"/>
                <w:szCs w:val="1"/>
                <w:color w:val="auto"/>
              </w:rPr>
            </w:pPr>
          </w:p>
        </w:tc>
      </w:tr>
      <w:tr>
        <w:trPr>
          <w:trHeight w:val="201"/>
        </w:trPr>
        <w:tc>
          <w:tcPr>
            <w:tcW w:w="2460" w:type="dxa"/>
            <w:vAlign w:val="bottom"/>
          </w:tcPr>
          <w:p>
            <w:pPr>
              <w:ind w:left="100"/>
              <w:spacing w:after="0"/>
              <w:rPr>
                <w:sz w:val="20"/>
                <w:szCs w:val="20"/>
                <w:color w:val="auto"/>
              </w:rPr>
            </w:pPr>
            <w:r>
              <w:rPr>
                <w:rFonts w:ascii="Arial" w:cs="Arial" w:eastAsia="Arial" w:hAnsi="Arial"/>
                <w:sz w:val="14"/>
                <w:szCs w:val="14"/>
                <w:color w:val="auto"/>
              </w:rPr>
              <w:t>BioMarin Pharmaceutical Inc.</w:t>
            </w:r>
          </w:p>
        </w:tc>
        <w:tc>
          <w:tcPr>
            <w:tcW w:w="2500" w:type="dxa"/>
            <w:vAlign w:val="bottom"/>
          </w:tcPr>
          <w:p>
            <w:pPr>
              <w:ind w:left="420"/>
              <w:spacing w:after="0"/>
              <w:rPr>
                <w:sz w:val="20"/>
                <w:szCs w:val="20"/>
                <w:color w:val="auto"/>
              </w:rPr>
            </w:pPr>
            <w:r>
              <w:rPr>
                <w:rFonts w:ascii="Arial" w:cs="Arial" w:eastAsia="Arial" w:hAnsi="Arial"/>
                <w:sz w:val="14"/>
                <w:szCs w:val="14"/>
                <w:color w:val="auto"/>
              </w:rPr>
              <w:t>Moderna, Inc.</w:t>
            </w:r>
          </w:p>
        </w:tc>
        <w:tc>
          <w:tcPr>
            <w:tcW w:w="3160" w:type="dxa"/>
            <w:vAlign w:val="bottom"/>
          </w:tcPr>
          <w:p>
            <w:pPr>
              <w:ind w:left="700"/>
              <w:spacing w:after="0"/>
              <w:rPr>
                <w:sz w:val="20"/>
                <w:szCs w:val="20"/>
                <w:color w:val="auto"/>
              </w:rPr>
            </w:pPr>
            <w:r>
              <w:rPr>
                <w:rFonts w:ascii="Arial" w:cs="Arial" w:eastAsia="Arial" w:hAnsi="Arial"/>
                <w:sz w:val="14"/>
                <w:szCs w:val="14"/>
                <w:color w:val="auto"/>
              </w:rPr>
              <w:t>United Therapeutics Corporation</w:t>
            </w:r>
          </w:p>
        </w:tc>
        <w:tc>
          <w:tcPr>
            <w:tcW w:w="3120" w:type="dxa"/>
            <w:vAlign w:val="bottom"/>
          </w:tcPr>
          <w:p>
            <w:pPr>
              <w:spacing w:after="0"/>
              <w:rPr>
                <w:sz w:val="17"/>
                <w:szCs w:val="17"/>
                <w:color w:val="auto"/>
              </w:rPr>
            </w:pPr>
          </w:p>
        </w:tc>
      </w:tr>
      <w:tr>
        <w:trPr>
          <w:trHeight w:val="22"/>
        </w:trPr>
        <w:tc>
          <w:tcPr>
            <w:tcW w:w="2460" w:type="dxa"/>
            <w:vAlign w:val="bottom"/>
            <w:tcBorders>
              <w:bottom w:val="single" w:sz="8" w:color="852166"/>
            </w:tcBorders>
          </w:tcPr>
          <w:p>
            <w:pPr>
              <w:spacing w:after="0" w:line="20" w:lineRule="exact"/>
              <w:rPr>
                <w:sz w:val="1"/>
                <w:szCs w:val="1"/>
                <w:color w:val="auto"/>
              </w:rPr>
            </w:pPr>
          </w:p>
        </w:tc>
        <w:tc>
          <w:tcPr>
            <w:tcW w:w="2500" w:type="dxa"/>
            <w:vAlign w:val="bottom"/>
            <w:tcBorders>
              <w:bottom w:val="single" w:sz="8" w:color="852166"/>
            </w:tcBorders>
          </w:tcPr>
          <w:p>
            <w:pPr>
              <w:spacing w:after="0" w:line="20" w:lineRule="exact"/>
              <w:rPr>
                <w:sz w:val="1"/>
                <w:szCs w:val="1"/>
                <w:color w:val="auto"/>
              </w:rPr>
            </w:pPr>
          </w:p>
        </w:tc>
        <w:tc>
          <w:tcPr>
            <w:tcW w:w="3160" w:type="dxa"/>
            <w:vAlign w:val="bottom"/>
            <w:tcBorders>
              <w:bottom w:val="single" w:sz="8" w:color="852166"/>
            </w:tcBorders>
          </w:tcPr>
          <w:p>
            <w:pPr>
              <w:spacing w:after="0" w:line="20" w:lineRule="exact"/>
              <w:rPr>
                <w:sz w:val="1"/>
                <w:szCs w:val="1"/>
                <w:color w:val="auto"/>
              </w:rPr>
            </w:pPr>
          </w:p>
        </w:tc>
        <w:tc>
          <w:tcPr>
            <w:tcW w:w="3120" w:type="dxa"/>
            <w:vAlign w:val="bottom"/>
            <w:tcBorders>
              <w:bottom w:val="single" w:sz="8" w:color="852166"/>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2025 Market Data</w:t>
      </w:r>
    </w:p>
    <w:p>
      <w:pPr>
        <w:spacing w:after="0" w:line="12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early 2025, Aon completed an assessment of executive compensation based on our 2025 peer group to inform our Compensation Committee’s determinations of executive compensation for 2025. Our Compensation Committee reviews target total direct compensation, consisting of target total cash compensation and equity compensation, against the market data provided by Aon primarily to ensure that our executive compensation program, as a whole, is positioned competitively to attract and retain the highest caliber of executive officers and to ensure that the total direct compensation opportunity for the executive officer group is aligned with our corporate objectives and strategic needs. Our Compensation Committee does not target a specific percentile for setting the level of compensation for the NEOs and does not otherwise use a formulaic approach to setting pay against the market data. Our Compensation Committee believes that over-reliance on benchmarking can result in compensation that is unrelated to the value delivered by our executive officers because compensation benchmarking does not consider company-to-company variations among actual roles with similar titles or the specific performance of the executive officers.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Factors Used in Determining Executive Compensation</w:t>
      </w:r>
    </w:p>
    <w:p>
      <w:pPr>
        <w:spacing w:after="0" w:line="18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Compensation Committee sets the compensation of our executive officers at levels that our Compensation Committee determines to be competitive and appropriate for each NEO, using our Compensation Committee’s professional experience and judgment. Our Compensation Committee’s pay decisions are not driven by a particular target level of compensation based on market data, and our Compensation Committee does not otherwise use a formulaic approach to setting executive pay. Instead, our Compensation Committee believes that executive pay decisions require consideration of multiple relevant factors, which may vary from year to year. The figure below reflects the factors our Compensation Committee considered among others in determining and approving the amount, form and mix of pay for our NEOs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2057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FFFFFF"/>
        </w:rPr>
        <w:t>Factors in Determining Compensation</w:t>
      </w:r>
    </w:p>
    <w:tbl>
      <w:tblPr>
        <w:tblLayout w:type="fixed"/>
        <w:tblInd w:w="0" w:type="dxa"/>
        <w:tblCellMar>
          <w:top w:w="0" w:type="dxa"/>
          <w:left w:w="0" w:type="dxa"/>
          <w:bottom w:w="0" w:type="dxa"/>
          <w:right w:w="0" w:type="dxa"/>
        </w:tblCellMar>
      </w:tblPr>
      <w:tr>
        <w:trPr>
          <w:trHeight w:val="473"/>
        </w:trPr>
        <w:tc>
          <w:tcPr>
            <w:tcW w:w="5360" w:type="dxa"/>
            <w:vAlign w:val="bottom"/>
            <w:tcBorders>
              <w:bottom w:val="single" w:sz="8" w:color="5673B8"/>
            </w:tcBorders>
            <w:gridSpan w:val="2"/>
          </w:tcPr>
          <w:p>
            <w:pPr>
              <w:ind w:left="100"/>
              <w:spacing w:after="0" w:line="472" w:lineRule="exact"/>
              <w:rPr>
                <w:sz w:val="20"/>
                <w:szCs w:val="20"/>
                <w:color w:val="auto"/>
              </w:rPr>
            </w:pPr>
            <w:r>
              <w:rPr>
                <w:rFonts w:ascii="Wingdings" w:cs="Wingdings" w:eastAsia="Wingdings" w:hAnsi="Wingdings"/>
                <w:sz w:val="43"/>
                <w:szCs w:val="43"/>
                <w:b w:val="1"/>
                <w:bCs w:val="1"/>
                <w:color w:val="852166"/>
                <w:vertAlign w:val="subscript"/>
              </w:rPr>
              <w:t>ü</w:t>
            </w:r>
            <w:r>
              <w:rPr>
                <w:rFonts w:ascii="Arial" w:cs="Arial" w:eastAsia="Arial" w:hAnsi="Arial"/>
                <w:sz w:val="14"/>
                <w:szCs w:val="14"/>
                <w:color w:val="auto"/>
              </w:rPr>
              <w:t xml:space="preserve"> Company performance</w:t>
            </w:r>
          </w:p>
        </w:tc>
        <w:tc>
          <w:tcPr>
            <w:tcW w:w="5880" w:type="dxa"/>
            <w:vAlign w:val="bottom"/>
            <w:tcBorders>
              <w:bottom w:val="single" w:sz="8" w:color="5673B8"/>
            </w:tcBorders>
          </w:tcPr>
          <w:p>
            <w:pPr>
              <w:ind w:left="260"/>
              <w:spacing w:after="0" w:line="472" w:lineRule="exact"/>
              <w:rPr>
                <w:sz w:val="20"/>
                <w:szCs w:val="20"/>
                <w:color w:val="auto"/>
              </w:rPr>
            </w:pPr>
            <w:r>
              <w:rPr>
                <w:rFonts w:ascii="Wingdings" w:cs="Wingdings" w:eastAsia="Wingdings" w:hAnsi="Wingdings"/>
                <w:sz w:val="43"/>
                <w:szCs w:val="43"/>
                <w:b w:val="1"/>
                <w:bCs w:val="1"/>
                <w:color w:val="852166"/>
                <w:vertAlign w:val="subscript"/>
              </w:rPr>
              <w:t>ü</w:t>
            </w:r>
            <w:r>
              <w:rPr>
                <w:rFonts w:ascii="Arial" w:cs="Arial" w:eastAsia="Arial" w:hAnsi="Arial"/>
                <w:sz w:val="14"/>
                <w:szCs w:val="14"/>
                <w:color w:val="auto"/>
              </w:rPr>
              <w:t xml:space="preserve"> Each NEO’s target total direct compensation and equity ownership</w:t>
            </w:r>
          </w:p>
        </w:tc>
      </w:tr>
      <w:tr>
        <w:trPr>
          <w:trHeight w:val="241"/>
        </w:trPr>
        <w:tc>
          <w:tcPr>
            <w:tcW w:w="5360" w:type="dxa"/>
            <w:vAlign w:val="bottom"/>
            <w:gridSpan w:val="2"/>
          </w:tcPr>
          <w:p>
            <w:pPr>
              <w:ind w:left="100"/>
              <w:spacing w:after="0" w:line="241" w:lineRule="exact"/>
              <w:rPr>
                <w:sz w:val="20"/>
                <w:szCs w:val="20"/>
                <w:color w:val="auto"/>
              </w:rPr>
            </w:pPr>
            <w:r>
              <w:rPr>
                <w:rFonts w:ascii="Wingdings" w:cs="Wingdings" w:eastAsia="Wingdings" w:hAnsi="Wingdings"/>
                <w:sz w:val="27"/>
                <w:szCs w:val="27"/>
                <w:b w:val="1"/>
                <w:bCs w:val="1"/>
                <w:color w:val="852166"/>
                <w:vertAlign w:val="subscript"/>
              </w:rPr>
              <w:t>ü</w:t>
            </w:r>
            <w:r>
              <w:rPr>
                <w:rFonts w:ascii="Arial" w:cs="Arial" w:eastAsia="Arial" w:hAnsi="Arial"/>
                <w:sz w:val="12"/>
                <w:szCs w:val="12"/>
                <w:color w:val="auto"/>
              </w:rPr>
              <w:t xml:space="preserve"> Each NEO’s expertise and contribution to achievement of corporate goals</w:t>
            </w:r>
          </w:p>
        </w:tc>
        <w:tc>
          <w:tcPr>
            <w:tcW w:w="5880" w:type="dxa"/>
            <w:vAlign w:val="bottom"/>
          </w:tcPr>
          <w:p>
            <w:pPr>
              <w:ind w:left="260"/>
              <w:spacing w:after="0" w:line="241" w:lineRule="exact"/>
              <w:rPr>
                <w:sz w:val="20"/>
                <w:szCs w:val="20"/>
                <w:color w:val="auto"/>
              </w:rPr>
            </w:pPr>
            <w:r>
              <w:rPr>
                <w:rFonts w:ascii="Wingdings" w:cs="Wingdings" w:eastAsia="Wingdings" w:hAnsi="Wingdings"/>
                <w:sz w:val="27"/>
                <w:szCs w:val="27"/>
                <w:b w:val="1"/>
                <w:bCs w:val="1"/>
                <w:color w:val="852166"/>
                <w:vertAlign w:val="subscript"/>
              </w:rPr>
              <w:t>ü</w:t>
            </w:r>
            <w:r>
              <w:rPr>
                <w:rFonts w:ascii="Arial" w:cs="Arial" w:eastAsia="Arial" w:hAnsi="Arial"/>
                <w:sz w:val="12"/>
                <w:szCs w:val="12"/>
                <w:color w:val="auto"/>
              </w:rPr>
              <w:t xml:space="preserve"> Range of market data reference points (generally the 25th, 50th, 60th, and 75th</w:t>
            </w:r>
          </w:p>
        </w:tc>
      </w:tr>
      <w:tr>
        <w:trPr>
          <w:trHeight w:val="194"/>
        </w:trPr>
        <w:tc>
          <w:tcPr>
            <w:tcW w:w="320" w:type="dxa"/>
            <w:vAlign w:val="bottom"/>
            <w:tcBorders>
              <w:bottom w:val="single" w:sz="8" w:color="5673B8"/>
            </w:tcBorders>
          </w:tcPr>
          <w:p>
            <w:pPr>
              <w:spacing w:after="0"/>
              <w:rPr>
                <w:sz w:val="16"/>
                <w:szCs w:val="16"/>
                <w:color w:val="auto"/>
              </w:rPr>
            </w:pPr>
          </w:p>
        </w:tc>
        <w:tc>
          <w:tcPr>
            <w:tcW w:w="5040" w:type="dxa"/>
            <w:vAlign w:val="bottom"/>
            <w:tcBorders>
              <w:bottom w:val="single" w:sz="8" w:color="5673B8"/>
            </w:tcBorders>
          </w:tcPr>
          <w:p>
            <w:pPr>
              <w:spacing w:after="0"/>
              <w:rPr>
                <w:sz w:val="16"/>
                <w:szCs w:val="16"/>
                <w:color w:val="auto"/>
              </w:rPr>
            </w:pPr>
          </w:p>
        </w:tc>
        <w:tc>
          <w:tcPr>
            <w:tcW w:w="5880" w:type="dxa"/>
            <w:vAlign w:val="bottom"/>
            <w:tcBorders>
              <w:bottom w:val="single" w:sz="8" w:color="5673B8"/>
            </w:tcBorders>
          </w:tcPr>
          <w:p>
            <w:pPr>
              <w:ind w:left="540"/>
              <w:spacing w:after="0"/>
              <w:rPr>
                <w:sz w:val="20"/>
                <w:szCs w:val="20"/>
                <w:color w:val="auto"/>
              </w:rPr>
            </w:pPr>
            <w:r>
              <w:rPr>
                <w:rFonts w:ascii="Arial" w:cs="Arial" w:eastAsia="Arial" w:hAnsi="Arial"/>
                <w:sz w:val="14"/>
                <w:szCs w:val="14"/>
                <w:color w:val="auto"/>
              </w:rPr>
              <w:t>percentiles of the market data)</w:t>
            </w:r>
          </w:p>
        </w:tc>
      </w:tr>
      <w:tr>
        <w:trPr>
          <w:trHeight w:val="245"/>
        </w:trPr>
        <w:tc>
          <w:tcPr>
            <w:tcW w:w="320" w:type="dxa"/>
            <w:vAlign w:val="bottom"/>
          </w:tcPr>
          <w:p>
            <w:pPr>
              <w:ind w:left="100"/>
              <w:spacing w:after="0"/>
              <w:rPr>
                <w:sz w:val="20"/>
                <w:szCs w:val="20"/>
                <w:color w:val="auto"/>
              </w:rPr>
            </w:pPr>
            <w:r>
              <w:rPr>
                <w:rFonts w:ascii="Wingdings" w:cs="Wingdings" w:eastAsia="Wingdings" w:hAnsi="Wingdings"/>
                <w:sz w:val="22"/>
                <w:szCs w:val="22"/>
                <w:b w:val="1"/>
                <w:bCs w:val="1"/>
                <w:color w:val="852166"/>
              </w:rPr>
              <w:t>ü</w:t>
            </w:r>
          </w:p>
        </w:tc>
        <w:tc>
          <w:tcPr>
            <w:tcW w:w="5040" w:type="dxa"/>
            <w:vAlign w:val="bottom"/>
          </w:tcPr>
          <w:p>
            <w:pPr>
              <w:ind w:left="40"/>
              <w:spacing w:after="0"/>
              <w:rPr>
                <w:sz w:val="20"/>
                <w:szCs w:val="20"/>
                <w:color w:val="auto"/>
              </w:rPr>
            </w:pPr>
            <w:r>
              <w:rPr>
                <w:rFonts w:ascii="Arial" w:cs="Arial" w:eastAsia="Arial" w:hAnsi="Arial"/>
                <w:sz w:val="14"/>
                <w:szCs w:val="14"/>
                <w:color w:val="auto"/>
              </w:rPr>
              <w:t>CEO’s recommendations (other than for himself/herself), based on direct</w:t>
            </w:r>
          </w:p>
        </w:tc>
        <w:tc>
          <w:tcPr>
            <w:tcW w:w="5880" w:type="dxa"/>
            <w:vAlign w:val="bottom"/>
          </w:tcPr>
          <w:p>
            <w:pPr>
              <w:ind w:left="260"/>
              <w:spacing w:after="0" w:line="245" w:lineRule="exact"/>
              <w:rPr>
                <w:sz w:val="20"/>
                <w:szCs w:val="20"/>
                <w:color w:val="auto"/>
              </w:rPr>
            </w:pPr>
            <w:r>
              <w:rPr>
                <w:rFonts w:ascii="Wingdings" w:cs="Wingdings" w:eastAsia="Wingdings" w:hAnsi="Wingdings"/>
                <w:sz w:val="28"/>
                <w:szCs w:val="28"/>
                <w:b w:val="1"/>
                <w:bCs w:val="1"/>
                <w:color w:val="852166"/>
                <w:vertAlign w:val="subscript"/>
              </w:rPr>
              <w:t>ü</w:t>
            </w:r>
            <w:r>
              <w:rPr>
                <w:rFonts w:ascii="Arial" w:cs="Arial" w:eastAsia="Arial" w:hAnsi="Arial"/>
                <w:sz w:val="12"/>
                <w:szCs w:val="12"/>
                <w:color w:val="auto"/>
              </w:rPr>
              <w:t xml:space="preserve"> Aon’s recommendation on compensation policy, design and structure</w:t>
            </w:r>
          </w:p>
        </w:tc>
      </w:tr>
      <w:tr>
        <w:trPr>
          <w:trHeight w:val="194"/>
        </w:trPr>
        <w:tc>
          <w:tcPr>
            <w:tcW w:w="320" w:type="dxa"/>
            <w:vAlign w:val="bottom"/>
            <w:tcBorders>
              <w:bottom w:val="single" w:sz="8" w:color="5673B8"/>
            </w:tcBorders>
          </w:tcPr>
          <w:p>
            <w:pPr>
              <w:spacing w:after="0"/>
              <w:rPr>
                <w:sz w:val="16"/>
                <w:szCs w:val="16"/>
                <w:color w:val="auto"/>
              </w:rPr>
            </w:pPr>
          </w:p>
        </w:tc>
        <w:tc>
          <w:tcPr>
            <w:tcW w:w="5040" w:type="dxa"/>
            <w:vAlign w:val="bottom"/>
            <w:tcBorders>
              <w:bottom w:val="single" w:sz="8" w:color="5673B8"/>
            </w:tcBorders>
          </w:tcPr>
          <w:p>
            <w:pPr>
              <w:ind w:left="40"/>
              <w:spacing w:after="0"/>
              <w:rPr>
                <w:sz w:val="20"/>
                <w:szCs w:val="20"/>
                <w:color w:val="auto"/>
              </w:rPr>
            </w:pPr>
            <w:r>
              <w:rPr>
                <w:rFonts w:ascii="Arial" w:cs="Arial" w:eastAsia="Arial" w:hAnsi="Arial"/>
                <w:sz w:val="14"/>
                <w:szCs w:val="14"/>
                <w:color w:val="auto"/>
              </w:rPr>
              <w:t>knowledge of NEO performance and his/her extensive industry experience</w:t>
            </w:r>
          </w:p>
        </w:tc>
        <w:tc>
          <w:tcPr>
            <w:tcW w:w="5880" w:type="dxa"/>
            <w:vAlign w:val="bottom"/>
            <w:tcBorders>
              <w:bottom w:val="single" w:sz="8" w:color="5673B8"/>
            </w:tcBorders>
          </w:tcPr>
          <w:p>
            <w:pPr>
              <w:spacing w:after="0"/>
              <w:rPr>
                <w:sz w:val="16"/>
                <w:szCs w:val="16"/>
                <w:color w:val="auto"/>
              </w:rPr>
            </w:pPr>
          </w:p>
        </w:tc>
      </w:tr>
      <w:tr>
        <w:trPr>
          <w:trHeight w:val="348"/>
        </w:trPr>
        <w:tc>
          <w:tcPr>
            <w:tcW w:w="5360" w:type="dxa"/>
            <w:vAlign w:val="bottom"/>
            <w:tcBorders>
              <w:bottom w:val="single" w:sz="8" w:color="5673B8"/>
            </w:tcBorders>
            <w:gridSpan w:val="2"/>
          </w:tcPr>
          <w:p>
            <w:pPr>
              <w:ind w:left="100"/>
              <w:spacing w:after="0" w:line="347" w:lineRule="exact"/>
              <w:rPr>
                <w:sz w:val="20"/>
                <w:szCs w:val="20"/>
                <w:color w:val="auto"/>
              </w:rPr>
            </w:pPr>
            <w:r>
              <w:rPr>
                <w:rFonts w:ascii="Wingdings" w:cs="Wingdings" w:eastAsia="Wingdings" w:hAnsi="Wingdings"/>
                <w:sz w:val="40"/>
                <w:szCs w:val="40"/>
                <w:b w:val="1"/>
                <w:bCs w:val="1"/>
                <w:color w:val="852166"/>
                <w:vertAlign w:val="subscript"/>
              </w:rPr>
              <w:t>ü</w:t>
            </w:r>
            <w:r>
              <w:rPr>
                <w:rFonts w:ascii="Arial" w:cs="Arial" w:eastAsia="Arial" w:hAnsi="Arial"/>
                <w:sz w:val="14"/>
                <w:szCs w:val="14"/>
                <w:color w:val="auto"/>
              </w:rPr>
              <w:t xml:space="preserve"> Internal pay equity</w:t>
            </w:r>
          </w:p>
        </w:tc>
        <w:tc>
          <w:tcPr>
            <w:tcW w:w="5880" w:type="dxa"/>
            <w:vAlign w:val="bottom"/>
            <w:tcBorders>
              <w:bottom w:val="single" w:sz="8" w:color="5673B8"/>
            </w:tcBorders>
          </w:tcPr>
          <w:p>
            <w:pPr>
              <w:ind w:left="260"/>
              <w:spacing w:after="0" w:line="347" w:lineRule="exact"/>
              <w:rPr>
                <w:sz w:val="20"/>
                <w:szCs w:val="20"/>
                <w:color w:val="auto"/>
              </w:rPr>
            </w:pPr>
            <w:r>
              <w:rPr>
                <w:rFonts w:ascii="Wingdings" w:cs="Wingdings" w:eastAsia="Wingdings" w:hAnsi="Wingdings"/>
                <w:sz w:val="40"/>
                <w:szCs w:val="40"/>
                <w:b w:val="1"/>
                <w:bCs w:val="1"/>
                <w:color w:val="852166"/>
                <w:vertAlign w:val="subscript"/>
              </w:rPr>
              <w:t>ü</w:t>
            </w:r>
            <w:r>
              <w:rPr>
                <w:rFonts w:ascii="Arial" w:cs="Arial" w:eastAsia="Arial" w:hAnsi="Arial"/>
                <w:sz w:val="14"/>
                <w:szCs w:val="14"/>
                <w:color w:val="auto"/>
              </w:rPr>
              <w:t xml:space="preserve"> Shareholder feedback</w:t>
            </w:r>
          </w:p>
        </w:tc>
      </w:tr>
      <w:tr>
        <w:trPr>
          <w:trHeight w:val="344"/>
        </w:trPr>
        <w:tc>
          <w:tcPr>
            <w:tcW w:w="5360" w:type="dxa"/>
            <w:vAlign w:val="bottom"/>
            <w:tcBorders>
              <w:bottom w:val="single" w:sz="8" w:color="5673B8"/>
            </w:tcBorders>
            <w:gridSpan w:val="2"/>
          </w:tcPr>
          <w:p>
            <w:pPr>
              <w:ind w:left="100"/>
              <w:spacing w:after="0" w:line="344" w:lineRule="exact"/>
              <w:rPr>
                <w:sz w:val="20"/>
                <w:szCs w:val="20"/>
                <w:color w:val="auto"/>
              </w:rPr>
            </w:pPr>
            <w:r>
              <w:rPr>
                <w:rFonts w:ascii="Wingdings" w:cs="Wingdings" w:eastAsia="Wingdings" w:hAnsi="Wingdings"/>
                <w:sz w:val="39"/>
                <w:szCs w:val="39"/>
                <w:b w:val="1"/>
                <w:bCs w:val="1"/>
                <w:color w:val="852166"/>
                <w:vertAlign w:val="subscript"/>
              </w:rPr>
              <w:t>ü</w:t>
            </w:r>
            <w:r>
              <w:rPr>
                <w:rFonts w:ascii="Arial" w:cs="Arial" w:eastAsia="Arial" w:hAnsi="Arial"/>
                <w:sz w:val="14"/>
                <w:szCs w:val="14"/>
                <w:color w:val="auto"/>
              </w:rPr>
              <w:t xml:space="preserve"> The need to attract and retain talent</w:t>
            </w:r>
          </w:p>
        </w:tc>
        <w:tc>
          <w:tcPr>
            <w:tcW w:w="5880" w:type="dxa"/>
            <w:vAlign w:val="bottom"/>
            <w:tcBorders>
              <w:bottom w:val="single" w:sz="8" w:color="5673B8"/>
            </w:tcBorders>
          </w:tcPr>
          <w:p>
            <w:pPr>
              <w:ind w:left="260"/>
              <w:spacing w:after="0" w:line="344" w:lineRule="exact"/>
              <w:rPr>
                <w:sz w:val="20"/>
                <w:szCs w:val="20"/>
                <w:color w:val="auto"/>
              </w:rPr>
            </w:pPr>
            <w:r>
              <w:rPr>
                <w:rFonts w:ascii="Wingdings" w:cs="Wingdings" w:eastAsia="Wingdings" w:hAnsi="Wingdings"/>
                <w:sz w:val="39"/>
                <w:szCs w:val="39"/>
                <w:b w:val="1"/>
                <w:bCs w:val="1"/>
                <w:color w:val="852166"/>
                <w:vertAlign w:val="subscript"/>
              </w:rPr>
              <w:t>ü</w:t>
            </w:r>
            <w:r>
              <w:rPr>
                <w:rFonts w:ascii="Arial" w:cs="Arial" w:eastAsia="Arial" w:hAnsi="Arial"/>
                <w:sz w:val="14"/>
                <w:szCs w:val="14"/>
                <w:color w:val="auto"/>
              </w:rPr>
              <w:t xml:space="preserve"> Each NEO’s past performance and retention objectives</w:t>
            </w:r>
          </w:p>
        </w:tc>
      </w:tr>
      <w:tr>
        <w:trPr>
          <w:trHeight w:val="345"/>
        </w:trPr>
        <w:tc>
          <w:tcPr>
            <w:tcW w:w="5360" w:type="dxa"/>
            <w:vAlign w:val="bottom"/>
            <w:tcBorders>
              <w:bottom w:val="single" w:sz="8" w:color="852166"/>
            </w:tcBorders>
            <w:gridSpan w:val="2"/>
          </w:tcPr>
          <w:p>
            <w:pPr>
              <w:ind w:left="100"/>
              <w:spacing w:after="0" w:line="344" w:lineRule="exact"/>
              <w:rPr>
                <w:sz w:val="20"/>
                <w:szCs w:val="20"/>
                <w:color w:val="auto"/>
              </w:rPr>
            </w:pPr>
            <w:r>
              <w:rPr>
                <w:rFonts w:ascii="Wingdings" w:cs="Wingdings" w:eastAsia="Wingdings" w:hAnsi="Wingdings"/>
                <w:sz w:val="39"/>
                <w:szCs w:val="39"/>
                <w:b w:val="1"/>
                <w:bCs w:val="1"/>
                <w:color w:val="852166"/>
                <w:vertAlign w:val="subscript"/>
              </w:rPr>
              <w:t>ü</w:t>
            </w:r>
            <w:r>
              <w:rPr>
                <w:rFonts w:ascii="Arial" w:cs="Arial" w:eastAsia="Arial" w:hAnsi="Arial"/>
                <w:sz w:val="14"/>
                <w:szCs w:val="14"/>
                <w:color w:val="auto"/>
              </w:rPr>
              <w:t xml:space="preserve">  Aggregate compensation cost and impact on shareholder dilution</w:t>
            </w:r>
          </w:p>
        </w:tc>
        <w:tc>
          <w:tcPr>
            <w:tcW w:w="5880" w:type="dxa"/>
            <w:vAlign w:val="bottom"/>
            <w:tcBorders>
              <w:bottom w:val="single" w:sz="8" w:color="852166"/>
            </w:tcBorders>
          </w:tcPr>
          <w:p>
            <w:pPr>
              <w:ind w:left="260"/>
              <w:spacing w:after="0" w:line="344" w:lineRule="exact"/>
              <w:rPr>
                <w:sz w:val="20"/>
                <w:szCs w:val="20"/>
                <w:color w:val="auto"/>
              </w:rPr>
            </w:pPr>
            <w:r>
              <w:rPr>
                <w:rFonts w:ascii="Wingdings" w:cs="Wingdings" w:eastAsia="Wingdings" w:hAnsi="Wingdings"/>
                <w:sz w:val="39"/>
                <w:szCs w:val="39"/>
                <w:b w:val="1"/>
                <w:bCs w:val="1"/>
                <w:color w:val="852166"/>
                <w:vertAlign w:val="subscript"/>
              </w:rPr>
              <w:t>ü</w:t>
            </w:r>
            <w:r>
              <w:rPr>
                <w:rFonts w:ascii="Arial" w:cs="Arial" w:eastAsia="Arial" w:hAnsi="Arial"/>
                <w:sz w:val="14"/>
                <w:szCs w:val="14"/>
                <w:color w:val="auto"/>
              </w:rPr>
              <w:t xml:space="preserve"> Independent business judgment of members of our Compensation Committee</w:t>
            </w:r>
          </w:p>
        </w:tc>
      </w:tr>
      <w:tr>
        <w:trPr>
          <w:trHeight w:val="788"/>
        </w:trPr>
        <w:tc>
          <w:tcPr>
            <w:tcW w:w="320" w:type="dxa"/>
            <w:vAlign w:val="bottom"/>
          </w:tcPr>
          <w:p>
            <w:pPr>
              <w:ind w:left="20"/>
              <w:spacing w:after="0"/>
              <w:rPr>
                <w:sz w:val="20"/>
                <w:szCs w:val="20"/>
                <w:color w:val="auto"/>
              </w:rPr>
            </w:pPr>
            <w:r>
              <w:rPr>
                <w:rFonts w:ascii="Arial" w:cs="Arial" w:eastAsia="Arial" w:hAnsi="Arial"/>
                <w:sz w:val="18"/>
                <w:szCs w:val="18"/>
                <w:b w:val="1"/>
                <w:bCs w:val="1"/>
                <w:color w:val="852166"/>
              </w:rPr>
              <w:t>54</w:t>
            </w:r>
          </w:p>
        </w:tc>
        <w:tc>
          <w:tcPr>
            <w:tcW w:w="5040" w:type="dxa"/>
            <w:vAlign w:val="bottom"/>
          </w:tcPr>
          <w:p>
            <w:pPr>
              <w:ind w:left="320"/>
              <w:spacing w:after="0"/>
              <w:rPr>
                <w:sz w:val="20"/>
                <w:szCs w:val="20"/>
                <w:color w:val="auto"/>
              </w:rPr>
            </w:pPr>
            <w:r>
              <w:rPr>
                <w:rFonts w:ascii="Arial" w:cs="Arial" w:eastAsia="Arial" w:hAnsi="Arial"/>
                <w:sz w:val="14"/>
                <w:szCs w:val="14"/>
                <w:color w:val="636466"/>
              </w:rPr>
              <w:t>2026 PROXY STATEMENT</w:t>
            </w:r>
          </w:p>
        </w:tc>
        <w:tc>
          <w:tcPr>
            <w:tcW w:w="5880" w:type="dxa"/>
            <w:vAlign w:val="bottom"/>
          </w:tcPr>
          <w:p>
            <w:pPr>
              <w:spacing w:after="0"/>
              <w:rPr>
                <w:sz w:val="24"/>
                <w:szCs w:val="24"/>
                <w:color w:val="auto"/>
              </w:rPr>
            </w:pPr>
          </w:p>
        </w:tc>
      </w:tr>
      <w:tr>
        <w:trPr>
          <w:trHeight w:val="495"/>
        </w:trPr>
        <w:tc>
          <w:tcPr>
            <w:tcW w:w="3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-513715</wp:posOffset>
            </wp:positionV>
            <wp:extent cx="1242695" cy="2057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2" w:name="page63"/>
    <w:bookmarkEnd w:id="62"/>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2025 Advisory Vote on Executive Compensation and Shareholder Engagement</w:t>
      </w:r>
    </w:p>
    <w:p>
      <w:pPr>
        <w:spacing w:after="0" w:line="185"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Each year, we conduct a say-on-pay advisory vote on executive compensation. This provides shareholders with the opportunity to cast a non-binding vote on a proposal regarding the compensation of our NEOs.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At our 2025 AGM, approximately 94% of the votes cast were in favor of the compensation of our NEOs for the year ended December 31, 2024.</w:t>
      </w:r>
    </w:p>
    <w:p>
      <w:pPr>
        <w:spacing w:after="0" w:line="18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Our Board values the views of our shareholders. As such, our management team regularly engages in dialogue with our shareholders and views direct shareholder engagement as a critical process for receiving and understanding feedback on subjects that matter most to our shareholders. During such engagement, our shareholders expressed general satisfaction with and did not raise any material concerns regarding our executive compensation program. We will continue outreach and dialogue with our shareholders in the future.</w:t>
      </w:r>
    </w:p>
    <w:p>
      <w:pPr>
        <w:spacing w:after="0" w:line="12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Our Compensation Committee reviews the say-on-pay advisory vote results and feedback from our shareholder engagement activities when making executive compensation decisions. After considering the strong support received on the say-on-pay proposal in 2025 and in recent years (an average of approximately 93% over the past three years) and the feedback from our shareholders, our Compensation Committee concluded that our shareholders continue to support our executive compensation program and that it continues to provide a competitive pay-for-performance package that effectively incentivizes the NEOs and encourages long-term retention. Accordingly, our Compensation Committee and additionally, with respect to our CEO’s compensation, our Board, determined not to make any significant changes to our executive compensation policies or decisions as a result of the prior year’s say-on-pay advisory vote and shareholder feedback. Our Compensation Committee and additionally, with respect to our CEO’s compensation, our Board, will continue to consider the outcome of our say-on-pay proposals and our shareholders’ views when making future compensation decisions for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177165</wp:posOffset>
            </wp:positionV>
            <wp:extent cx="1242695" cy="2057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55</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3" w:name="page64"/>
    <w:bookmarkEnd w:id="63"/>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Key Components and Design of the Executive Compensation Program</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Total Direct Compensation</w:t>
      </w:r>
    </w:p>
    <w:p>
      <w:pPr>
        <w:spacing w:after="0" w:line="171" w:lineRule="exact"/>
        <w:rPr>
          <w:sz w:val="20"/>
          <w:szCs w:val="20"/>
          <w:color w:val="auto"/>
        </w:rPr>
      </w:pPr>
    </w:p>
    <w:p>
      <w:pPr>
        <w:ind w:right="600"/>
        <w:spacing w:after="0" w:line="321" w:lineRule="auto"/>
        <w:rPr>
          <w:sz w:val="20"/>
          <w:szCs w:val="20"/>
          <w:color w:val="auto"/>
        </w:rPr>
      </w:pPr>
      <w:r>
        <w:rPr>
          <w:rFonts w:ascii="Arial" w:cs="Arial" w:eastAsia="Arial" w:hAnsi="Arial"/>
          <w:sz w:val="16"/>
          <w:szCs w:val="16"/>
          <w:color w:val="auto"/>
        </w:rPr>
        <w:t>Our compensation program focuses on target total direct compensation, which consists of base salary, target performance bonus opportunity (which, together with base salary, we refer to as target total cash compensation), and target long-term incentive opportunity.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386"/>
        </w:trPr>
        <w:tc>
          <w:tcPr>
            <w:tcW w:w="220" w:type="dxa"/>
            <w:vAlign w:val="bottom"/>
            <w:shd w:val="clear" w:color="auto" w:fill="F0F0F0"/>
          </w:tcPr>
          <w:p>
            <w:pPr>
              <w:spacing w:after="0"/>
              <w:rPr>
                <w:sz w:val="24"/>
                <w:szCs w:val="24"/>
                <w:color w:val="auto"/>
              </w:rPr>
            </w:pPr>
          </w:p>
        </w:tc>
        <w:tc>
          <w:tcPr>
            <w:tcW w:w="1840" w:type="dxa"/>
            <w:vAlign w:val="bottom"/>
            <w:vMerge w:val="restart"/>
            <w:shd w:val="clear" w:color="auto" w:fill="F0F0F0"/>
          </w:tcPr>
          <w:p>
            <w:pPr>
              <w:ind w:left="420"/>
              <w:spacing w:after="0"/>
              <w:rPr>
                <w:sz w:val="20"/>
                <w:szCs w:val="20"/>
                <w:color w:val="auto"/>
              </w:rPr>
            </w:pPr>
            <w:r>
              <w:rPr>
                <w:rFonts w:ascii="Arial" w:cs="Arial" w:eastAsia="Arial" w:hAnsi="Arial"/>
                <w:sz w:val="18"/>
                <w:szCs w:val="18"/>
                <w:b w:val="1"/>
                <w:bCs w:val="1"/>
                <w:color w:val="636466"/>
              </w:rPr>
              <w:t>Base Salary</w:t>
            </w:r>
          </w:p>
        </w:tc>
        <w:tc>
          <w:tcPr>
            <w:tcW w:w="220" w:type="dxa"/>
            <w:vAlign w:val="bottom"/>
            <w:shd w:val="clear" w:color="auto" w:fill="F0F0F0"/>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Arial" w:cs="Arial" w:eastAsia="Arial" w:hAnsi="Arial"/>
                <w:sz w:val="43"/>
                <w:szCs w:val="43"/>
                <w:color w:val="001C71"/>
              </w:rPr>
              <w:t>+</w:t>
            </w:r>
          </w:p>
        </w:tc>
        <w:tc>
          <w:tcPr>
            <w:tcW w:w="240" w:type="dxa"/>
            <w:vAlign w:val="bottom"/>
            <w:shd w:val="clear" w:color="auto" w:fill="F0F0F0"/>
          </w:tcPr>
          <w:p>
            <w:pPr>
              <w:spacing w:after="0"/>
              <w:rPr>
                <w:sz w:val="24"/>
                <w:szCs w:val="24"/>
                <w:color w:val="auto"/>
              </w:rPr>
            </w:pPr>
          </w:p>
        </w:tc>
        <w:tc>
          <w:tcPr>
            <w:tcW w:w="1880" w:type="dxa"/>
            <w:vAlign w:val="bottom"/>
            <w:shd w:val="clear" w:color="auto" w:fill="F0F0F0"/>
          </w:tcPr>
          <w:p>
            <w:pPr>
              <w:jc w:val="center"/>
              <w:spacing w:after="0"/>
              <w:rPr>
                <w:sz w:val="20"/>
                <w:szCs w:val="20"/>
                <w:color w:val="auto"/>
              </w:rPr>
            </w:pPr>
            <w:r>
              <w:rPr>
                <w:rFonts w:ascii="Arial" w:cs="Arial" w:eastAsia="Arial" w:hAnsi="Arial"/>
                <w:sz w:val="18"/>
                <w:szCs w:val="18"/>
                <w:b w:val="1"/>
                <w:bCs w:val="1"/>
                <w:color w:val="636466"/>
              </w:rPr>
              <w:t>Performance Bonus</w:t>
            </w:r>
          </w:p>
        </w:tc>
        <w:tc>
          <w:tcPr>
            <w:tcW w:w="240" w:type="dxa"/>
            <w:vAlign w:val="bottom"/>
            <w:shd w:val="clear" w:color="auto" w:fill="F0F0F0"/>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Arial" w:cs="Arial" w:eastAsia="Arial" w:hAnsi="Arial"/>
                <w:sz w:val="43"/>
                <w:szCs w:val="43"/>
                <w:color w:val="001C71"/>
              </w:rPr>
              <w:t>+</w:t>
            </w:r>
          </w:p>
        </w:tc>
        <w:tc>
          <w:tcPr>
            <w:tcW w:w="240" w:type="dxa"/>
            <w:vAlign w:val="bottom"/>
            <w:shd w:val="clear" w:color="auto" w:fill="F0F0F0"/>
          </w:tcPr>
          <w:p>
            <w:pPr>
              <w:spacing w:after="0"/>
              <w:rPr>
                <w:sz w:val="24"/>
                <w:szCs w:val="24"/>
                <w:color w:val="auto"/>
              </w:rPr>
            </w:pPr>
          </w:p>
        </w:tc>
        <w:tc>
          <w:tcPr>
            <w:tcW w:w="1900" w:type="dxa"/>
            <w:vAlign w:val="bottom"/>
            <w:shd w:val="clear" w:color="auto" w:fill="F0F0F0"/>
          </w:tcPr>
          <w:p>
            <w:pPr>
              <w:jc w:val="center"/>
              <w:spacing w:after="0"/>
              <w:rPr>
                <w:sz w:val="20"/>
                <w:szCs w:val="20"/>
                <w:color w:val="auto"/>
              </w:rPr>
            </w:pPr>
            <w:r>
              <w:rPr>
                <w:rFonts w:ascii="Arial" w:cs="Arial" w:eastAsia="Arial" w:hAnsi="Arial"/>
                <w:sz w:val="18"/>
                <w:szCs w:val="18"/>
                <w:b w:val="1"/>
                <w:bCs w:val="1"/>
                <w:color w:val="636466"/>
                <w:w w:val="99"/>
              </w:rPr>
              <w:t>Long-Term Incentive</w:t>
            </w:r>
          </w:p>
        </w:tc>
        <w:tc>
          <w:tcPr>
            <w:tcW w:w="240" w:type="dxa"/>
            <w:vAlign w:val="bottom"/>
            <w:shd w:val="clear" w:color="auto" w:fill="F0F0F0"/>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Arial" w:cs="Arial" w:eastAsia="Arial" w:hAnsi="Arial"/>
                <w:sz w:val="43"/>
                <w:szCs w:val="43"/>
                <w:color w:val="001C71"/>
              </w:rPr>
              <w:t>=</w:t>
            </w:r>
          </w:p>
        </w:tc>
        <w:tc>
          <w:tcPr>
            <w:tcW w:w="260" w:type="dxa"/>
            <w:vAlign w:val="bottom"/>
            <w:shd w:val="clear" w:color="auto" w:fill="852166"/>
          </w:tcPr>
          <w:p>
            <w:pPr>
              <w:spacing w:after="0"/>
              <w:rPr>
                <w:sz w:val="24"/>
                <w:szCs w:val="24"/>
                <w:color w:val="auto"/>
              </w:rPr>
            </w:pPr>
          </w:p>
        </w:tc>
        <w:tc>
          <w:tcPr>
            <w:tcW w:w="1980" w:type="dxa"/>
            <w:vAlign w:val="bottom"/>
            <w:shd w:val="clear" w:color="auto" w:fill="852166"/>
          </w:tcPr>
          <w:p>
            <w:pPr>
              <w:jc w:val="center"/>
              <w:spacing w:after="0"/>
              <w:rPr>
                <w:sz w:val="20"/>
                <w:szCs w:val="20"/>
                <w:color w:val="auto"/>
              </w:rPr>
            </w:pPr>
            <w:r>
              <w:rPr>
                <w:rFonts w:ascii="Arial" w:cs="Arial" w:eastAsia="Arial" w:hAnsi="Arial"/>
                <w:sz w:val="18"/>
                <w:szCs w:val="18"/>
                <w:b w:val="1"/>
                <w:bCs w:val="1"/>
                <w:color w:val="FFFFFF"/>
                <w:w w:val="98"/>
              </w:rPr>
              <w:t>Total Direct</w:t>
            </w:r>
          </w:p>
        </w:tc>
        <w:tc>
          <w:tcPr>
            <w:tcW w:w="240" w:type="dxa"/>
            <w:vAlign w:val="bottom"/>
            <w:shd w:val="clear" w:color="auto" w:fill="852166"/>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20" w:type="dxa"/>
            <w:vAlign w:val="bottom"/>
            <w:shd w:val="clear" w:color="auto" w:fill="F0F0F0"/>
          </w:tcPr>
          <w:p>
            <w:pPr>
              <w:spacing w:after="0"/>
              <w:rPr>
                <w:sz w:val="12"/>
                <w:szCs w:val="12"/>
                <w:color w:val="auto"/>
              </w:rPr>
            </w:pPr>
          </w:p>
        </w:tc>
        <w:tc>
          <w:tcPr>
            <w:tcW w:w="1840" w:type="dxa"/>
            <w:vAlign w:val="bottom"/>
            <w:vMerge w:val="continue"/>
            <w:shd w:val="clear" w:color="auto" w:fill="F0F0F0"/>
          </w:tcPr>
          <w:p>
            <w:pPr>
              <w:spacing w:after="0"/>
              <w:rPr>
                <w:sz w:val="12"/>
                <w:szCs w:val="12"/>
                <w:color w:val="auto"/>
              </w:rPr>
            </w:pPr>
          </w:p>
        </w:tc>
        <w:tc>
          <w:tcPr>
            <w:tcW w:w="220" w:type="dxa"/>
            <w:vAlign w:val="bottom"/>
            <w:shd w:val="clear" w:color="auto" w:fill="F0F0F0"/>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shd w:val="clear" w:color="auto" w:fill="F0F0F0"/>
          </w:tcPr>
          <w:p>
            <w:pPr>
              <w:spacing w:after="0"/>
              <w:rPr>
                <w:sz w:val="12"/>
                <w:szCs w:val="12"/>
                <w:color w:val="auto"/>
              </w:rPr>
            </w:pPr>
          </w:p>
        </w:tc>
        <w:tc>
          <w:tcPr>
            <w:tcW w:w="1880" w:type="dxa"/>
            <w:vAlign w:val="bottom"/>
            <w:vMerge w:val="restart"/>
            <w:shd w:val="clear" w:color="auto" w:fill="F0F0F0"/>
          </w:tcPr>
          <w:p>
            <w:pPr>
              <w:jc w:val="center"/>
              <w:spacing w:after="0"/>
              <w:rPr>
                <w:sz w:val="20"/>
                <w:szCs w:val="20"/>
                <w:color w:val="auto"/>
              </w:rPr>
            </w:pPr>
            <w:r>
              <w:rPr>
                <w:rFonts w:ascii="Arial" w:cs="Arial" w:eastAsia="Arial" w:hAnsi="Arial"/>
                <w:sz w:val="18"/>
                <w:szCs w:val="18"/>
                <w:b w:val="1"/>
                <w:bCs w:val="1"/>
                <w:color w:val="636466"/>
              </w:rPr>
              <w:t>Opportunity</w:t>
            </w:r>
          </w:p>
        </w:tc>
        <w:tc>
          <w:tcPr>
            <w:tcW w:w="240" w:type="dxa"/>
            <w:vAlign w:val="bottom"/>
            <w:shd w:val="clear" w:color="auto" w:fill="F0F0F0"/>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shd w:val="clear" w:color="auto" w:fill="F0F0F0"/>
          </w:tcPr>
          <w:p>
            <w:pPr>
              <w:spacing w:after="0"/>
              <w:rPr>
                <w:sz w:val="12"/>
                <w:szCs w:val="12"/>
                <w:color w:val="auto"/>
              </w:rPr>
            </w:pPr>
          </w:p>
        </w:tc>
        <w:tc>
          <w:tcPr>
            <w:tcW w:w="1900" w:type="dxa"/>
            <w:vAlign w:val="bottom"/>
            <w:vMerge w:val="restart"/>
            <w:shd w:val="clear" w:color="auto" w:fill="F0F0F0"/>
          </w:tcPr>
          <w:p>
            <w:pPr>
              <w:jc w:val="center"/>
              <w:spacing w:after="0"/>
              <w:rPr>
                <w:sz w:val="20"/>
                <w:szCs w:val="20"/>
                <w:color w:val="auto"/>
              </w:rPr>
            </w:pPr>
            <w:r>
              <w:rPr>
                <w:rFonts w:ascii="Arial" w:cs="Arial" w:eastAsia="Arial" w:hAnsi="Arial"/>
                <w:sz w:val="18"/>
                <w:szCs w:val="18"/>
                <w:b w:val="1"/>
                <w:bCs w:val="1"/>
                <w:color w:val="636466"/>
                <w:w w:val="98"/>
              </w:rPr>
              <w:t>Opportunity</w:t>
            </w:r>
          </w:p>
        </w:tc>
        <w:tc>
          <w:tcPr>
            <w:tcW w:w="240" w:type="dxa"/>
            <w:vAlign w:val="bottom"/>
            <w:shd w:val="clear" w:color="auto" w:fill="F0F0F0"/>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shd w:val="clear" w:color="auto" w:fill="852166"/>
          </w:tcPr>
          <w:p>
            <w:pPr>
              <w:spacing w:after="0"/>
              <w:rPr>
                <w:sz w:val="12"/>
                <w:szCs w:val="12"/>
                <w:color w:val="auto"/>
              </w:rPr>
            </w:pPr>
          </w:p>
        </w:tc>
        <w:tc>
          <w:tcPr>
            <w:tcW w:w="1980" w:type="dxa"/>
            <w:vAlign w:val="bottom"/>
            <w:vMerge w:val="restart"/>
            <w:shd w:val="clear" w:color="auto" w:fill="852166"/>
          </w:tcPr>
          <w:p>
            <w:pPr>
              <w:jc w:val="center"/>
              <w:spacing w:after="0"/>
              <w:rPr>
                <w:sz w:val="20"/>
                <w:szCs w:val="20"/>
                <w:color w:val="auto"/>
              </w:rPr>
            </w:pPr>
            <w:r>
              <w:rPr>
                <w:rFonts w:ascii="Arial" w:cs="Arial" w:eastAsia="Arial" w:hAnsi="Arial"/>
                <w:sz w:val="18"/>
                <w:szCs w:val="18"/>
                <w:b w:val="1"/>
                <w:bCs w:val="1"/>
                <w:color w:val="FFFFFF"/>
                <w:w w:val="99"/>
              </w:rPr>
              <w:t>Compensation</w:t>
            </w:r>
          </w:p>
        </w:tc>
        <w:tc>
          <w:tcPr>
            <w:tcW w:w="240" w:type="dxa"/>
            <w:vAlign w:val="bottom"/>
            <w:shd w:val="clear" w:color="auto" w:fill="852166"/>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20" w:type="dxa"/>
            <w:vAlign w:val="bottom"/>
            <w:shd w:val="clear" w:color="auto" w:fill="F0F0F0"/>
          </w:tcPr>
          <w:p>
            <w:pPr>
              <w:spacing w:after="0"/>
              <w:rPr>
                <w:sz w:val="10"/>
                <w:szCs w:val="10"/>
                <w:color w:val="auto"/>
              </w:rPr>
            </w:pPr>
          </w:p>
        </w:tc>
        <w:tc>
          <w:tcPr>
            <w:tcW w:w="1840" w:type="dxa"/>
            <w:vAlign w:val="bottom"/>
            <w:shd w:val="clear" w:color="auto" w:fill="F0F0F0"/>
          </w:tcPr>
          <w:p>
            <w:pPr>
              <w:spacing w:after="0"/>
              <w:rPr>
                <w:sz w:val="10"/>
                <w:szCs w:val="10"/>
                <w:color w:val="auto"/>
              </w:rPr>
            </w:pPr>
          </w:p>
        </w:tc>
        <w:tc>
          <w:tcPr>
            <w:tcW w:w="220" w:type="dxa"/>
            <w:vAlign w:val="bottom"/>
            <w:shd w:val="clear" w:color="auto" w:fill="F0F0F0"/>
          </w:tcPr>
          <w:p>
            <w:pPr>
              <w:spacing w:after="0"/>
              <w:rPr>
                <w:sz w:val="10"/>
                <w:szCs w:val="10"/>
                <w:color w:val="auto"/>
              </w:rPr>
            </w:pPr>
          </w:p>
        </w:tc>
        <w:tc>
          <w:tcPr>
            <w:tcW w:w="580" w:type="dxa"/>
            <w:vAlign w:val="bottom"/>
            <w:vMerge w:val="continue"/>
          </w:tcPr>
          <w:p>
            <w:pPr>
              <w:spacing w:after="0"/>
              <w:rPr>
                <w:sz w:val="10"/>
                <w:szCs w:val="10"/>
                <w:color w:val="auto"/>
              </w:rPr>
            </w:pPr>
          </w:p>
        </w:tc>
        <w:tc>
          <w:tcPr>
            <w:tcW w:w="240" w:type="dxa"/>
            <w:vAlign w:val="bottom"/>
            <w:shd w:val="clear" w:color="auto" w:fill="F0F0F0"/>
          </w:tcPr>
          <w:p>
            <w:pPr>
              <w:spacing w:after="0"/>
              <w:rPr>
                <w:sz w:val="10"/>
                <w:szCs w:val="10"/>
                <w:color w:val="auto"/>
              </w:rPr>
            </w:pPr>
          </w:p>
        </w:tc>
        <w:tc>
          <w:tcPr>
            <w:tcW w:w="1880" w:type="dxa"/>
            <w:vAlign w:val="bottom"/>
            <w:vMerge w:val="continue"/>
            <w:shd w:val="clear" w:color="auto" w:fill="F0F0F0"/>
          </w:tcPr>
          <w:p>
            <w:pPr>
              <w:spacing w:after="0"/>
              <w:rPr>
                <w:sz w:val="10"/>
                <w:szCs w:val="10"/>
                <w:color w:val="auto"/>
              </w:rPr>
            </w:pPr>
          </w:p>
        </w:tc>
        <w:tc>
          <w:tcPr>
            <w:tcW w:w="240" w:type="dxa"/>
            <w:vAlign w:val="bottom"/>
            <w:shd w:val="clear" w:color="auto" w:fill="F0F0F0"/>
          </w:tcPr>
          <w:p>
            <w:pPr>
              <w:spacing w:after="0"/>
              <w:rPr>
                <w:sz w:val="10"/>
                <w:szCs w:val="10"/>
                <w:color w:val="auto"/>
              </w:rPr>
            </w:pPr>
          </w:p>
        </w:tc>
        <w:tc>
          <w:tcPr>
            <w:tcW w:w="580" w:type="dxa"/>
            <w:vAlign w:val="bottom"/>
            <w:vMerge w:val="continue"/>
          </w:tcPr>
          <w:p>
            <w:pPr>
              <w:spacing w:after="0"/>
              <w:rPr>
                <w:sz w:val="10"/>
                <w:szCs w:val="10"/>
                <w:color w:val="auto"/>
              </w:rPr>
            </w:pPr>
          </w:p>
        </w:tc>
        <w:tc>
          <w:tcPr>
            <w:tcW w:w="240" w:type="dxa"/>
            <w:vAlign w:val="bottom"/>
            <w:shd w:val="clear" w:color="auto" w:fill="F0F0F0"/>
          </w:tcPr>
          <w:p>
            <w:pPr>
              <w:spacing w:after="0"/>
              <w:rPr>
                <w:sz w:val="10"/>
                <w:szCs w:val="10"/>
                <w:color w:val="auto"/>
              </w:rPr>
            </w:pPr>
          </w:p>
        </w:tc>
        <w:tc>
          <w:tcPr>
            <w:tcW w:w="1900" w:type="dxa"/>
            <w:vAlign w:val="bottom"/>
            <w:vMerge w:val="continue"/>
            <w:shd w:val="clear" w:color="auto" w:fill="F0F0F0"/>
          </w:tcPr>
          <w:p>
            <w:pPr>
              <w:spacing w:after="0"/>
              <w:rPr>
                <w:sz w:val="10"/>
                <w:szCs w:val="10"/>
                <w:color w:val="auto"/>
              </w:rPr>
            </w:pPr>
          </w:p>
        </w:tc>
        <w:tc>
          <w:tcPr>
            <w:tcW w:w="240" w:type="dxa"/>
            <w:vAlign w:val="bottom"/>
            <w:shd w:val="clear" w:color="auto" w:fill="F0F0F0"/>
          </w:tcPr>
          <w:p>
            <w:pPr>
              <w:spacing w:after="0"/>
              <w:rPr>
                <w:sz w:val="10"/>
                <w:szCs w:val="10"/>
                <w:color w:val="auto"/>
              </w:rPr>
            </w:pPr>
          </w:p>
        </w:tc>
        <w:tc>
          <w:tcPr>
            <w:tcW w:w="580" w:type="dxa"/>
            <w:vAlign w:val="bottom"/>
            <w:vMerge w:val="continue"/>
          </w:tcPr>
          <w:p>
            <w:pPr>
              <w:spacing w:after="0"/>
              <w:rPr>
                <w:sz w:val="10"/>
                <w:szCs w:val="10"/>
                <w:color w:val="auto"/>
              </w:rPr>
            </w:pPr>
          </w:p>
        </w:tc>
        <w:tc>
          <w:tcPr>
            <w:tcW w:w="260" w:type="dxa"/>
            <w:vAlign w:val="bottom"/>
            <w:shd w:val="clear" w:color="auto" w:fill="852166"/>
          </w:tcPr>
          <w:p>
            <w:pPr>
              <w:spacing w:after="0"/>
              <w:rPr>
                <w:sz w:val="10"/>
                <w:szCs w:val="10"/>
                <w:color w:val="auto"/>
              </w:rPr>
            </w:pPr>
          </w:p>
        </w:tc>
        <w:tc>
          <w:tcPr>
            <w:tcW w:w="1980" w:type="dxa"/>
            <w:vAlign w:val="bottom"/>
            <w:vMerge w:val="continue"/>
            <w:shd w:val="clear" w:color="auto" w:fill="852166"/>
          </w:tcPr>
          <w:p>
            <w:pPr>
              <w:spacing w:after="0"/>
              <w:rPr>
                <w:sz w:val="10"/>
                <w:szCs w:val="10"/>
                <w:color w:val="auto"/>
              </w:rPr>
            </w:pPr>
          </w:p>
        </w:tc>
        <w:tc>
          <w:tcPr>
            <w:tcW w:w="240" w:type="dxa"/>
            <w:vAlign w:val="bottom"/>
            <w:shd w:val="clear" w:color="auto" w:fill="852166"/>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0" w:type="dxa"/>
            <w:vAlign w:val="bottom"/>
            <w:shd w:val="clear" w:color="auto" w:fill="F0F0F0"/>
          </w:tcPr>
          <w:p>
            <w:pPr>
              <w:spacing w:after="0"/>
              <w:rPr>
                <w:sz w:val="14"/>
                <w:szCs w:val="14"/>
                <w:color w:val="auto"/>
              </w:rPr>
            </w:pPr>
          </w:p>
        </w:tc>
        <w:tc>
          <w:tcPr>
            <w:tcW w:w="1840" w:type="dxa"/>
            <w:vAlign w:val="bottom"/>
            <w:shd w:val="clear" w:color="auto" w:fill="F0F0F0"/>
          </w:tcPr>
          <w:p>
            <w:pPr>
              <w:spacing w:after="0"/>
              <w:rPr>
                <w:sz w:val="14"/>
                <w:szCs w:val="14"/>
                <w:color w:val="auto"/>
              </w:rPr>
            </w:pPr>
          </w:p>
        </w:tc>
        <w:tc>
          <w:tcPr>
            <w:tcW w:w="220" w:type="dxa"/>
            <w:vAlign w:val="bottom"/>
            <w:shd w:val="clear" w:color="auto" w:fill="F0F0F0"/>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shd w:val="clear" w:color="auto" w:fill="F0F0F0"/>
          </w:tcPr>
          <w:p>
            <w:pPr>
              <w:spacing w:after="0"/>
              <w:rPr>
                <w:sz w:val="14"/>
                <w:szCs w:val="14"/>
                <w:color w:val="auto"/>
              </w:rPr>
            </w:pPr>
          </w:p>
        </w:tc>
        <w:tc>
          <w:tcPr>
            <w:tcW w:w="1880" w:type="dxa"/>
            <w:vAlign w:val="bottom"/>
            <w:shd w:val="clear" w:color="auto" w:fill="F0F0F0"/>
          </w:tcPr>
          <w:p>
            <w:pPr>
              <w:spacing w:after="0"/>
              <w:rPr>
                <w:sz w:val="14"/>
                <w:szCs w:val="14"/>
                <w:color w:val="auto"/>
              </w:rPr>
            </w:pPr>
          </w:p>
        </w:tc>
        <w:tc>
          <w:tcPr>
            <w:tcW w:w="240" w:type="dxa"/>
            <w:vAlign w:val="bottom"/>
            <w:shd w:val="clear" w:color="auto" w:fill="F0F0F0"/>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shd w:val="clear" w:color="auto" w:fill="F0F0F0"/>
          </w:tcPr>
          <w:p>
            <w:pPr>
              <w:spacing w:after="0"/>
              <w:rPr>
                <w:sz w:val="14"/>
                <w:szCs w:val="14"/>
                <w:color w:val="auto"/>
              </w:rPr>
            </w:pPr>
          </w:p>
        </w:tc>
        <w:tc>
          <w:tcPr>
            <w:tcW w:w="1900" w:type="dxa"/>
            <w:vAlign w:val="bottom"/>
            <w:shd w:val="clear" w:color="auto" w:fill="F0F0F0"/>
          </w:tcPr>
          <w:p>
            <w:pPr>
              <w:spacing w:after="0"/>
              <w:rPr>
                <w:sz w:val="14"/>
                <w:szCs w:val="14"/>
                <w:color w:val="auto"/>
              </w:rPr>
            </w:pPr>
          </w:p>
        </w:tc>
        <w:tc>
          <w:tcPr>
            <w:tcW w:w="240" w:type="dxa"/>
            <w:vAlign w:val="bottom"/>
            <w:shd w:val="clear" w:color="auto" w:fill="F0F0F0"/>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shd w:val="clear" w:color="auto" w:fill="852166"/>
          </w:tcPr>
          <w:p>
            <w:pPr>
              <w:spacing w:after="0"/>
              <w:rPr>
                <w:sz w:val="14"/>
                <w:szCs w:val="14"/>
                <w:color w:val="auto"/>
              </w:rPr>
            </w:pPr>
          </w:p>
        </w:tc>
        <w:tc>
          <w:tcPr>
            <w:tcW w:w="1980" w:type="dxa"/>
            <w:vAlign w:val="bottom"/>
            <w:shd w:val="clear" w:color="auto" w:fill="852166"/>
          </w:tcPr>
          <w:p>
            <w:pPr>
              <w:spacing w:after="0"/>
              <w:rPr>
                <w:sz w:val="14"/>
                <w:szCs w:val="14"/>
                <w:color w:val="auto"/>
              </w:rPr>
            </w:pPr>
          </w:p>
        </w:tc>
        <w:tc>
          <w:tcPr>
            <w:tcW w:w="240" w:type="dxa"/>
            <w:vAlign w:val="bottom"/>
            <w:shd w:val="clear" w:color="auto" w:fill="852166"/>
          </w:tcPr>
          <w:p>
            <w:pPr>
              <w:spacing w:after="0"/>
              <w:rPr>
                <w:sz w:val="14"/>
                <w:szCs w:val="14"/>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illustrated in the charts below, a substantial majority of target total direct compensation (that is base salary, target annual bonus and target annual equity grant) for our CEO and other NEOs is structured in the form of variable or “at-risk” compensation that is dependent upon the performance of our share price and/or the achievement of financial and strategic objectives. This aligns our executive officers’ interests with those of our shareholders for near- and long-term performance. The pie charts below reflect the components of target total direct compensation for 2025 for Ms. Gala, our President and CEO titled “CEO Pay Mix,” and for other NEOs, other than Mr. Cozadd, titled “Other NEO Average Pay Mix.”</w:t>
      </w:r>
    </w:p>
    <w:p>
      <w:pPr>
        <w:spacing w:after="0" w:line="243" w:lineRule="exact"/>
        <w:rPr>
          <w:sz w:val="20"/>
          <w:szCs w:val="20"/>
          <w:color w:val="auto"/>
        </w:rPr>
      </w:pPr>
    </w:p>
    <w:p>
      <w:pPr>
        <w:ind w:left="2780"/>
        <w:spacing w:after="0"/>
        <w:tabs>
          <w:tab w:leader="none" w:pos="6480" w:val="left"/>
        </w:tabs>
        <w:rPr>
          <w:sz w:val="20"/>
          <w:szCs w:val="20"/>
          <w:color w:val="auto"/>
        </w:rPr>
      </w:pPr>
      <w:r>
        <w:rPr>
          <w:rFonts w:ascii="Arial" w:cs="Arial" w:eastAsia="Arial" w:hAnsi="Arial"/>
          <w:sz w:val="18"/>
          <w:szCs w:val="18"/>
          <w:b w:val="1"/>
          <w:bCs w:val="1"/>
          <w:color w:val="001C71"/>
        </w:rPr>
        <w:t>CEO PAY MIX</w:t>
      </w:r>
      <w:r>
        <w:rPr>
          <w:sz w:val="20"/>
          <w:szCs w:val="20"/>
          <w:color w:val="auto"/>
        </w:rPr>
        <w:tab/>
      </w:r>
      <w:r>
        <w:rPr>
          <w:rFonts w:ascii="Arial" w:cs="Arial" w:eastAsia="Arial" w:hAnsi="Arial"/>
          <w:sz w:val="17"/>
          <w:szCs w:val="17"/>
          <w:b w:val="1"/>
          <w:bCs w:val="1"/>
          <w:color w:val="001C71"/>
        </w:rPr>
        <w:t>OTHER NEO AVERAGE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206375</wp:posOffset>
            </wp:positionV>
            <wp:extent cx="5709285" cy="22117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70928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20"/>
        <w:spacing w:after="0"/>
        <w:rPr>
          <w:sz w:val="20"/>
          <w:szCs w:val="20"/>
          <w:color w:val="auto"/>
        </w:rPr>
      </w:pPr>
      <w:r>
        <w:rPr>
          <w:rFonts w:ascii="Arial" w:cs="Arial" w:eastAsia="Arial" w:hAnsi="Arial"/>
          <w:sz w:val="14"/>
          <w:szCs w:val="14"/>
          <w:i w:val="1"/>
          <w:iCs w:val="1"/>
          <w:color w:val="auto"/>
        </w:rPr>
        <w:t>Amounts may not total due to rounding.</w:t>
      </w:r>
    </w:p>
    <w:p>
      <w:pPr>
        <w:spacing w:after="0" w:line="39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design these components, in combination, to support our near- and long-term strategic goals for the business and to align pay with our performance and our shareholders’ interests. These components include the following: (i) annual base salary rate for 2025; (ii) annual target performance bonus opportunity for 2025; and (iii) the target value of equity awards granted in 2025. Target value of equity awards granted for purposes of the chart above means the target dollar value approved by our Compensation Committee or our Board (as applicable) for each NEO’s equity awards granted in 2025. This value differs from the value shown in the Summary Compensation Table, as discussed further below under “</w:t>
      </w:r>
      <w:r>
        <w:rPr>
          <w:rFonts w:ascii="Arial" w:cs="Arial" w:eastAsia="Arial" w:hAnsi="Arial"/>
          <w:sz w:val="16"/>
          <w:szCs w:val="16"/>
          <w:i w:val="1"/>
          <w:iCs w:val="1"/>
          <w:color w:val="auto"/>
        </w:rPr>
        <w:t>2025 Compensation Decisions for Our NEOs—Summary of 2025</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Decisions—Long-Term Incentive Program</w:t>
      </w:r>
      <w:r>
        <w:rPr>
          <w:rFonts w:ascii="Arial" w:cs="Arial" w:eastAsia="Arial" w:hAnsi="Arial"/>
          <w:sz w:val="16"/>
          <w:szCs w:val="16"/>
          <w:color w:val="auto"/>
        </w:rPr>
        <w:t>.”</w:t>
      </w:r>
    </w:p>
    <w:p>
      <w:pPr>
        <w:spacing w:after="0" w:line="1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Because we believe it is important to our success to pursue both short- and long-term objectives that drive sustainable shareholder value creation, to avoid excessive risk-taking, and to preserve our cash resources, the majority of the NEOs’ total direct compensation is comprised of variable or “at-risk” compensation, consisting of performance-based bonus opportunities and long-term incentives, in the form of PSUs and RSUs, which align the executive officers’ incentives with the interests of our shareholders. This allocation between variable or “at-risk” and fixed compensation is consistent with our pay-for-performance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175260</wp:posOffset>
            </wp:positionV>
            <wp:extent cx="1242695" cy="2057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88"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56</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4" w:name="page65"/>
    <w:bookmarkEnd w:id="64"/>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As noted above, our Compensation Committee takes a holistic approach to compensation and seeks to ensure that the aggregate level of pay across all the pay elements satisfies our desired objectives for each executive officer. Our Compensation Committee does not have any formal policies for allocating compensation among base salary, target performance bonus opportunity and long-term incentive awards.</w:t>
      </w:r>
    </w:p>
    <w:p>
      <w:pPr>
        <w:spacing w:after="0" w:line="11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Instead, our Compensation Committee uses its experience and business judgment to establish a total compensation program for each NEO that is a mix of current, short- and long-term incentive compensation, and cash and non-cash compensation, which it believes is appropriate to achieve the goals of our executive compensation program and our corporate goals.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Components of Total Direct Compensation</w:t>
      </w:r>
    </w:p>
    <w:p>
      <w:pPr>
        <w:spacing w:after="0" w:line="171" w:lineRule="exact"/>
        <w:rPr>
          <w:sz w:val="20"/>
          <w:szCs w:val="20"/>
          <w:color w:val="auto"/>
        </w:rPr>
      </w:pPr>
    </w:p>
    <w:p>
      <w:pPr>
        <w:ind w:right="560"/>
        <w:spacing w:after="0" w:line="321" w:lineRule="auto"/>
        <w:rPr>
          <w:sz w:val="20"/>
          <w:szCs w:val="20"/>
          <w:color w:val="auto"/>
        </w:rPr>
      </w:pPr>
      <w:r>
        <w:rPr>
          <w:rFonts w:ascii="Arial" w:cs="Arial" w:eastAsia="Arial" w:hAnsi="Arial"/>
          <w:sz w:val="16"/>
          <w:szCs w:val="16"/>
          <w:color w:val="auto"/>
        </w:rPr>
        <w:t>The table below describes key features of each primary component of our executive compensation program and explains why we provide a particular compensation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460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3" w:lineRule="exact"/>
        <w:rPr>
          <w:sz w:val="20"/>
          <w:szCs w:val="20"/>
          <w:color w:val="auto"/>
        </w:rPr>
      </w:pPr>
    </w:p>
    <w:p>
      <w:pPr>
        <w:spacing w:after="0"/>
        <w:tabs>
          <w:tab w:leader="none" w:pos="1620" w:val="left"/>
          <w:tab w:leader="none" w:pos="6900" w:val="left"/>
        </w:tabs>
        <w:rPr>
          <w:sz w:val="20"/>
          <w:szCs w:val="20"/>
          <w:color w:val="auto"/>
        </w:rPr>
      </w:pPr>
      <w:r>
        <w:rPr>
          <w:sz w:val="1"/>
          <w:szCs w:val="1"/>
          <w:color w:val="auto"/>
        </w:rPr>
        <w:drawing>
          <wp:inline distT="0" distB="0" distL="0" distR="0">
            <wp:extent cx="51435" cy="179705"/>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35" cy="179705"/>
                    </a:xfrm>
                    <a:prstGeom prst="rect">
                      <a:avLst/>
                    </a:prstGeom>
                    <a:noFill/>
                    <a:ln>
                      <a:noFill/>
                    </a:ln>
                  </pic:spPr>
                </pic:pic>
              </a:graphicData>
            </a:graphic>
          </wp:inline>
        </w:drawing>
      </w:r>
      <w:r>
        <w:rPr>
          <w:rFonts w:ascii="Arial" w:cs="Arial" w:eastAsia="Arial" w:hAnsi="Arial"/>
          <w:sz w:val="14"/>
          <w:szCs w:val="14"/>
          <w:b w:val="1"/>
          <w:bCs w:val="1"/>
          <w:color w:val="FFFFFF"/>
        </w:rPr>
        <w:t xml:space="preserve"> Component</w:t>
      </w:r>
      <w:r>
        <w:rPr>
          <w:sz w:val="20"/>
          <w:szCs w:val="20"/>
          <w:color w:val="auto"/>
        </w:rPr>
        <w:tab/>
      </w:r>
      <w:r>
        <w:rPr>
          <w:rFonts w:ascii="Arial" w:cs="Arial" w:eastAsia="Arial" w:hAnsi="Arial"/>
          <w:sz w:val="14"/>
          <w:szCs w:val="14"/>
          <w:b w:val="1"/>
          <w:bCs w:val="1"/>
          <w:color w:val="FFFFFF"/>
        </w:rPr>
        <w:t>Key Features</w:t>
      </w:r>
      <w:r>
        <w:rPr>
          <w:sz w:val="20"/>
          <w:szCs w:val="20"/>
          <w:color w:val="auto"/>
        </w:rPr>
        <w:tab/>
      </w:r>
      <w:r>
        <w:rPr>
          <w:rFonts w:ascii="Arial" w:cs="Arial" w:eastAsia="Arial" w:hAnsi="Arial"/>
          <w:sz w:val="14"/>
          <w:szCs w:val="14"/>
          <w:b w:val="1"/>
          <w:bCs w:val="1"/>
          <w:color w:val="FFFFFF"/>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-33655</wp:posOffset>
            </wp:positionV>
            <wp:extent cx="7080885" cy="342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080885" cy="34290"/>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p>
      <w:pPr>
        <w:spacing w:after="0" w:line="72" w:lineRule="exact"/>
        <w:rPr>
          <w:sz w:val="20"/>
          <w:szCs w:val="20"/>
          <w:color w:val="auto"/>
        </w:rPr>
      </w:pPr>
    </w:p>
    <w:p>
      <w:pPr>
        <w:ind w:left="100"/>
        <w:spacing w:after="0"/>
        <w:tabs>
          <w:tab w:leader="none" w:pos="1620" w:val="left"/>
        </w:tabs>
        <w:rPr>
          <w:sz w:val="20"/>
          <w:szCs w:val="20"/>
          <w:color w:val="auto"/>
        </w:rPr>
      </w:pPr>
      <w:r>
        <w:rPr>
          <w:rFonts w:ascii="Arial" w:cs="Arial" w:eastAsia="Arial" w:hAnsi="Arial"/>
          <w:sz w:val="14"/>
          <w:szCs w:val="14"/>
          <w:b w:val="1"/>
          <w:bCs w:val="1"/>
          <w:color w:val="852166"/>
        </w:rPr>
        <w:t>Base Salary</w:t>
      </w:r>
      <w:r>
        <w:rPr>
          <w:sz w:val="20"/>
          <w:szCs w:val="20"/>
          <w:color w:val="auto"/>
        </w:rPr>
        <w:tab/>
      </w:r>
      <w:r>
        <w:rPr>
          <w:rFonts w:ascii="Arial" w:cs="Arial" w:eastAsia="Arial" w:hAnsi="Arial"/>
          <w:sz w:val="14"/>
          <w:szCs w:val="14"/>
          <w:b w:val="1"/>
          <w:bCs w:val="1"/>
          <w:color w:val="5673B8"/>
        </w:rPr>
        <w:t xml:space="preserve">•  </w:t>
      </w:r>
      <w:r>
        <w:rPr>
          <w:rFonts w:ascii="Arial" w:cs="Arial" w:eastAsia="Arial" w:hAnsi="Arial"/>
          <w:sz w:val="14"/>
          <w:szCs w:val="14"/>
          <w:color w:val="000000"/>
        </w:rPr>
        <w:t>Fixed level of cash compensation</w:t>
      </w:r>
    </w:p>
    <w:p>
      <w:pPr>
        <w:spacing w:after="0" w:line="69" w:lineRule="exact"/>
        <w:rPr>
          <w:sz w:val="20"/>
          <w:szCs w:val="20"/>
          <w:color w:val="auto"/>
        </w:rPr>
      </w:pPr>
    </w:p>
    <w:p>
      <w:pPr>
        <w:ind w:left="1800" w:hanging="168"/>
        <w:spacing w:after="0"/>
        <w:tabs>
          <w:tab w:leader="none" w:pos="1800" w:val="left"/>
        </w:tabs>
        <w:numPr>
          <w:ilvl w:val="0"/>
          <w:numId w:val="54"/>
        </w:numPr>
        <w:rPr>
          <w:rFonts w:ascii="Arial" w:cs="Arial" w:eastAsia="Arial" w:hAnsi="Arial"/>
          <w:sz w:val="14"/>
          <w:szCs w:val="14"/>
          <w:b w:val="1"/>
          <w:bCs w:val="1"/>
          <w:color w:val="5673B8"/>
        </w:rPr>
      </w:pPr>
      <w:r>
        <w:rPr>
          <w:rFonts w:ascii="Arial" w:cs="Arial" w:eastAsia="Arial" w:hAnsi="Arial"/>
          <w:sz w:val="14"/>
          <w:szCs w:val="14"/>
          <w:color w:val="auto"/>
        </w:rPr>
        <w:t>No amount is contractually guaranteed</w:t>
      </w:r>
    </w:p>
    <w:p>
      <w:pPr>
        <w:spacing w:after="0" w:line="68" w:lineRule="exact"/>
        <w:rPr>
          <w:rFonts w:ascii="Arial" w:cs="Arial" w:eastAsia="Arial" w:hAnsi="Arial"/>
          <w:sz w:val="14"/>
          <w:szCs w:val="14"/>
          <w:b w:val="1"/>
          <w:bCs w:val="1"/>
          <w:color w:val="5673B8"/>
        </w:rPr>
      </w:pPr>
    </w:p>
    <w:p>
      <w:pPr>
        <w:ind w:left="1800" w:hanging="168"/>
        <w:spacing w:after="0" w:line="305" w:lineRule="auto"/>
        <w:tabs>
          <w:tab w:leader="none" w:pos="1796" w:val="left"/>
        </w:tabs>
        <w:numPr>
          <w:ilvl w:val="0"/>
          <w:numId w:val="54"/>
        </w:numPr>
        <w:rPr>
          <w:rFonts w:ascii="Arial" w:cs="Arial" w:eastAsia="Arial" w:hAnsi="Arial"/>
          <w:sz w:val="14"/>
          <w:szCs w:val="14"/>
          <w:b w:val="1"/>
          <w:bCs w:val="1"/>
          <w:color w:val="5673B8"/>
        </w:rPr>
      </w:pPr>
      <w:r>
        <w:rPr>
          <w:rFonts w:ascii="Arial" w:cs="Arial" w:eastAsia="Arial" w:hAnsi="Arial"/>
          <w:sz w:val="14"/>
          <w:szCs w:val="14"/>
          <w:color w:val="auto"/>
        </w:rPr>
        <w:t>Amounts reviewed and determined annually, and are generally effective on or around March 1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156" w:right="160" w:hanging="156"/>
        <w:spacing w:after="0" w:line="283" w:lineRule="auto"/>
        <w:tabs>
          <w:tab w:leader="none" w:pos="152" w:val="left"/>
        </w:tabs>
        <w:numPr>
          <w:ilvl w:val="0"/>
          <w:numId w:val="55"/>
        </w:numPr>
        <w:rPr>
          <w:rFonts w:ascii="Arial" w:cs="Arial" w:eastAsia="Arial" w:hAnsi="Arial"/>
          <w:sz w:val="14"/>
          <w:szCs w:val="14"/>
          <w:b w:val="1"/>
          <w:bCs w:val="1"/>
          <w:color w:val="5673B8"/>
        </w:rPr>
      </w:pPr>
      <w:r>
        <w:rPr>
          <w:rFonts w:ascii="Arial" w:cs="Arial" w:eastAsia="Arial" w:hAnsi="Arial"/>
          <w:sz w:val="14"/>
          <w:szCs w:val="14"/>
          <w:color w:val="auto"/>
        </w:rPr>
        <w:t>Provides fixed level of compensation that is competitive within our industry and reflective of the skills and experience required to be successful in fulfilling the role</w:t>
      </w:r>
    </w:p>
    <w:p>
      <w:pPr>
        <w:spacing w:after="0" w:line="388" w:lineRule="exact"/>
        <w:rPr>
          <w:sz w:val="20"/>
          <w:szCs w:val="20"/>
          <w:color w:val="auto"/>
        </w:rPr>
      </w:pPr>
    </w:p>
    <w:p>
      <w:pPr>
        <w:sectPr>
          <w:pgSz w:w="11900" w:h="16838" w:orient="portrait"/>
          <w:cols w:equalWidth="0" w:num="2">
            <w:col w:w="6720" w:space="204"/>
            <w:col w:w="4316"/>
          </w:cols>
          <w:pgMar w:left="320" w:top="522" w:right="3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1560" w:type="dxa"/>
            <w:vAlign w:val="bottom"/>
          </w:tcPr>
          <w:p>
            <w:pPr>
              <w:ind w:left="100"/>
              <w:spacing w:after="0"/>
              <w:rPr>
                <w:sz w:val="20"/>
                <w:szCs w:val="20"/>
                <w:color w:val="auto"/>
              </w:rPr>
            </w:pPr>
            <w:r>
              <w:rPr>
                <w:rFonts w:ascii="Arial" w:cs="Arial" w:eastAsia="Arial" w:hAnsi="Arial"/>
                <w:sz w:val="14"/>
                <w:szCs w:val="14"/>
                <w:b w:val="1"/>
                <w:bCs w:val="1"/>
                <w:color w:val="852166"/>
              </w:rPr>
              <w:t>Performance Bonus</w:t>
            </w:r>
          </w:p>
        </w:tc>
        <w:tc>
          <w:tcPr>
            <w:tcW w:w="5300" w:type="dxa"/>
            <w:vAlign w:val="bottom"/>
          </w:tcPr>
          <w:p>
            <w:pPr>
              <w:ind w:left="8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Cash compensation under the performance bonus plan, which is variable and</w:t>
            </w:r>
          </w:p>
        </w:tc>
        <w:tc>
          <w:tcPr>
            <w:tcW w:w="4380" w:type="dxa"/>
            <w:vAlign w:val="bottom"/>
          </w:tcPr>
          <w:p>
            <w:pPr>
              <w:ind w:left="6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Provides financial incentives to achieve key corporate</w:t>
            </w:r>
          </w:p>
        </w:tc>
        <w:tc>
          <w:tcPr>
            <w:tcW w:w="0" w:type="dxa"/>
            <w:vAlign w:val="bottom"/>
          </w:tcPr>
          <w:p>
            <w:pPr>
              <w:spacing w:after="0"/>
              <w:rPr>
                <w:sz w:val="1"/>
                <w:szCs w:val="1"/>
                <w:color w:val="auto"/>
              </w:rPr>
            </w:pPr>
          </w:p>
        </w:tc>
      </w:tr>
      <w:tr>
        <w:trPr>
          <w:trHeight w:val="175"/>
        </w:trPr>
        <w:tc>
          <w:tcPr>
            <w:tcW w:w="1560" w:type="dxa"/>
            <w:vAlign w:val="bottom"/>
          </w:tcPr>
          <w:p>
            <w:pPr>
              <w:ind w:left="100"/>
              <w:spacing w:after="0"/>
              <w:rPr>
                <w:sz w:val="20"/>
                <w:szCs w:val="20"/>
                <w:color w:val="auto"/>
              </w:rPr>
            </w:pPr>
            <w:r>
              <w:rPr>
                <w:rFonts w:ascii="Arial" w:cs="Arial" w:eastAsia="Arial" w:hAnsi="Arial"/>
                <w:sz w:val="14"/>
                <w:szCs w:val="14"/>
                <w:b w:val="1"/>
                <w:bCs w:val="1"/>
                <w:color w:val="852166"/>
              </w:rPr>
              <w:t>Award</w:t>
            </w:r>
          </w:p>
        </w:tc>
        <w:tc>
          <w:tcPr>
            <w:tcW w:w="5300" w:type="dxa"/>
            <w:vAlign w:val="bottom"/>
          </w:tcPr>
          <w:p>
            <w:pPr>
              <w:ind w:left="240"/>
              <w:spacing w:after="0"/>
              <w:rPr>
                <w:sz w:val="20"/>
                <w:szCs w:val="20"/>
                <w:color w:val="auto"/>
              </w:rPr>
            </w:pPr>
            <w:r>
              <w:rPr>
                <w:rFonts w:ascii="Arial" w:cs="Arial" w:eastAsia="Arial" w:hAnsi="Arial"/>
                <w:sz w:val="14"/>
                <w:szCs w:val="14"/>
                <w:color w:val="auto"/>
              </w:rPr>
              <w:t>“at-risk” because it is dependent upon achievement of pre-established</w:t>
            </w:r>
          </w:p>
        </w:tc>
        <w:tc>
          <w:tcPr>
            <w:tcW w:w="4380" w:type="dxa"/>
            <w:vAlign w:val="bottom"/>
          </w:tcPr>
          <w:p>
            <w:pPr>
              <w:ind w:left="220"/>
              <w:spacing w:after="0"/>
              <w:rPr>
                <w:sz w:val="20"/>
                <w:szCs w:val="20"/>
                <w:color w:val="auto"/>
              </w:rPr>
            </w:pPr>
            <w:r>
              <w:rPr>
                <w:rFonts w:ascii="Arial" w:cs="Arial" w:eastAsia="Arial" w:hAnsi="Arial"/>
                <w:sz w:val="14"/>
                <w:szCs w:val="14"/>
                <w:color w:val="auto"/>
              </w:rPr>
              <w:t>objectives that are aligned with our business strategy</w:t>
            </w:r>
          </w:p>
        </w:tc>
        <w:tc>
          <w:tcPr>
            <w:tcW w:w="0" w:type="dxa"/>
            <w:vAlign w:val="bottom"/>
          </w:tcPr>
          <w:p>
            <w:pPr>
              <w:spacing w:after="0"/>
              <w:rPr>
                <w:sz w:val="1"/>
                <w:szCs w:val="1"/>
                <w:color w:val="auto"/>
              </w:rPr>
            </w:pPr>
          </w:p>
        </w:tc>
      </w:tr>
      <w:tr>
        <w:trPr>
          <w:trHeight w:val="190"/>
        </w:trPr>
        <w:tc>
          <w:tcPr>
            <w:tcW w:w="1560" w:type="dxa"/>
            <w:vAlign w:val="bottom"/>
          </w:tcPr>
          <w:p>
            <w:pPr>
              <w:spacing w:after="0"/>
              <w:rPr>
                <w:sz w:val="16"/>
                <w:szCs w:val="16"/>
                <w:color w:val="auto"/>
              </w:rPr>
            </w:pPr>
          </w:p>
        </w:tc>
        <w:tc>
          <w:tcPr>
            <w:tcW w:w="5300" w:type="dxa"/>
            <w:vAlign w:val="bottom"/>
          </w:tcPr>
          <w:p>
            <w:pPr>
              <w:ind w:left="240"/>
              <w:spacing w:after="0"/>
              <w:rPr>
                <w:sz w:val="20"/>
                <w:szCs w:val="20"/>
                <w:color w:val="auto"/>
              </w:rPr>
            </w:pPr>
            <w:r>
              <w:rPr>
                <w:rFonts w:ascii="Arial" w:cs="Arial" w:eastAsia="Arial" w:hAnsi="Arial"/>
                <w:sz w:val="14"/>
                <w:szCs w:val="14"/>
                <w:color w:val="auto"/>
              </w:rPr>
              <w:t>financial and strategic objectives</w:t>
            </w: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56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Target bonus opportunities reviewed and determined annually</w:t>
            </w:r>
          </w:p>
        </w:tc>
        <w:tc>
          <w:tcPr>
            <w:tcW w:w="4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560" w:type="dxa"/>
            <w:vAlign w:val="bottom"/>
          </w:tcPr>
          <w:p>
            <w:pPr>
              <w:spacing w:after="0"/>
              <w:rPr>
                <w:sz w:val="16"/>
                <w:szCs w:val="16"/>
                <w:color w:val="auto"/>
              </w:rPr>
            </w:pPr>
          </w:p>
        </w:tc>
        <w:tc>
          <w:tcPr>
            <w:tcW w:w="5300" w:type="dxa"/>
            <w:vAlign w:val="bottom"/>
          </w:tcPr>
          <w:p>
            <w:pPr>
              <w:ind w:left="8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Actual bonuses paid shortly after the end of each year are based on the extent</w:t>
            </w: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60" w:type="dxa"/>
            <w:vAlign w:val="bottom"/>
          </w:tcPr>
          <w:p>
            <w:pPr>
              <w:spacing w:after="0"/>
              <w:rPr>
                <w:sz w:val="15"/>
                <w:szCs w:val="15"/>
                <w:color w:val="auto"/>
              </w:rPr>
            </w:pPr>
          </w:p>
        </w:tc>
        <w:tc>
          <w:tcPr>
            <w:tcW w:w="5300" w:type="dxa"/>
            <w:vAlign w:val="bottom"/>
          </w:tcPr>
          <w:p>
            <w:pPr>
              <w:ind w:left="240"/>
              <w:spacing w:after="0"/>
              <w:rPr>
                <w:sz w:val="20"/>
                <w:szCs w:val="20"/>
                <w:color w:val="auto"/>
              </w:rPr>
            </w:pPr>
            <w:r>
              <w:rPr>
                <w:rFonts w:ascii="Arial" w:cs="Arial" w:eastAsia="Arial" w:hAnsi="Arial"/>
                <w:sz w:val="14"/>
                <w:szCs w:val="14"/>
                <w:color w:val="auto"/>
              </w:rPr>
              <w:t>corporate goals are attained as determined by our Compensation Committee,</w:t>
            </w: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60" w:type="dxa"/>
            <w:vAlign w:val="bottom"/>
          </w:tcPr>
          <w:p>
            <w:pPr>
              <w:spacing w:after="0"/>
              <w:rPr>
                <w:sz w:val="15"/>
                <w:szCs w:val="15"/>
                <w:color w:val="auto"/>
              </w:rPr>
            </w:pPr>
          </w:p>
        </w:tc>
        <w:tc>
          <w:tcPr>
            <w:tcW w:w="5300" w:type="dxa"/>
            <w:vAlign w:val="bottom"/>
          </w:tcPr>
          <w:p>
            <w:pPr>
              <w:ind w:left="240"/>
              <w:spacing w:after="0"/>
              <w:rPr>
                <w:sz w:val="20"/>
                <w:szCs w:val="20"/>
                <w:color w:val="auto"/>
              </w:rPr>
            </w:pPr>
            <w:r>
              <w:rPr>
                <w:rFonts w:ascii="Arial" w:cs="Arial" w:eastAsia="Arial" w:hAnsi="Arial"/>
                <w:sz w:val="14"/>
                <w:szCs w:val="14"/>
                <w:color w:val="auto"/>
              </w:rPr>
              <w:t>and for executive officers other than our CEO, may reflect their individual</w:t>
            </w: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60" w:type="dxa"/>
            <w:vAlign w:val="bottom"/>
          </w:tcPr>
          <w:p>
            <w:pPr>
              <w:spacing w:after="0"/>
              <w:rPr>
                <w:sz w:val="16"/>
                <w:szCs w:val="16"/>
                <w:color w:val="auto"/>
              </w:rPr>
            </w:pPr>
          </w:p>
        </w:tc>
        <w:tc>
          <w:tcPr>
            <w:tcW w:w="5300" w:type="dxa"/>
            <w:vAlign w:val="bottom"/>
          </w:tcPr>
          <w:p>
            <w:pPr>
              <w:ind w:left="240"/>
              <w:spacing w:after="0"/>
              <w:rPr>
                <w:sz w:val="20"/>
                <w:szCs w:val="20"/>
                <w:color w:val="auto"/>
              </w:rPr>
            </w:pPr>
            <w:r>
              <w:rPr>
                <w:rFonts w:ascii="Arial" w:cs="Arial" w:eastAsia="Arial" w:hAnsi="Arial"/>
                <w:sz w:val="14"/>
                <w:szCs w:val="14"/>
                <w:color w:val="auto"/>
              </w:rPr>
              <w:t>contributions toward such achievements</w:t>
            </w: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560" w:type="dxa"/>
            <w:vAlign w:val="bottom"/>
          </w:tcPr>
          <w:p>
            <w:pPr>
              <w:spacing w:after="0"/>
              <w:rPr>
                <w:sz w:val="17"/>
                <w:szCs w:val="17"/>
                <w:color w:val="auto"/>
              </w:rPr>
            </w:pPr>
          </w:p>
        </w:tc>
        <w:tc>
          <w:tcPr>
            <w:tcW w:w="5300" w:type="dxa"/>
            <w:vAlign w:val="bottom"/>
          </w:tcPr>
          <w:p>
            <w:pPr>
              <w:ind w:left="8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Our CEO bonus is capped at 200% of her target bonus award (based solely</w:t>
            </w: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60" w:type="dxa"/>
            <w:vAlign w:val="bottom"/>
          </w:tcPr>
          <w:p>
            <w:pPr>
              <w:spacing w:after="0"/>
              <w:rPr>
                <w:sz w:val="15"/>
                <w:szCs w:val="15"/>
                <w:color w:val="auto"/>
              </w:rPr>
            </w:pPr>
          </w:p>
        </w:tc>
        <w:tc>
          <w:tcPr>
            <w:tcW w:w="5300" w:type="dxa"/>
            <w:vAlign w:val="bottom"/>
          </w:tcPr>
          <w:p>
            <w:pPr>
              <w:ind w:left="240"/>
              <w:spacing w:after="0"/>
              <w:rPr>
                <w:sz w:val="20"/>
                <w:szCs w:val="20"/>
                <w:color w:val="auto"/>
              </w:rPr>
            </w:pPr>
            <w:r>
              <w:rPr>
                <w:rFonts w:ascii="Arial" w:cs="Arial" w:eastAsia="Arial" w:hAnsi="Arial"/>
                <w:sz w:val="14"/>
                <w:szCs w:val="14"/>
                <w:color w:val="auto"/>
              </w:rPr>
              <w:t>on achievement of corporate objectives). The same CEO bonus cap was</w:t>
            </w: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60" w:type="dxa"/>
            <w:vAlign w:val="bottom"/>
          </w:tcPr>
          <w:p>
            <w:pPr>
              <w:spacing w:after="0"/>
              <w:rPr>
                <w:sz w:val="15"/>
                <w:szCs w:val="15"/>
                <w:color w:val="auto"/>
              </w:rPr>
            </w:pPr>
          </w:p>
        </w:tc>
        <w:tc>
          <w:tcPr>
            <w:tcW w:w="5300" w:type="dxa"/>
            <w:vAlign w:val="bottom"/>
          </w:tcPr>
          <w:p>
            <w:pPr>
              <w:ind w:left="240"/>
              <w:spacing w:after="0"/>
              <w:rPr>
                <w:sz w:val="20"/>
                <w:szCs w:val="20"/>
                <w:color w:val="auto"/>
              </w:rPr>
            </w:pPr>
            <w:r>
              <w:rPr>
                <w:rFonts w:ascii="Arial" w:cs="Arial" w:eastAsia="Arial" w:hAnsi="Arial"/>
                <w:sz w:val="14"/>
                <w:szCs w:val="14"/>
                <w:color w:val="auto"/>
              </w:rPr>
              <w:t>applied to our former CEO, Mr. Cozadd. Our other NEOs’ bonuses are capped</w:t>
            </w: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60" w:type="dxa"/>
            <w:vAlign w:val="bottom"/>
          </w:tcPr>
          <w:p>
            <w:pPr>
              <w:spacing w:after="0"/>
              <w:rPr>
                <w:sz w:val="16"/>
                <w:szCs w:val="16"/>
                <w:color w:val="auto"/>
              </w:rPr>
            </w:pPr>
          </w:p>
        </w:tc>
        <w:tc>
          <w:tcPr>
            <w:tcW w:w="5300" w:type="dxa"/>
            <w:vAlign w:val="bottom"/>
          </w:tcPr>
          <w:p>
            <w:pPr>
              <w:ind w:left="240"/>
              <w:spacing w:after="0"/>
              <w:rPr>
                <w:sz w:val="20"/>
                <w:szCs w:val="20"/>
                <w:color w:val="auto"/>
              </w:rPr>
            </w:pPr>
            <w:r>
              <w:rPr>
                <w:rFonts w:ascii="Arial" w:cs="Arial" w:eastAsia="Arial" w:hAnsi="Arial"/>
                <w:sz w:val="14"/>
                <w:szCs w:val="14"/>
                <w:color w:val="auto"/>
              </w:rPr>
              <w:t>at 300% of the executive officer’s target award</w:t>
            </w: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560" w:type="dxa"/>
            <w:vAlign w:val="bottom"/>
            <w:tcBorders>
              <w:bottom w:val="single" w:sz="8" w:color="5673B8"/>
            </w:tcBorders>
          </w:tcPr>
          <w:p>
            <w:pPr>
              <w:spacing w:after="0"/>
              <w:rPr>
                <w:sz w:val="6"/>
                <w:szCs w:val="6"/>
                <w:color w:val="auto"/>
              </w:rPr>
            </w:pPr>
          </w:p>
        </w:tc>
        <w:tc>
          <w:tcPr>
            <w:tcW w:w="5300" w:type="dxa"/>
            <w:vAlign w:val="bottom"/>
            <w:tcBorders>
              <w:bottom w:val="single" w:sz="8" w:color="5673B8"/>
            </w:tcBorders>
          </w:tcPr>
          <w:p>
            <w:pPr>
              <w:spacing w:after="0"/>
              <w:rPr>
                <w:sz w:val="6"/>
                <w:szCs w:val="6"/>
                <w:color w:val="auto"/>
              </w:rPr>
            </w:pPr>
          </w:p>
        </w:tc>
        <w:tc>
          <w:tcPr>
            <w:tcW w:w="4380" w:type="dxa"/>
            <w:vAlign w:val="bottom"/>
            <w:tcBorders>
              <w:bottom w:val="single" w:sz="8" w:color="5673B8"/>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560" w:type="dxa"/>
            <w:vAlign w:val="bottom"/>
          </w:tcPr>
          <w:p>
            <w:pPr>
              <w:ind w:left="100"/>
              <w:spacing w:after="0"/>
              <w:rPr>
                <w:sz w:val="20"/>
                <w:szCs w:val="20"/>
                <w:color w:val="auto"/>
              </w:rPr>
            </w:pPr>
            <w:r>
              <w:rPr>
                <w:rFonts w:ascii="Arial" w:cs="Arial" w:eastAsia="Arial" w:hAnsi="Arial"/>
                <w:sz w:val="14"/>
                <w:szCs w:val="14"/>
                <w:b w:val="1"/>
                <w:bCs w:val="1"/>
                <w:color w:val="852166"/>
              </w:rPr>
              <w:t>Long-Term</w:t>
            </w:r>
          </w:p>
        </w:tc>
        <w:tc>
          <w:tcPr>
            <w:tcW w:w="5300" w:type="dxa"/>
            <w:vAlign w:val="bottom"/>
          </w:tcPr>
          <w:p>
            <w:pPr>
              <w:ind w:left="8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PSUs vest, if at all, at the end of a multi-year performance period and</w:t>
            </w:r>
          </w:p>
        </w:tc>
        <w:tc>
          <w:tcPr>
            <w:tcW w:w="4380" w:type="dxa"/>
            <w:vAlign w:val="bottom"/>
          </w:tcPr>
          <w:p>
            <w:pPr>
              <w:ind w:left="6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Fosters ownership culture</w:t>
            </w:r>
          </w:p>
        </w:tc>
        <w:tc>
          <w:tcPr>
            <w:tcW w:w="0" w:type="dxa"/>
            <w:vAlign w:val="bottom"/>
          </w:tcPr>
          <w:p>
            <w:pPr>
              <w:spacing w:after="0"/>
              <w:rPr>
                <w:sz w:val="1"/>
                <w:szCs w:val="1"/>
                <w:color w:val="auto"/>
              </w:rPr>
            </w:pPr>
          </w:p>
        </w:tc>
      </w:tr>
      <w:tr>
        <w:trPr>
          <w:trHeight w:val="175"/>
        </w:trPr>
        <w:tc>
          <w:tcPr>
            <w:tcW w:w="1560" w:type="dxa"/>
            <w:vAlign w:val="bottom"/>
          </w:tcPr>
          <w:p>
            <w:pPr>
              <w:ind w:left="100"/>
              <w:spacing w:after="0"/>
              <w:rPr>
                <w:sz w:val="20"/>
                <w:szCs w:val="20"/>
                <w:color w:val="auto"/>
              </w:rPr>
            </w:pPr>
            <w:r>
              <w:rPr>
                <w:rFonts w:ascii="Arial" w:cs="Arial" w:eastAsia="Arial" w:hAnsi="Arial"/>
                <w:sz w:val="14"/>
                <w:szCs w:val="14"/>
                <w:b w:val="1"/>
                <w:bCs w:val="1"/>
                <w:color w:val="852166"/>
              </w:rPr>
              <w:t>Incentive</w:t>
            </w:r>
          </w:p>
        </w:tc>
        <w:tc>
          <w:tcPr>
            <w:tcW w:w="5300" w:type="dxa"/>
            <w:vAlign w:val="bottom"/>
          </w:tcPr>
          <w:p>
            <w:pPr>
              <w:ind w:left="240"/>
              <w:spacing w:after="0"/>
              <w:rPr>
                <w:sz w:val="20"/>
                <w:szCs w:val="20"/>
                <w:color w:val="auto"/>
              </w:rPr>
            </w:pPr>
            <w:r>
              <w:rPr>
                <w:rFonts w:ascii="Arial" w:cs="Arial" w:eastAsia="Arial" w:hAnsi="Arial"/>
                <w:sz w:val="14"/>
                <w:szCs w:val="14"/>
                <w:color w:val="auto"/>
              </w:rPr>
              <w:t>represent 50% of the NEO target annual equity grant; for PSUs granted in</w:t>
            </w:r>
          </w:p>
        </w:tc>
        <w:tc>
          <w:tcPr>
            <w:tcW w:w="4380" w:type="dxa"/>
            <w:vAlign w:val="bottom"/>
            <w:vMerge w:val="restart"/>
          </w:tcPr>
          <w:p>
            <w:pPr>
              <w:ind w:left="6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Links compensation to long-term success</w:t>
            </w:r>
          </w:p>
        </w:tc>
        <w:tc>
          <w:tcPr>
            <w:tcW w:w="0" w:type="dxa"/>
            <w:vAlign w:val="bottom"/>
          </w:tcPr>
          <w:p>
            <w:pPr>
              <w:spacing w:after="0"/>
              <w:rPr>
                <w:sz w:val="1"/>
                <w:szCs w:val="1"/>
                <w:color w:val="auto"/>
              </w:rPr>
            </w:pPr>
          </w:p>
        </w:tc>
      </w:tr>
      <w:tr>
        <w:trPr>
          <w:trHeight w:val="75"/>
        </w:trPr>
        <w:tc>
          <w:tcPr>
            <w:tcW w:w="1560" w:type="dxa"/>
            <w:vAlign w:val="bottom"/>
            <w:vMerge w:val="restart"/>
          </w:tcPr>
          <w:p>
            <w:pPr>
              <w:ind w:left="100"/>
              <w:spacing w:after="0"/>
              <w:rPr>
                <w:sz w:val="20"/>
                <w:szCs w:val="20"/>
                <w:color w:val="auto"/>
              </w:rPr>
            </w:pPr>
            <w:r>
              <w:rPr>
                <w:rFonts w:ascii="Arial" w:cs="Arial" w:eastAsia="Arial" w:hAnsi="Arial"/>
                <w:sz w:val="14"/>
                <w:szCs w:val="14"/>
                <w:b w:val="1"/>
                <w:bCs w:val="1"/>
                <w:color w:val="852166"/>
              </w:rPr>
              <w:t>Compensation</w:t>
            </w:r>
          </w:p>
        </w:tc>
        <w:tc>
          <w:tcPr>
            <w:tcW w:w="5300" w:type="dxa"/>
            <w:vAlign w:val="bottom"/>
            <w:vMerge w:val="restart"/>
          </w:tcPr>
          <w:p>
            <w:pPr>
              <w:ind w:left="240"/>
              <w:spacing w:after="0"/>
              <w:rPr>
                <w:sz w:val="20"/>
                <w:szCs w:val="20"/>
                <w:color w:val="auto"/>
              </w:rPr>
            </w:pPr>
            <w:r>
              <w:rPr>
                <w:rFonts w:ascii="Arial" w:cs="Arial" w:eastAsia="Arial" w:hAnsi="Arial"/>
                <w:sz w:val="14"/>
                <w:szCs w:val="14"/>
                <w:color w:val="auto"/>
              </w:rPr>
              <w:t>2025, the performance period was 3 years</w:t>
            </w:r>
          </w:p>
        </w:tc>
        <w:tc>
          <w:tcPr>
            <w:tcW w:w="4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560" w:type="dxa"/>
            <w:vAlign w:val="bottom"/>
            <w:vMerge w:val="continue"/>
          </w:tcPr>
          <w:p>
            <w:pPr>
              <w:spacing w:after="0"/>
              <w:rPr>
                <w:sz w:val="10"/>
                <w:szCs w:val="10"/>
                <w:color w:val="auto"/>
              </w:rPr>
            </w:pPr>
          </w:p>
        </w:tc>
        <w:tc>
          <w:tcPr>
            <w:tcW w:w="5300" w:type="dxa"/>
            <w:vAlign w:val="bottom"/>
            <w:vMerge w:val="continue"/>
          </w:tcPr>
          <w:p>
            <w:pPr>
              <w:spacing w:after="0"/>
              <w:rPr>
                <w:sz w:val="10"/>
                <w:szCs w:val="10"/>
                <w:color w:val="auto"/>
              </w:rPr>
            </w:pPr>
          </w:p>
        </w:tc>
        <w:tc>
          <w:tcPr>
            <w:tcW w:w="4380" w:type="dxa"/>
            <w:vAlign w:val="bottom"/>
            <w:vMerge w:val="restart"/>
          </w:tcPr>
          <w:p>
            <w:pPr>
              <w:ind w:left="6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PSUs align compensation earned to the achievement of multi-</w:t>
            </w:r>
          </w:p>
        </w:tc>
        <w:tc>
          <w:tcPr>
            <w:tcW w:w="0" w:type="dxa"/>
            <w:vAlign w:val="bottom"/>
          </w:tcPr>
          <w:p>
            <w:pPr>
              <w:spacing w:after="0"/>
              <w:rPr>
                <w:sz w:val="1"/>
                <w:szCs w:val="1"/>
                <w:color w:val="auto"/>
              </w:rPr>
            </w:pPr>
          </w:p>
        </w:tc>
      </w:tr>
      <w:tr>
        <w:trPr>
          <w:trHeight w:val="87"/>
        </w:trPr>
        <w:tc>
          <w:tcPr>
            <w:tcW w:w="1560" w:type="dxa"/>
            <w:vAlign w:val="bottom"/>
          </w:tcPr>
          <w:p>
            <w:pPr>
              <w:spacing w:after="0"/>
              <w:rPr>
                <w:sz w:val="7"/>
                <w:szCs w:val="7"/>
                <w:color w:val="auto"/>
              </w:rPr>
            </w:pPr>
          </w:p>
        </w:tc>
        <w:tc>
          <w:tcPr>
            <w:tcW w:w="5300" w:type="dxa"/>
            <w:vAlign w:val="bottom"/>
            <w:vMerge w:val="restart"/>
          </w:tcPr>
          <w:p>
            <w:pPr>
              <w:ind w:left="8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RSUs generally vest over a 4-year period subject to executive officer’s</w:t>
            </w:r>
          </w:p>
        </w:tc>
        <w:tc>
          <w:tcPr>
            <w:tcW w:w="4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60" w:type="dxa"/>
            <w:vAlign w:val="bottom"/>
          </w:tcPr>
          <w:p>
            <w:pPr>
              <w:spacing w:after="0"/>
              <w:rPr>
                <w:sz w:val="9"/>
                <w:szCs w:val="9"/>
                <w:color w:val="auto"/>
              </w:rPr>
            </w:pPr>
          </w:p>
        </w:tc>
        <w:tc>
          <w:tcPr>
            <w:tcW w:w="5300" w:type="dxa"/>
            <w:vAlign w:val="bottom"/>
            <w:vMerge w:val="continue"/>
          </w:tcPr>
          <w:p>
            <w:pPr>
              <w:spacing w:after="0"/>
              <w:rPr>
                <w:sz w:val="9"/>
                <w:szCs w:val="9"/>
                <w:color w:val="auto"/>
              </w:rPr>
            </w:pPr>
          </w:p>
        </w:tc>
        <w:tc>
          <w:tcPr>
            <w:tcW w:w="4380" w:type="dxa"/>
            <w:vAlign w:val="bottom"/>
            <w:vMerge w:val="restart"/>
          </w:tcPr>
          <w:p>
            <w:pPr>
              <w:ind w:left="220"/>
              <w:spacing w:after="0"/>
              <w:rPr>
                <w:sz w:val="20"/>
                <w:szCs w:val="20"/>
                <w:color w:val="auto"/>
              </w:rPr>
            </w:pPr>
            <w:r>
              <w:rPr>
                <w:rFonts w:ascii="Arial" w:cs="Arial" w:eastAsia="Arial" w:hAnsi="Arial"/>
                <w:sz w:val="14"/>
                <w:szCs w:val="14"/>
                <w:color w:val="auto"/>
              </w:rPr>
              <w:t>year strategic objectives and share price performance versus</w:t>
            </w:r>
          </w:p>
        </w:tc>
        <w:tc>
          <w:tcPr>
            <w:tcW w:w="0" w:type="dxa"/>
            <w:vAlign w:val="bottom"/>
          </w:tcPr>
          <w:p>
            <w:pPr>
              <w:spacing w:after="0"/>
              <w:rPr>
                <w:sz w:val="1"/>
                <w:szCs w:val="1"/>
                <w:color w:val="auto"/>
              </w:rPr>
            </w:pPr>
          </w:p>
        </w:tc>
      </w:tr>
      <w:tr>
        <w:trPr>
          <w:trHeight w:val="54"/>
        </w:trPr>
        <w:tc>
          <w:tcPr>
            <w:tcW w:w="1560" w:type="dxa"/>
            <w:vAlign w:val="bottom"/>
          </w:tcPr>
          <w:p>
            <w:pPr>
              <w:spacing w:after="0"/>
              <w:rPr>
                <w:sz w:val="4"/>
                <w:szCs w:val="4"/>
                <w:color w:val="auto"/>
              </w:rPr>
            </w:pPr>
          </w:p>
        </w:tc>
        <w:tc>
          <w:tcPr>
            <w:tcW w:w="5300" w:type="dxa"/>
            <w:vAlign w:val="bottom"/>
            <w:vMerge w:val="restart"/>
          </w:tcPr>
          <w:p>
            <w:pPr>
              <w:ind w:left="240"/>
              <w:spacing w:after="0"/>
              <w:rPr>
                <w:sz w:val="20"/>
                <w:szCs w:val="20"/>
                <w:color w:val="auto"/>
              </w:rPr>
            </w:pPr>
            <w:r>
              <w:rPr>
                <w:rFonts w:ascii="Arial" w:cs="Arial" w:eastAsia="Arial" w:hAnsi="Arial"/>
                <w:sz w:val="14"/>
                <w:szCs w:val="14"/>
                <w:color w:val="auto"/>
              </w:rPr>
              <w:t>continued service for retention</w:t>
            </w:r>
          </w:p>
        </w:tc>
        <w:tc>
          <w:tcPr>
            <w:tcW w:w="4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1560" w:type="dxa"/>
            <w:vAlign w:val="bottom"/>
          </w:tcPr>
          <w:p>
            <w:pPr>
              <w:spacing w:after="0"/>
              <w:rPr>
                <w:sz w:val="11"/>
                <w:szCs w:val="11"/>
                <w:color w:val="auto"/>
              </w:rPr>
            </w:pPr>
          </w:p>
        </w:tc>
        <w:tc>
          <w:tcPr>
            <w:tcW w:w="5300" w:type="dxa"/>
            <w:vAlign w:val="bottom"/>
            <w:vMerge w:val="continue"/>
          </w:tcPr>
          <w:p>
            <w:pPr>
              <w:spacing w:after="0"/>
              <w:rPr>
                <w:sz w:val="11"/>
                <w:szCs w:val="11"/>
                <w:color w:val="auto"/>
              </w:rPr>
            </w:pPr>
          </w:p>
        </w:tc>
        <w:tc>
          <w:tcPr>
            <w:tcW w:w="4380" w:type="dxa"/>
            <w:vAlign w:val="bottom"/>
            <w:vMerge w:val="restart"/>
          </w:tcPr>
          <w:p>
            <w:pPr>
              <w:ind w:left="220"/>
              <w:spacing w:after="0"/>
              <w:rPr>
                <w:sz w:val="20"/>
                <w:szCs w:val="20"/>
                <w:color w:val="auto"/>
              </w:rPr>
            </w:pPr>
            <w:r>
              <w:rPr>
                <w:rFonts w:ascii="Arial" w:cs="Arial" w:eastAsia="Arial" w:hAnsi="Arial"/>
                <w:sz w:val="14"/>
                <w:szCs w:val="14"/>
                <w:color w:val="auto"/>
              </w:rPr>
              <w:t>peer companies</w:t>
            </w:r>
          </w:p>
        </w:tc>
        <w:tc>
          <w:tcPr>
            <w:tcW w:w="0" w:type="dxa"/>
            <w:vAlign w:val="bottom"/>
          </w:tcPr>
          <w:p>
            <w:pPr>
              <w:spacing w:after="0"/>
              <w:rPr>
                <w:sz w:val="1"/>
                <w:szCs w:val="1"/>
                <w:color w:val="auto"/>
              </w:rPr>
            </w:pPr>
          </w:p>
        </w:tc>
      </w:tr>
      <w:tr>
        <w:trPr>
          <w:trHeight w:val="54"/>
        </w:trPr>
        <w:tc>
          <w:tcPr>
            <w:tcW w:w="1560" w:type="dxa"/>
            <w:vAlign w:val="bottom"/>
          </w:tcPr>
          <w:p>
            <w:pPr>
              <w:spacing w:after="0"/>
              <w:rPr>
                <w:sz w:val="4"/>
                <w:szCs w:val="4"/>
                <w:color w:val="auto"/>
              </w:rPr>
            </w:pPr>
          </w:p>
        </w:tc>
        <w:tc>
          <w:tcPr>
            <w:tcW w:w="5300" w:type="dxa"/>
            <w:vAlign w:val="bottom"/>
            <w:vMerge w:val="restart"/>
          </w:tcPr>
          <w:p>
            <w:pPr>
              <w:ind w:left="8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Awards reviewed and generally granted annually, in the first quarter, or at</w:t>
            </w:r>
          </w:p>
        </w:tc>
        <w:tc>
          <w:tcPr>
            <w:tcW w:w="4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3"/>
                <w:szCs w:val="13"/>
                <w:color w:val="auto"/>
              </w:rPr>
            </w:pPr>
          </w:p>
        </w:tc>
        <w:tc>
          <w:tcPr>
            <w:tcW w:w="5300" w:type="dxa"/>
            <w:vAlign w:val="bottom"/>
            <w:vMerge w:val="continue"/>
          </w:tcPr>
          <w:p>
            <w:pPr>
              <w:spacing w:after="0"/>
              <w:rPr>
                <w:sz w:val="13"/>
                <w:szCs w:val="13"/>
                <w:color w:val="auto"/>
              </w:rPr>
            </w:pPr>
          </w:p>
        </w:tc>
        <w:tc>
          <w:tcPr>
            <w:tcW w:w="4380" w:type="dxa"/>
            <w:vAlign w:val="bottom"/>
            <w:vMerge w:val="restart"/>
          </w:tcPr>
          <w:p>
            <w:pPr>
              <w:ind w:left="6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RSUs assist with managing dilution for our shareholders, while</w:t>
            </w:r>
          </w:p>
        </w:tc>
        <w:tc>
          <w:tcPr>
            <w:tcW w:w="0" w:type="dxa"/>
            <w:vAlign w:val="bottom"/>
          </w:tcPr>
          <w:p>
            <w:pPr>
              <w:spacing w:after="0"/>
              <w:rPr>
                <w:sz w:val="1"/>
                <w:szCs w:val="1"/>
                <w:color w:val="auto"/>
              </w:rPr>
            </w:pPr>
          </w:p>
        </w:tc>
      </w:tr>
      <w:tr>
        <w:trPr>
          <w:trHeight w:val="54"/>
        </w:trPr>
        <w:tc>
          <w:tcPr>
            <w:tcW w:w="1560" w:type="dxa"/>
            <w:vAlign w:val="bottom"/>
          </w:tcPr>
          <w:p>
            <w:pPr>
              <w:spacing w:after="0"/>
              <w:rPr>
                <w:sz w:val="4"/>
                <w:szCs w:val="4"/>
                <w:color w:val="auto"/>
              </w:rPr>
            </w:pPr>
          </w:p>
        </w:tc>
        <w:tc>
          <w:tcPr>
            <w:tcW w:w="5300" w:type="dxa"/>
            <w:vAlign w:val="bottom"/>
            <w:vMerge w:val="restart"/>
          </w:tcPr>
          <w:p>
            <w:pPr>
              <w:ind w:left="240"/>
              <w:spacing w:after="0"/>
              <w:rPr>
                <w:sz w:val="20"/>
                <w:szCs w:val="20"/>
                <w:color w:val="auto"/>
              </w:rPr>
            </w:pPr>
            <w:r>
              <w:rPr>
                <w:rFonts w:ascii="Arial" w:cs="Arial" w:eastAsia="Arial" w:hAnsi="Arial"/>
                <w:sz w:val="14"/>
                <w:szCs w:val="14"/>
                <w:color w:val="auto"/>
              </w:rPr>
              <w:t>the time of hire or promotion</w:t>
            </w:r>
          </w:p>
        </w:tc>
        <w:tc>
          <w:tcPr>
            <w:tcW w:w="4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1560" w:type="dxa"/>
            <w:vAlign w:val="bottom"/>
          </w:tcPr>
          <w:p>
            <w:pPr>
              <w:spacing w:after="0"/>
              <w:rPr>
                <w:sz w:val="11"/>
                <w:szCs w:val="11"/>
                <w:color w:val="auto"/>
              </w:rPr>
            </w:pPr>
          </w:p>
        </w:tc>
        <w:tc>
          <w:tcPr>
            <w:tcW w:w="5300" w:type="dxa"/>
            <w:vAlign w:val="bottom"/>
            <w:vMerge w:val="continue"/>
          </w:tcPr>
          <w:p>
            <w:pPr>
              <w:spacing w:after="0"/>
              <w:rPr>
                <w:sz w:val="11"/>
                <w:szCs w:val="11"/>
                <w:color w:val="auto"/>
              </w:rPr>
            </w:pPr>
          </w:p>
        </w:tc>
        <w:tc>
          <w:tcPr>
            <w:tcW w:w="4380" w:type="dxa"/>
            <w:vAlign w:val="bottom"/>
            <w:vMerge w:val="restart"/>
          </w:tcPr>
          <w:p>
            <w:pPr>
              <w:ind w:left="220"/>
              <w:spacing w:after="0"/>
              <w:rPr>
                <w:sz w:val="20"/>
                <w:szCs w:val="20"/>
                <w:color w:val="auto"/>
              </w:rPr>
            </w:pPr>
            <w:r>
              <w:rPr>
                <w:rFonts w:ascii="Arial" w:cs="Arial" w:eastAsia="Arial" w:hAnsi="Arial"/>
                <w:sz w:val="14"/>
                <w:szCs w:val="14"/>
                <w:color w:val="auto"/>
              </w:rPr>
              <w:t>reinforcing the importance of shareholder value creation over</w:t>
            </w:r>
          </w:p>
        </w:tc>
        <w:tc>
          <w:tcPr>
            <w:tcW w:w="0" w:type="dxa"/>
            <w:vAlign w:val="bottom"/>
          </w:tcPr>
          <w:p>
            <w:pPr>
              <w:spacing w:after="0"/>
              <w:rPr>
                <w:sz w:val="1"/>
                <w:szCs w:val="1"/>
                <w:color w:val="auto"/>
              </w:rPr>
            </w:pPr>
          </w:p>
        </w:tc>
      </w:tr>
      <w:tr>
        <w:trPr>
          <w:trHeight w:val="39"/>
        </w:trPr>
        <w:tc>
          <w:tcPr>
            <w:tcW w:w="1560" w:type="dxa"/>
            <w:vAlign w:val="bottom"/>
          </w:tcPr>
          <w:p>
            <w:pPr>
              <w:spacing w:after="0"/>
              <w:rPr>
                <w:sz w:val="3"/>
                <w:szCs w:val="3"/>
                <w:color w:val="auto"/>
              </w:rPr>
            </w:pPr>
          </w:p>
        </w:tc>
        <w:tc>
          <w:tcPr>
            <w:tcW w:w="5300" w:type="dxa"/>
            <w:vAlign w:val="bottom"/>
          </w:tcPr>
          <w:p>
            <w:pPr>
              <w:spacing w:after="0"/>
              <w:rPr>
                <w:sz w:val="3"/>
                <w:szCs w:val="3"/>
                <w:color w:val="auto"/>
              </w:rPr>
            </w:pPr>
          </w:p>
        </w:tc>
        <w:tc>
          <w:tcPr>
            <w:tcW w:w="4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5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4380" w:type="dxa"/>
            <w:vAlign w:val="bottom"/>
          </w:tcPr>
          <w:p>
            <w:pPr>
              <w:ind w:left="220"/>
              <w:spacing w:after="0"/>
              <w:rPr>
                <w:sz w:val="20"/>
                <w:szCs w:val="20"/>
                <w:color w:val="auto"/>
              </w:rPr>
            </w:pPr>
            <w:r>
              <w:rPr>
                <w:rFonts w:ascii="Arial" w:cs="Arial" w:eastAsia="Arial" w:hAnsi="Arial"/>
                <w:sz w:val="14"/>
                <w:szCs w:val="14"/>
                <w:color w:val="auto"/>
              </w:rPr>
              <w:t>time</w:t>
            </w:r>
          </w:p>
        </w:tc>
        <w:tc>
          <w:tcPr>
            <w:tcW w:w="0" w:type="dxa"/>
            <w:vAlign w:val="bottom"/>
          </w:tcPr>
          <w:p>
            <w:pPr>
              <w:spacing w:after="0"/>
              <w:rPr>
                <w:sz w:val="1"/>
                <w:szCs w:val="1"/>
                <w:color w:val="auto"/>
              </w:rPr>
            </w:pPr>
          </w:p>
        </w:tc>
      </w:tr>
      <w:tr>
        <w:trPr>
          <w:trHeight w:val="201"/>
        </w:trPr>
        <w:tc>
          <w:tcPr>
            <w:tcW w:w="156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4380" w:type="dxa"/>
            <w:vAlign w:val="bottom"/>
          </w:tcPr>
          <w:p>
            <w:pPr>
              <w:ind w:left="60"/>
              <w:spacing w:after="0"/>
              <w:rPr>
                <w:sz w:val="20"/>
                <w:szCs w:val="20"/>
                <w:color w:val="auto"/>
              </w:rPr>
            </w:pPr>
            <w:r>
              <w:rPr>
                <w:rFonts w:ascii="Arial" w:cs="Arial" w:eastAsia="Arial" w:hAnsi="Arial"/>
                <w:sz w:val="14"/>
                <w:szCs w:val="14"/>
                <w:b w:val="1"/>
                <w:bCs w:val="1"/>
                <w:color w:val="5673B8"/>
              </w:rPr>
              <w:t xml:space="preserve">•  </w:t>
            </w:r>
            <w:r>
              <w:rPr>
                <w:rFonts w:ascii="Arial" w:cs="Arial" w:eastAsia="Arial" w:hAnsi="Arial"/>
                <w:sz w:val="14"/>
                <w:szCs w:val="14"/>
                <w:color w:val="000000"/>
              </w:rPr>
              <w:t>Executive share ownership guidelines to further support our</w:t>
            </w:r>
          </w:p>
        </w:tc>
        <w:tc>
          <w:tcPr>
            <w:tcW w:w="0" w:type="dxa"/>
            <w:vAlign w:val="bottom"/>
          </w:tcPr>
          <w:p>
            <w:pPr>
              <w:spacing w:after="0"/>
              <w:rPr>
                <w:sz w:val="1"/>
                <w:szCs w:val="1"/>
                <w:color w:val="auto"/>
              </w:rPr>
            </w:pPr>
          </w:p>
        </w:tc>
      </w:tr>
      <w:tr>
        <w:trPr>
          <w:trHeight w:val="176"/>
        </w:trPr>
        <w:tc>
          <w:tcPr>
            <w:tcW w:w="156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4380" w:type="dxa"/>
            <w:vAlign w:val="bottom"/>
          </w:tcPr>
          <w:p>
            <w:pPr>
              <w:ind w:left="220"/>
              <w:spacing w:after="0"/>
              <w:rPr>
                <w:sz w:val="20"/>
                <w:szCs w:val="20"/>
                <w:color w:val="auto"/>
              </w:rPr>
            </w:pPr>
            <w:r>
              <w:rPr>
                <w:rFonts w:ascii="Arial" w:cs="Arial" w:eastAsia="Arial" w:hAnsi="Arial"/>
                <w:sz w:val="14"/>
                <w:szCs w:val="14"/>
                <w:color w:val="auto"/>
              </w:rPr>
              <w:t>ownership culture and align the interests of executive officers</w:t>
            </w:r>
          </w:p>
        </w:tc>
        <w:tc>
          <w:tcPr>
            <w:tcW w:w="0" w:type="dxa"/>
            <w:vAlign w:val="bottom"/>
          </w:tcPr>
          <w:p>
            <w:pPr>
              <w:spacing w:after="0"/>
              <w:rPr>
                <w:sz w:val="1"/>
                <w:szCs w:val="1"/>
                <w:color w:val="auto"/>
              </w:rPr>
            </w:pPr>
          </w:p>
        </w:tc>
      </w:tr>
      <w:tr>
        <w:trPr>
          <w:trHeight w:val="190"/>
        </w:trPr>
        <w:tc>
          <w:tcPr>
            <w:tcW w:w="15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4380" w:type="dxa"/>
            <w:vAlign w:val="bottom"/>
          </w:tcPr>
          <w:p>
            <w:pPr>
              <w:ind w:left="220"/>
              <w:spacing w:after="0"/>
              <w:rPr>
                <w:sz w:val="20"/>
                <w:szCs w:val="20"/>
                <w:color w:val="auto"/>
              </w:rPr>
            </w:pPr>
            <w:r>
              <w:rPr>
                <w:rFonts w:ascii="Arial" w:cs="Arial" w:eastAsia="Arial" w:hAnsi="Arial"/>
                <w:sz w:val="14"/>
                <w:szCs w:val="14"/>
                <w:color w:val="auto"/>
              </w:rPr>
              <w:t>and shareholders</w:t>
            </w:r>
          </w:p>
        </w:tc>
        <w:tc>
          <w:tcPr>
            <w:tcW w:w="0" w:type="dxa"/>
            <w:vAlign w:val="bottom"/>
          </w:tcPr>
          <w:p>
            <w:pPr>
              <w:spacing w:after="0"/>
              <w:rPr>
                <w:sz w:val="1"/>
                <w:szCs w:val="1"/>
                <w:color w:val="auto"/>
              </w:rPr>
            </w:pPr>
          </w:p>
        </w:tc>
      </w:tr>
      <w:tr>
        <w:trPr>
          <w:trHeight w:val="76"/>
        </w:trPr>
        <w:tc>
          <w:tcPr>
            <w:tcW w:w="1560" w:type="dxa"/>
            <w:vAlign w:val="bottom"/>
            <w:tcBorders>
              <w:bottom w:val="single" w:sz="8" w:color="852166"/>
            </w:tcBorders>
          </w:tcPr>
          <w:p>
            <w:pPr>
              <w:spacing w:after="0"/>
              <w:rPr>
                <w:sz w:val="6"/>
                <w:szCs w:val="6"/>
                <w:color w:val="auto"/>
              </w:rPr>
            </w:pPr>
          </w:p>
        </w:tc>
        <w:tc>
          <w:tcPr>
            <w:tcW w:w="5300" w:type="dxa"/>
            <w:vAlign w:val="bottom"/>
            <w:tcBorders>
              <w:bottom w:val="single" w:sz="8" w:color="852166"/>
            </w:tcBorders>
          </w:tcPr>
          <w:p>
            <w:pPr>
              <w:spacing w:after="0"/>
              <w:rPr>
                <w:sz w:val="6"/>
                <w:szCs w:val="6"/>
                <w:color w:val="auto"/>
              </w:rPr>
            </w:pPr>
          </w:p>
        </w:tc>
        <w:tc>
          <w:tcPr>
            <w:tcW w:w="4380" w:type="dxa"/>
            <w:vAlign w:val="bottom"/>
            <w:tcBorders>
              <w:bottom w:val="single" w:sz="8" w:color="852166"/>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Other Benefits</w:t>
      </w:r>
    </w:p>
    <w:p>
      <w:pPr>
        <w:spacing w:after="0" w:line="15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We also offer our executive officers severance benefits upon certain types of involuntary terminations as described below. Executive officers based in the U.S. are eligible to participate in all our employee benefit plans, such as the 401(k) Plan (see the section below titled “</w:t>
      </w:r>
      <w:r>
        <w:rPr>
          <w:rFonts w:ascii="Arial" w:cs="Arial" w:eastAsia="Arial" w:hAnsi="Arial"/>
          <w:sz w:val="16"/>
          <w:szCs w:val="16"/>
          <w:i w:val="1"/>
          <w:iCs w:val="1"/>
          <w:color w:val="auto"/>
        </w:rPr>
        <w:t>Description of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Arrangements–401(k) Plan</w:t>
      </w:r>
      <w:r>
        <w:rPr>
          <w:rFonts w:ascii="Arial" w:cs="Arial" w:eastAsia="Arial" w:hAnsi="Arial"/>
          <w:sz w:val="16"/>
          <w:szCs w:val="16"/>
          <w:color w:val="auto"/>
        </w:rPr>
        <w:t>”), our medical, dental, vision, short-term disability, long-term disability, group life insurance plans and other tax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reimbursement plans, in each case on the same basis as other employees. Executive officers are eligible to participate in our ESPP on the same basis as other employees. We do not currently offer defined benefit pension or other retirement benefits in the U.S.; for executive officers based outside the U.S. we offer pension or other retirement benefits that are consistent with local regulations and on the same basis as other employees in such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167640</wp:posOffset>
            </wp:positionV>
            <wp:extent cx="1242695" cy="2057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57</w:t>
            </w:r>
          </w:p>
        </w:tc>
      </w:tr>
      <w:tr>
        <w:trPr>
          <w:trHeight w:val="494"/>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65" w:name="page66"/>
    <w:bookmarkEnd w:id="65"/>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Severance Benefits</w:t>
      </w:r>
    </w:p>
    <w:p>
      <w:pPr>
        <w:spacing w:after="0" w:line="158" w:lineRule="exact"/>
        <w:rPr>
          <w:sz w:val="20"/>
          <w:szCs w:val="20"/>
          <w:color w:val="auto"/>
        </w:rPr>
      </w:pPr>
    </w:p>
    <w:p>
      <w:pPr>
        <w:ind w:right="400"/>
        <w:spacing w:after="0" w:line="295" w:lineRule="auto"/>
        <w:rPr>
          <w:sz w:val="20"/>
          <w:szCs w:val="20"/>
          <w:color w:val="auto"/>
        </w:rPr>
      </w:pPr>
      <w:r>
        <w:rPr>
          <w:rFonts w:ascii="Arial" w:cs="Arial" w:eastAsia="Arial" w:hAnsi="Arial"/>
          <w:sz w:val="16"/>
          <w:szCs w:val="16"/>
          <w:color w:val="auto"/>
        </w:rPr>
        <w:t>Executive officers are also eligible to participate in the CIC Plan which is described below under the headings “</w:t>
      </w:r>
      <w:r>
        <w:rPr>
          <w:rFonts w:ascii="Arial" w:cs="Arial" w:eastAsia="Arial" w:hAnsi="Arial"/>
          <w:sz w:val="16"/>
          <w:szCs w:val="16"/>
          <w:i w:val="1"/>
          <w:iCs w:val="1"/>
          <w:color w:val="auto"/>
        </w:rPr>
        <w:t>Additional Compensation 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Change in Control Plan and Severance Plan</w:t>
      </w:r>
      <w:r>
        <w:rPr>
          <w:rFonts w:ascii="Arial" w:cs="Arial" w:eastAsia="Arial" w:hAnsi="Arial"/>
          <w:sz w:val="16"/>
          <w:szCs w:val="16"/>
          <w:color w:val="auto"/>
        </w:rPr>
        <w:t>” and “</w:t>
      </w:r>
      <w:r>
        <w:rPr>
          <w:rFonts w:ascii="Arial" w:cs="Arial" w:eastAsia="Arial" w:hAnsi="Arial"/>
          <w:sz w:val="16"/>
          <w:szCs w:val="16"/>
          <w:i w:val="1"/>
          <w:iCs w:val="1"/>
          <w:color w:val="auto"/>
        </w:rPr>
        <w:t>Potential Payments upon Termination or Change in Control—Change in Control Plan</w:t>
      </w:r>
      <w:r>
        <w:rPr>
          <w:rFonts w:ascii="Arial" w:cs="Arial" w:eastAsia="Arial" w:hAnsi="Arial"/>
          <w:sz w:val="16"/>
          <w:szCs w:val="16"/>
          <w:color w:val="auto"/>
        </w:rPr>
        <w:t>.” The CIC Plan</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certain severance benefits to participants, in connection with specified involuntary termination events, including termination without cause and constructive termination, following a CIC.</w:t>
      </w:r>
    </w:p>
    <w:p>
      <w:pPr>
        <w:spacing w:after="0" w:line="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Given the frequency of consolidation in the biopharmaceutical industry, our Compensation Committee believes these severance benefits are important from a retention perspective to provide some level of protection to our executives who might be terminated following a CIC and that the amounts are reasonable and maintain the competitiveness of our executive compensation and retention program. Our Compensation Committee believes this structure serves to mitigate the distraction and loss of key executive officers that may occur in connection with rumored or actual fundamental corporate changes. Such payments protect the interests of our shareholders by enhancing executive focus during rumored or actual CIC activity, retaining executives despite the uncertainty that generally exists while a transaction is under consideration and encouraging the executives responsible for negotiating potential transactions to do so with independence and objectivity. In addition, in April 2025, we adopted a Severance Plan which provides executive officers who serve on our EC, other than our CEO, certain severance benefits upon a termination without cause that is not in connection with a CIC, which is described below under the headings “</w:t>
      </w:r>
      <w:r>
        <w:rPr>
          <w:rFonts w:ascii="Arial" w:cs="Arial" w:eastAsia="Arial" w:hAnsi="Arial"/>
          <w:sz w:val="16"/>
          <w:szCs w:val="16"/>
          <w:i w:val="1"/>
          <w:iCs w:val="1"/>
          <w:color w:val="auto"/>
        </w:rPr>
        <w:t>Additional Compensation Information—Change in Control Plan and Severance Plan”</w:t>
      </w:r>
      <w:r>
        <w:rPr>
          <w:rFonts w:ascii="Arial" w:cs="Arial" w:eastAsia="Arial" w:hAnsi="Arial"/>
          <w:sz w:val="16"/>
          <w:szCs w:val="16"/>
          <w:color w:val="auto"/>
        </w:rPr>
        <w:t xml:space="preserve"> and “</w:t>
      </w:r>
      <w:r>
        <w:rPr>
          <w:rFonts w:ascii="Arial" w:cs="Arial" w:eastAsia="Arial" w:hAnsi="Arial"/>
          <w:sz w:val="16"/>
          <w:szCs w:val="16"/>
          <w:i w:val="1"/>
          <w:iCs w:val="1"/>
          <w:color w:val="auto"/>
        </w:rPr>
        <w:t>Potential Payments upon Termination or Change in</w:t>
      </w:r>
      <w:r>
        <w:rPr>
          <w:rFonts w:ascii="Arial" w:cs="Arial" w:eastAsia="Arial" w:hAnsi="Arial"/>
          <w:sz w:val="16"/>
          <w:szCs w:val="16"/>
          <w:color w:val="auto"/>
        </w:rPr>
        <w:t xml:space="preserve"> </w:t>
      </w:r>
      <w:r>
        <w:rPr>
          <w:rFonts w:ascii="Arial" w:cs="Arial" w:eastAsia="Arial" w:hAnsi="Arial"/>
          <w:sz w:val="16"/>
          <w:szCs w:val="16"/>
          <w:i w:val="1"/>
          <w:iCs w:val="1"/>
          <w:color w:val="auto"/>
        </w:rPr>
        <w:t>Control—Severance Plan</w:t>
      </w:r>
      <w:r>
        <w:rPr>
          <w:rFonts w:ascii="Arial" w:cs="Arial" w:eastAsia="Arial" w:hAnsi="Arial"/>
          <w:sz w:val="16"/>
          <w:szCs w:val="16"/>
          <w:color w:val="auto"/>
        </w:rPr>
        <w:t>.” We do not provide any tax gross up payments on severance benefits.</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color w:val="852166"/>
        </w:rPr>
        <w:t>Goals for and Achievement of 2025 Performance-Based Compensation</w:t>
      </w:r>
    </w:p>
    <w:p>
      <w:pPr>
        <w:spacing w:after="0" w:line="17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For 2025, our annual performance bonus opportunity and the PSU awards were aligned with the annual and long-term performance objectives and methodology established by our Compensation Committee. The following section describes the performance objectives, discrete goals, payout ranges, and, with respect to the annual performance bonus program, our actual performance achievement.</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2025 Performance Bonus Program</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corporate objectives and relative weightings established by our Compensation Committee for the 2025 performance bonus program and communicated to the NEOs in early 2025 consisted of three pillars of corporate objectives with multiple discrete goals, as described in the table below. Overall achievement could range from 0% to 200%, in aggregate, for the corporate objectives, with the individual total awards under the 2025 performance bonus program capped at 300% of the NEO’s target award for our NEOs other than our CEO. For the CEO, the actual bonus is determined based solely on the achievement of the pre-established corporate objectives with the award capped at 200% of target, which was also applicable for our former CEO, Mr. Cozadd.</w:t>
      </w:r>
    </w:p>
    <w:p>
      <w:pPr>
        <w:spacing w:after="0" w:line="11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 approving individual bonus awards, our Compensation Committee subjectively considered the individual contribution towards our achievement of the corporate objectives by each executive officer (other than our CEO). In approving individual bonus awards for NEOs (other than our CEO), our Compensation Committee, considering recommendations from our CEO, considered each executive’s contributions to key business objectives, leadership effectiveness, and performance relative to their functional responsibilities. Our Compensation Committee applied a consistent evaluative framework to assess performance across areas such as operational execution, strategic initiatives, talent development, and cross-functional collaboration.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Individual bonus awards are determined in accordance with the following methodology: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377"/>
        </w:trPr>
        <w:tc>
          <w:tcPr>
            <w:tcW w:w="280" w:type="dxa"/>
            <w:vAlign w:val="bottom"/>
            <w:shd w:val="clear" w:color="auto" w:fill="F0F0F0"/>
          </w:tcPr>
          <w:p>
            <w:pPr>
              <w:spacing w:after="0"/>
              <w:rPr>
                <w:sz w:val="24"/>
                <w:szCs w:val="24"/>
                <w:color w:val="auto"/>
              </w:rPr>
            </w:pPr>
          </w:p>
        </w:tc>
        <w:tc>
          <w:tcPr>
            <w:tcW w:w="1300" w:type="dxa"/>
            <w:vAlign w:val="bottom"/>
            <w:vMerge w:val="restart"/>
            <w:shd w:val="clear" w:color="auto" w:fill="F0F0F0"/>
          </w:tcPr>
          <w:p>
            <w:pPr>
              <w:jc w:val="center"/>
              <w:ind w:right="182"/>
              <w:spacing w:after="0"/>
              <w:rPr>
                <w:sz w:val="20"/>
                <w:szCs w:val="20"/>
                <w:color w:val="auto"/>
              </w:rPr>
            </w:pPr>
            <w:r>
              <w:rPr>
                <w:rFonts w:ascii="Arial" w:cs="Arial" w:eastAsia="Arial" w:hAnsi="Arial"/>
                <w:sz w:val="16"/>
                <w:szCs w:val="16"/>
                <w:b w:val="1"/>
                <w:bCs w:val="1"/>
                <w:color w:val="636466"/>
              </w:rPr>
              <w:t>Annual</w:t>
            </w:r>
          </w:p>
        </w:tc>
        <w:tc>
          <w:tcPr>
            <w:tcW w:w="600" w:type="dxa"/>
            <w:vAlign w:val="bottom"/>
            <w:vMerge w:val="restart"/>
          </w:tcPr>
          <w:p>
            <w:pPr>
              <w:ind w:left="200"/>
              <w:spacing w:after="0"/>
              <w:rPr>
                <w:sz w:val="20"/>
                <w:szCs w:val="20"/>
                <w:color w:val="auto"/>
              </w:rPr>
            </w:pPr>
            <w:r>
              <w:rPr>
                <w:rFonts w:ascii="Arial" w:cs="Arial" w:eastAsia="Arial" w:hAnsi="Arial"/>
                <w:sz w:val="43"/>
                <w:szCs w:val="43"/>
                <w:color w:val="001C71"/>
              </w:rPr>
              <w:t>x</w:t>
            </w:r>
          </w:p>
        </w:tc>
        <w:tc>
          <w:tcPr>
            <w:tcW w:w="280" w:type="dxa"/>
            <w:vAlign w:val="bottom"/>
            <w:shd w:val="clear" w:color="auto" w:fill="F0F0F0"/>
          </w:tcPr>
          <w:p>
            <w:pPr>
              <w:spacing w:after="0"/>
              <w:rPr>
                <w:sz w:val="24"/>
                <w:szCs w:val="24"/>
                <w:color w:val="auto"/>
              </w:rPr>
            </w:pPr>
          </w:p>
        </w:tc>
        <w:tc>
          <w:tcPr>
            <w:tcW w:w="1120" w:type="dxa"/>
            <w:vAlign w:val="bottom"/>
            <w:vMerge w:val="restart"/>
            <w:shd w:val="clear" w:color="auto" w:fill="F0F0F0"/>
          </w:tcPr>
          <w:p>
            <w:pPr>
              <w:jc w:val="center"/>
              <w:ind w:right="199"/>
              <w:spacing w:after="0"/>
              <w:rPr>
                <w:sz w:val="20"/>
                <w:szCs w:val="20"/>
                <w:color w:val="auto"/>
              </w:rPr>
            </w:pPr>
            <w:r>
              <w:rPr>
                <w:rFonts w:ascii="Arial" w:cs="Arial" w:eastAsia="Arial" w:hAnsi="Arial"/>
                <w:sz w:val="16"/>
                <w:szCs w:val="16"/>
                <w:b w:val="1"/>
                <w:bCs w:val="1"/>
                <w:color w:val="636466"/>
                <w:w w:val="98"/>
              </w:rPr>
              <w:t>Target</w:t>
            </w:r>
          </w:p>
        </w:tc>
        <w:tc>
          <w:tcPr>
            <w:tcW w:w="580" w:type="dxa"/>
            <w:vAlign w:val="bottom"/>
            <w:vMerge w:val="restart"/>
          </w:tcPr>
          <w:p>
            <w:pPr>
              <w:ind w:left="180"/>
              <w:spacing w:after="0"/>
              <w:rPr>
                <w:sz w:val="20"/>
                <w:szCs w:val="20"/>
                <w:color w:val="auto"/>
              </w:rPr>
            </w:pPr>
            <w:r>
              <w:rPr>
                <w:rFonts w:ascii="Arial" w:cs="Arial" w:eastAsia="Arial" w:hAnsi="Arial"/>
                <w:sz w:val="43"/>
                <w:szCs w:val="43"/>
                <w:color w:val="001C71"/>
              </w:rPr>
              <w:t>x</w:t>
            </w:r>
          </w:p>
        </w:tc>
        <w:tc>
          <w:tcPr>
            <w:tcW w:w="2120" w:type="dxa"/>
            <w:vAlign w:val="bottom"/>
            <w:shd w:val="clear" w:color="auto" w:fill="F0F0F0"/>
          </w:tcPr>
          <w:p>
            <w:pPr>
              <w:jc w:val="center"/>
              <w:spacing w:after="0"/>
              <w:rPr>
                <w:sz w:val="20"/>
                <w:szCs w:val="20"/>
                <w:color w:val="auto"/>
              </w:rPr>
            </w:pPr>
            <w:r>
              <w:rPr>
                <w:rFonts w:ascii="Arial" w:cs="Arial" w:eastAsia="Arial" w:hAnsi="Arial"/>
                <w:sz w:val="16"/>
                <w:szCs w:val="16"/>
                <w:b w:val="1"/>
                <w:bCs w:val="1"/>
                <w:color w:val="636466"/>
              </w:rPr>
              <w:t>Company</w:t>
            </w:r>
          </w:p>
        </w:tc>
        <w:tc>
          <w:tcPr>
            <w:tcW w:w="600" w:type="dxa"/>
            <w:vAlign w:val="bottom"/>
            <w:vMerge w:val="restart"/>
          </w:tcPr>
          <w:p>
            <w:pPr>
              <w:ind w:left="200"/>
              <w:spacing w:after="0"/>
              <w:rPr>
                <w:sz w:val="20"/>
                <w:szCs w:val="20"/>
                <w:color w:val="auto"/>
              </w:rPr>
            </w:pPr>
            <w:r>
              <w:rPr>
                <w:rFonts w:ascii="Arial" w:cs="Arial" w:eastAsia="Arial" w:hAnsi="Arial"/>
                <w:sz w:val="43"/>
                <w:szCs w:val="43"/>
                <w:color w:val="001C71"/>
              </w:rPr>
              <w:t>x</w:t>
            </w:r>
          </w:p>
        </w:tc>
        <w:tc>
          <w:tcPr>
            <w:tcW w:w="2000" w:type="dxa"/>
            <w:vAlign w:val="bottom"/>
            <w:shd w:val="clear" w:color="auto" w:fill="F0F0F0"/>
          </w:tcPr>
          <w:p>
            <w:pPr>
              <w:jc w:val="center"/>
              <w:spacing w:after="0"/>
              <w:rPr>
                <w:sz w:val="20"/>
                <w:szCs w:val="20"/>
                <w:color w:val="auto"/>
              </w:rPr>
            </w:pPr>
            <w:r>
              <w:rPr>
                <w:rFonts w:ascii="Arial" w:cs="Arial" w:eastAsia="Arial" w:hAnsi="Arial"/>
                <w:sz w:val="16"/>
                <w:szCs w:val="16"/>
                <w:b w:val="1"/>
                <w:bCs w:val="1"/>
                <w:color w:val="636466"/>
              </w:rPr>
              <w:t>Individual</w:t>
            </w:r>
          </w:p>
        </w:tc>
        <w:tc>
          <w:tcPr>
            <w:tcW w:w="560" w:type="dxa"/>
            <w:vAlign w:val="bottom"/>
            <w:vMerge w:val="restart"/>
          </w:tcPr>
          <w:p>
            <w:pPr>
              <w:jc w:val="right"/>
              <w:spacing w:after="0"/>
              <w:rPr>
                <w:sz w:val="20"/>
                <w:szCs w:val="20"/>
                <w:color w:val="auto"/>
              </w:rPr>
            </w:pPr>
            <w:r>
              <w:rPr>
                <w:rFonts w:ascii="Arial" w:cs="Arial" w:eastAsia="Arial" w:hAnsi="Arial"/>
                <w:sz w:val="43"/>
                <w:szCs w:val="43"/>
                <w:color w:val="001C71"/>
              </w:rPr>
              <w:t>=</w:t>
            </w:r>
          </w:p>
        </w:tc>
        <w:tc>
          <w:tcPr>
            <w:tcW w:w="1800" w:type="dxa"/>
            <w:vAlign w:val="bottom"/>
            <w:vMerge w:val="restart"/>
            <w:shd w:val="clear" w:color="auto" w:fill="852166"/>
          </w:tcPr>
          <w:p>
            <w:pPr>
              <w:jc w:val="center"/>
              <w:spacing w:after="0"/>
              <w:rPr>
                <w:sz w:val="20"/>
                <w:szCs w:val="20"/>
                <w:color w:val="auto"/>
              </w:rPr>
            </w:pPr>
            <w:r>
              <w:rPr>
                <w:rFonts w:ascii="Arial" w:cs="Arial" w:eastAsia="Arial" w:hAnsi="Arial"/>
                <w:sz w:val="16"/>
                <w:szCs w:val="16"/>
                <w:b w:val="1"/>
                <w:bCs w:val="1"/>
                <w:color w:val="FFFFFF"/>
              </w:rPr>
              <w:t>Final</w:t>
            </w:r>
          </w:p>
        </w:tc>
        <w:tc>
          <w:tcPr>
            <w:tcW w:w="0" w:type="dxa"/>
            <w:vAlign w:val="bottom"/>
          </w:tcPr>
          <w:p>
            <w:pPr>
              <w:spacing w:after="0"/>
              <w:rPr>
                <w:sz w:val="1"/>
                <w:szCs w:val="1"/>
                <w:color w:val="auto"/>
              </w:rPr>
            </w:pPr>
          </w:p>
        </w:tc>
      </w:tr>
      <w:tr>
        <w:trPr>
          <w:trHeight w:val="95"/>
        </w:trPr>
        <w:tc>
          <w:tcPr>
            <w:tcW w:w="280" w:type="dxa"/>
            <w:vAlign w:val="bottom"/>
            <w:shd w:val="clear" w:color="auto" w:fill="F0F0F0"/>
          </w:tcPr>
          <w:p>
            <w:pPr>
              <w:spacing w:after="0"/>
              <w:rPr>
                <w:sz w:val="8"/>
                <w:szCs w:val="8"/>
                <w:color w:val="auto"/>
              </w:rPr>
            </w:pPr>
          </w:p>
        </w:tc>
        <w:tc>
          <w:tcPr>
            <w:tcW w:w="1300" w:type="dxa"/>
            <w:vAlign w:val="bottom"/>
            <w:vMerge w:val="continue"/>
            <w:shd w:val="clear" w:color="auto" w:fill="F0F0F0"/>
          </w:tcPr>
          <w:p>
            <w:pPr>
              <w:spacing w:after="0"/>
              <w:rPr>
                <w:sz w:val="8"/>
                <w:szCs w:val="8"/>
                <w:color w:val="auto"/>
              </w:rPr>
            </w:pPr>
          </w:p>
        </w:tc>
        <w:tc>
          <w:tcPr>
            <w:tcW w:w="600" w:type="dxa"/>
            <w:vAlign w:val="bottom"/>
            <w:vMerge w:val="continue"/>
          </w:tcPr>
          <w:p>
            <w:pPr>
              <w:spacing w:after="0"/>
              <w:rPr>
                <w:sz w:val="8"/>
                <w:szCs w:val="8"/>
                <w:color w:val="auto"/>
              </w:rPr>
            </w:pPr>
          </w:p>
        </w:tc>
        <w:tc>
          <w:tcPr>
            <w:tcW w:w="280" w:type="dxa"/>
            <w:vAlign w:val="bottom"/>
            <w:shd w:val="clear" w:color="auto" w:fill="F0F0F0"/>
          </w:tcPr>
          <w:p>
            <w:pPr>
              <w:spacing w:after="0"/>
              <w:rPr>
                <w:sz w:val="8"/>
                <w:szCs w:val="8"/>
                <w:color w:val="auto"/>
              </w:rPr>
            </w:pPr>
          </w:p>
        </w:tc>
        <w:tc>
          <w:tcPr>
            <w:tcW w:w="1120" w:type="dxa"/>
            <w:vAlign w:val="bottom"/>
            <w:vMerge w:val="continue"/>
            <w:shd w:val="clear" w:color="auto" w:fill="F0F0F0"/>
          </w:tcPr>
          <w:p>
            <w:pPr>
              <w:spacing w:after="0"/>
              <w:rPr>
                <w:sz w:val="8"/>
                <w:szCs w:val="8"/>
                <w:color w:val="auto"/>
              </w:rPr>
            </w:pPr>
          </w:p>
        </w:tc>
        <w:tc>
          <w:tcPr>
            <w:tcW w:w="580" w:type="dxa"/>
            <w:vAlign w:val="bottom"/>
            <w:vMerge w:val="continue"/>
          </w:tcPr>
          <w:p>
            <w:pPr>
              <w:spacing w:after="0"/>
              <w:rPr>
                <w:sz w:val="8"/>
                <w:szCs w:val="8"/>
                <w:color w:val="auto"/>
              </w:rPr>
            </w:pPr>
          </w:p>
        </w:tc>
        <w:tc>
          <w:tcPr>
            <w:tcW w:w="2120" w:type="dxa"/>
            <w:vAlign w:val="bottom"/>
            <w:vMerge w:val="restart"/>
            <w:shd w:val="clear" w:color="auto" w:fill="F0F0F0"/>
          </w:tcPr>
          <w:p>
            <w:pPr>
              <w:jc w:val="center"/>
              <w:spacing w:after="0"/>
              <w:rPr>
                <w:sz w:val="20"/>
                <w:szCs w:val="20"/>
                <w:color w:val="auto"/>
              </w:rPr>
            </w:pPr>
            <w:r>
              <w:rPr>
                <w:rFonts w:ascii="Arial" w:cs="Arial" w:eastAsia="Arial" w:hAnsi="Arial"/>
                <w:sz w:val="16"/>
                <w:szCs w:val="16"/>
                <w:b w:val="1"/>
                <w:bCs w:val="1"/>
                <w:color w:val="636466"/>
              </w:rPr>
              <w:t>Performance %</w:t>
            </w:r>
          </w:p>
        </w:tc>
        <w:tc>
          <w:tcPr>
            <w:tcW w:w="600" w:type="dxa"/>
            <w:vAlign w:val="bottom"/>
            <w:vMerge w:val="continue"/>
          </w:tcPr>
          <w:p>
            <w:pPr>
              <w:spacing w:after="0"/>
              <w:rPr>
                <w:sz w:val="8"/>
                <w:szCs w:val="8"/>
                <w:color w:val="auto"/>
              </w:rPr>
            </w:pPr>
          </w:p>
        </w:tc>
        <w:tc>
          <w:tcPr>
            <w:tcW w:w="2000" w:type="dxa"/>
            <w:vAlign w:val="bottom"/>
            <w:vMerge w:val="restart"/>
            <w:shd w:val="clear" w:color="auto" w:fill="F0F0F0"/>
          </w:tcPr>
          <w:p>
            <w:pPr>
              <w:jc w:val="center"/>
              <w:spacing w:after="0"/>
              <w:rPr>
                <w:sz w:val="20"/>
                <w:szCs w:val="20"/>
                <w:color w:val="auto"/>
              </w:rPr>
            </w:pPr>
            <w:r>
              <w:rPr>
                <w:rFonts w:ascii="Arial" w:cs="Arial" w:eastAsia="Arial" w:hAnsi="Arial"/>
                <w:sz w:val="16"/>
                <w:szCs w:val="16"/>
                <w:b w:val="1"/>
                <w:bCs w:val="1"/>
                <w:color w:val="636466"/>
              </w:rPr>
              <w:t>Performance %</w:t>
            </w:r>
          </w:p>
        </w:tc>
        <w:tc>
          <w:tcPr>
            <w:tcW w:w="560" w:type="dxa"/>
            <w:vAlign w:val="bottom"/>
            <w:vMerge w:val="continue"/>
          </w:tcPr>
          <w:p>
            <w:pPr>
              <w:spacing w:after="0"/>
              <w:rPr>
                <w:sz w:val="8"/>
                <w:szCs w:val="8"/>
                <w:color w:val="auto"/>
              </w:rPr>
            </w:pPr>
          </w:p>
        </w:tc>
        <w:tc>
          <w:tcPr>
            <w:tcW w:w="1800" w:type="dxa"/>
            <w:vAlign w:val="bottom"/>
            <w:vMerge w:val="continue"/>
            <w:shd w:val="clear" w:color="auto" w:fill="852166"/>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0" w:type="dxa"/>
            <w:vAlign w:val="bottom"/>
            <w:shd w:val="clear" w:color="auto" w:fill="F0F0F0"/>
          </w:tcPr>
          <w:p>
            <w:pPr>
              <w:spacing w:after="0"/>
              <w:rPr>
                <w:sz w:val="9"/>
                <w:szCs w:val="9"/>
                <w:color w:val="auto"/>
              </w:rPr>
            </w:pPr>
          </w:p>
        </w:tc>
        <w:tc>
          <w:tcPr>
            <w:tcW w:w="1300" w:type="dxa"/>
            <w:vAlign w:val="bottom"/>
            <w:vMerge w:val="restart"/>
            <w:shd w:val="clear" w:color="auto" w:fill="F0F0F0"/>
          </w:tcPr>
          <w:p>
            <w:pPr>
              <w:jc w:val="center"/>
              <w:ind w:right="182"/>
              <w:spacing w:after="0"/>
              <w:rPr>
                <w:sz w:val="20"/>
                <w:szCs w:val="20"/>
                <w:color w:val="auto"/>
              </w:rPr>
            </w:pPr>
            <w:r>
              <w:rPr>
                <w:rFonts w:ascii="Arial" w:cs="Arial" w:eastAsia="Arial" w:hAnsi="Arial"/>
                <w:sz w:val="16"/>
                <w:szCs w:val="16"/>
                <w:b w:val="1"/>
                <w:bCs w:val="1"/>
                <w:color w:val="636466"/>
              </w:rPr>
              <w:t>Base Salary</w:t>
            </w:r>
          </w:p>
        </w:tc>
        <w:tc>
          <w:tcPr>
            <w:tcW w:w="600" w:type="dxa"/>
            <w:vAlign w:val="bottom"/>
            <w:vMerge w:val="continue"/>
          </w:tcPr>
          <w:p>
            <w:pPr>
              <w:spacing w:after="0"/>
              <w:rPr>
                <w:sz w:val="9"/>
                <w:szCs w:val="9"/>
                <w:color w:val="auto"/>
              </w:rPr>
            </w:pPr>
          </w:p>
        </w:tc>
        <w:tc>
          <w:tcPr>
            <w:tcW w:w="280" w:type="dxa"/>
            <w:vAlign w:val="bottom"/>
            <w:shd w:val="clear" w:color="auto" w:fill="F0F0F0"/>
          </w:tcPr>
          <w:p>
            <w:pPr>
              <w:spacing w:after="0"/>
              <w:rPr>
                <w:sz w:val="9"/>
                <w:szCs w:val="9"/>
                <w:color w:val="auto"/>
              </w:rPr>
            </w:pPr>
          </w:p>
        </w:tc>
        <w:tc>
          <w:tcPr>
            <w:tcW w:w="1120" w:type="dxa"/>
            <w:vAlign w:val="bottom"/>
            <w:vMerge w:val="restart"/>
            <w:shd w:val="clear" w:color="auto" w:fill="F0F0F0"/>
          </w:tcPr>
          <w:p>
            <w:pPr>
              <w:jc w:val="center"/>
              <w:ind w:right="199"/>
              <w:spacing w:after="0"/>
              <w:rPr>
                <w:sz w:val="20"/>
                <w:szCs w:val="20"/>
                <w:color w:val="auto"/>
              </w:rPr>
            </w:pPr>
            <w:r>
              <w:rPr>
                <w:rFonts w:ascii="Arial" w:cs="Arial" w:eastAsia="Arial" w:hAnsi="Arial"/>
                <w:sz w:val="16"/>
                <w:szCs w:val="16"/>
                <w:b w:val="1"/>
                <w:bCs w:val="1"/>
                <w:color w:val="636466"/>
                <w:w w:val="99"/>
              </w:rPr>
              <w:t>Bonus %</w:t>
            </w:r>
          </w:p>
        </w:tc>
        <w:tc>
          <w:tcPr>
            <w:tcW w:w="580" w:type="dxa"/>
            <w:vAlign w:val="bottom"/>
            <w:vMerge w:val="continue"/>
          </w:tcPr>
          <w:p>
            <w:pPr>
              <w:spacing w:after="0"/>
              <w:rPr>
                <w:sz w:val="9"/>
                <w:szCs w:val="9"/>
                <w:color w:val="auto"/>
              </w:rPr>
            </w:pPr>
          </w:p>
        </w:tc>
        <w:tc>
          <w:tcPr>
            <w:tcW w:w="2120" w:type="dxa"/>
            <w:vAlign w:val="bottom"/>
            <w:vMerge w:val="continue"/>
            <w:shd w:val="clear" w:color="auto" w:fill="F0F0F0"/>
          </w:tcPr>
          <w:p>
            <w:pPr>
              <w:spacing w:after="0"/>
              <w:rPr>
                <w:sz w:val="9"/>
                <w:szCs w:val="9"/>
                <w:color w:val="auto"/>
              </w:rPr>
            </w:pPr>
          </w:p>
        </w:tc>
        <w:tc>
          <w:tcPr>
            <w:tcW w:w="600" w:type="dxa"/>
            <w:vAlign w:val="bottom"/>
            <w:vMerge w:val="continue"/>
          </w:tcPr>
          <w:p>
            <w:pPr>
              <w:spacing w:after="0"/>
              <w:rPr>
                <w:sz w:val="9"/>
                <w:szCs w:val="9"/>
                <w:color w:val="auto"/>
              </w:rPr>
            </w:pPr>
          </w:p>
        </w:tc>
        <w:tc>
          <w:tcPr>
            <w:tcW w:w="2000" w:type="dxa"/>
            <w:vAlign w:val="bottom"/>
            <w:vMerge w:val="continue"/>
            <w:shd w:val="clear" w:color="auto" w:fill="F0F0F0"/>
          </w:tcPr>
          <w:p>
            <w:pPr>
              <w:spacing w:after="0"/>
              <w:rPr>
                <w:sz w:val="9"/>
                <w:szCs w:val="9"/>
                <w:color w:val="auto"/>
              </w:rPr>
            </w:pPr>
          </w:p>
        </w:tc>
        <w:tc>
          <w:tcPr>
            <w:tcW w:w="560" w:type="dxa"/>
            <w:vAlign w:val="bottom"/>
            <w:vMerge w:val="continue"/>
          </w:tcPr>
          <w:p>
            <w:pPr>
              <w:spacing w:after="0"/>
              <w:rPr>
                <w:sz w:val="9"/>
                <w:szCs w:val="9"/>
                <w:color w:val="auto"/>
              </w:rPr>
            </w:pPr>
          </w:p>
        </w:tc>
        <w:tc>
          <w:tcPr>
            <w:tcW w:w="1800" w:type="dxa"/>
            <w:vAlign w:val="bottom"/>
            <w:vMerge w:val="restart"/>
            <w:shd w:val="clear" w:color="auto" w:fill="852166"/>
          </w:tcPr>
          <w:p>
            <w:pPr>
              <w:jc w:val="center"/>
              <w:spacing w:after="0"/>
              <w:rPr>
                <w:sz w:val="20"/>
                <w:szCs w:val="20"/>
                <w:color w:val="auto"/>
              </w:rPr>
            </w:pPr>
            <w:r>
              <w:rPr>
                <w:rFonts w:ascii="Arial" w:cs="Arial" w:eastAsia="Arial" w:hAnsi="Arial"/>
                <w:sz w:val="16"/>
                <w:szCs w:val="16"/>
                <w:b w:val="1"/>
                <w:bCs w:val="1"/>
                <w:color w:val="FFFFFF"/>
              </w:rPr>
              <w:t>Bonus Award</w:t>
            </w:r>
          </w:p>
        </w:tc>
        <w:tc>
          <w:tcPr>
            <w:tcW w:w="0" w:type="dxa"/>
            <w:vAlign w:val="bottom"/>
          </w:tcPr>
          <w:p>
            <w:pPr>
              <w:spacing w:after="0"/>
              <w:rPr>
                <w:sz w:val="1"/>
                <w:szCs w:val="1"/>
                <w:color w:val="auto"/>
              </w:rPr>
            </w:pPr>
          </w:p>
        </w:tc>
      </w:tr>
      <w:tr>
        <w:trPr>
          <w:trHeight w:val="223"/>
        </w:trPr>
        <w:tc>
          <w:tcPr>
            <w:tcW w:w="280" w:type="dxa"/>
            <w:vAlign w:val="bottom"/>
            <w:shd w:val="clear" w:color="auto" w:fill="F0F0F0"/>
          </w:tcPr>
          <w:p>
            <w:pPr>
              <w:spacing w:after="0"/>
              <w:rPr>
                <w:sz w:val="19"/>
                <w:szCs w:val="19"/>
                <w:color w:val="auto"/>
              </w:rPr>
            </w:pPr>
          </w:p>
        </w:tc>
        <w:tc>
          <w:tcPr>
            <w:tcW w:w="1300" w:type="dxa"/>
            <w:vAlign w:val="bottom"/>
            <w:vMerge w:val="continue"/>
            <w:shd w:val="clear" w:color="auto" w:fill="F0F0F0"/>
          </w:tcPr>
          <w:p>
            <w:pPr>
              <w:spacing w:after="0"/>
              <w:rPr>
                <w:sz w:val="19"/>
                <w:szCs w:val="19"/>
                <w:color w:val="auto"/>
              </w:rPr>
            </w:pPr>
          </w:p>
        </w:tc>
        <w:tc>
          <w:tcPr>
            <w:tcW w:w="600" w:type="dxa"/>
            <w:vAlign w:val="bottom"/>
            <w:vMerge w:val="continue"/>
          </w:tcPr>
          <w:p>
            <w:pPr>
              <w:spacing w:after="0"/>
              <w:rPr>
                <w:sz w:val="19"/>
                <w:szCs w:val="19"/>
                <w:color w:val="auto"/>
              </w:rPr>
            </w:pPr>
          </w:p>
        </w:tc>
        <w:tc>
          <w:tcPr>
            <w:tcW w:w="280" w:type="dxa"/>
            <w:vAlign w:val="bottom"/>
            <w:shd w:val="clear" w:color="auto" w:fill="F0F0F0"/>
          </w:tcPr>
          <w:p>
            <w:pPr>
              <w:spacing w:after="0"/>
              <w:rPr>
                <w:sz w:val="19"/>
                <w:szCs w:val="19"/>
                <w:color w:val="auto"/>
              </w:rPr>
            </w:pPr>
          </w:p>
        </w:tc>
        <w:tc>
          <w:tcPr>
            <w:tcW w:w="1120" w:type="dxa"/>
            <w:vAlign w:val="bottom"/>
            <w:vMerge w:val="continue"/>
            <w:shd w:val="clear" w:color="auto" w:fill="F0F0F0"/>
          </w:tcPr>
          <w:p>
            <w:pPr>
              <w:spacing w:after="0"/>
              <w:rPr>
                <w:sz w:val="19"/>
                <w:szCs w:val="19"/>
                <w:color w:val="auto"/>
              </w:rPr>
            </w:pPr>
          </w:p>
        </w:tc>
        <w:tc>
          <w:tcPr>
            <w:tcW w:w="580" w:type="dxa"/>
            <w:vAlign w:val="bottom"/>
            <w:vMerge w:val="continue"/>
          </w:tcPr>
          <w:p>
            <w:pPr>
              <w:spacing w:after="0"/>
              <w:rPr>
                <w:sz w:val="19"/>
                <w:szCs w:val="19"/>
                <w:color w:val="auto"/>
              </w:rPr>
            </w:pPr>
          </w:p>
        </w:tc>
        <w:tc>
          <w:tcPr>
            <w:tcW w:w="2120" w:type="dxa"/>
            <w:vAlign w:val="bottom"/>
            <w:shd w:val="clear" w:color="auto" w:fill="F0F0F0"/>
          </w:tcPr>
          <w:p>
            <w:pPr>
              <w:jc w:val="center"/>
              <w:spacing w:after="0"/>
              <w:rPr>
                <w:sz w:val="20"/>
                <w:szCs w:val="20"/>
                <w:color w:val="auto"/>
              </w:rPr>
            </w:pPr>
            <w:r>
              <w:rPr>
                <w:rFonts w:ascii="Arial" w:cs="Arial" w:eastAsia="Arial" w:hAnsi="Arial"/>
                <w:sz w:val="16"/>
                <w:szCs w:val="16"/>
                <w:b w:val="1"/>
                <w:bCs w:val="1"/>
                <w:color w:val="636466"/>
              </w:rPr>
              <w:t>(Corporate Objectives)</w:t>
            </w:r>
          </w:p>
        </w:tc>
        <w:tc>
          <w:tcPr>
            <w:tcW w:w="600" w:type="dxa"/>
            <w:vAlign w:val="bottom"/>
            <w:vMerge w:val="continue"/>
          </w:tcPr>
          <w:p>
            <w:pPr>
              <w:spacing w:after="0"/>
              <w:rPr>
                <w:sz w:val="19"/>
                <w:szCs w:val="19"/>
                <w:color w:val="auto"/>
              </w:rPr>
            </w:pPr>
          </w:p>
        </w:tc>
        <w:tc>
          <w:tcPr>
            <w:tcW w:w="2000" w:type="dxa"/>
            <w:vAlign w:val="bottom"/>
            <w:shd w:val="clear" w:color="auto" w:fill="F0F0F0"/>
          </w:tcPr>
          <w:p>
            <w:pPr>
              <w:jc w:val="center"/>
              <w:spacing w:after="0"/>
              <w:rPr>
                <w:sz w:val="20"/>
                <w:szCs w:val="20"/>
                <w:color w:val="auto"/>
              </w:rPr>
            </w:pPr>
            <w:r>
              <w:rPr>
                <w:rFonts w:ascii="Arial" w:cs="Arial" w:eastAsia="Arial" w:hAnsi="Arial"/>
                <w:sz w:val="16"/>
                <w:szCs w:val="16"/>
                <w:b w:val="1"/>
                <w:bCs w:val="1"/>
                <w:color w:val="636466"/>
              </w:rPr>
              <w:t>(if applicable)</w:t>
            </w:r>
          </w:p>
        </w:tc>
        <w:tc>
          <w:tcPr>
            <w:tcW w:w="560" w:type="dxa"/>
            <w:vAlign w:val="bottom"/>
            <w:vMerge w:val="continue"/>
          </w:tcPr>
          <w:p>
            <w:pPr>
              <w:spacing w:after="0"/>
              <w:rPr>
                <w:sz w:val="19"/>
                <w:szCs w:val="19"/>
                <w:color w:val="auto"/>
              </w:rPr>
            </w:pPr>
          </w:p>
        </w:tc>
        <w:tc>
          <w:tcPr>
            <w:tcW w:w="1800" w:type="dxa"/>
            <w:vAlign w:val="bottom"/>
            <w:vMerge w:val="continue"/>
            <w:shd w:val="clear" w:color="auto" w:fill="852166"/>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80" w:type="dxa"/>
            <w:vAlign w:val="bottom"/>
            <w:shd w:val="clear" w:color="auto" w:fill="F0F0F0"/>
          </w:tcPr>
          <w:p>
            <w:pPr>
              <w:spacing w:after="0"/>
              <w:rPr>
                <w:sz w:val="15"/>
                <w:szCs w:val="15"/>
                <w:color w:val="auto"/>
              </w:rPr>
            </w:pPr>
          </w:p>
        </w:tc>
        <w:tc>
          <w:tcPr>
            <w:tcW w:w="1300" w:type="dxa"/>
            <w:vAlign w:val="bottom"/>
            <w:shd w:val="clear" w:color="auto" w:fill="F0F0F0"/>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shd w:val="clear" w:color="auto" w:fill="F0F0F0"/>
          </w:tcPr>
          <w:p>
            <w:pPr>
              <w:spacing w:after="0"/>
              <w:rPr>
                <w:sz w:val="15"/>
                <w:szCs w:val="15"/>
                <w:color w:val="auto"/>
              </w:rPr>
            </w:pPr>
          </w:p>
        </w:tc>
        <w:tc>
          <w:tcPr>
            <w:tcW w:w="1120" w:type="dxa"/>
            <w:vAlign w:val="bottom"/>
            <w:shd w:val="clear" w:color="auto" w:fill="F0F0F0"/>
          </w:tcPr>
          <w:p>
            <w:pPr>
              <w:spacing w:after="0"/>
              <w:rPr>
                <w:sz w:val="15"/>
                <w:szCs w:val="15"/>
                <w:color w:val="auto"/>
              </w:rPr>
            </w:pPr>
          </w:p>
        </w:tc>
        <w:tc>
          <w:tcPr>
            <w:tcW w:w="580" w:type="dxa"/>
            <w:vAlign w:val="bottom"/>
          </w:tcPr>
          <w:p>
            <w:pPr>
              <w:spacing w:after="0"/>
              <w:rPr>
                <w:sz w:val="15"/>
                <w:szCs w:val="15"/>
                <w:color w:val="auto"/>
              </w:rPr>
            </w:pPr>
          </w:p>
        </w:tc>
        <w:tc>
          <w:tcPr>
            <w:tcW w:w="2120" w:type="dxa"/>
            <w:vAlign w:val="bottom"/>
            <w:shd w:val="clear" w:color="auto" w:fill="F0F0F0"/>
          </w:tcPr>
          <w:p>
            <w:pPr>
              <w:spacing w:after="0"/>
              <w:rPr>
                <w:sz w:val="15"/>
                <w:szCs w:val="15"/>
                <w:color w:val="auto"/>
              </w:rPr>
            </w:pPr>
          </w:p>
        </w:tc>
        <w:tc>
          <w:tcPr>
            <w:tcW w:w="600" w:type="dxa"/>
            <w:vAlign w:val="bottom"/>
          </w:tcPr>
          <w:p>
            <w:pPr>
              <w:spacing w:after="0"/>
              <w:rPr>
                <w:sz w:val="15"/>
                <w:szCs w:val="15"/>
                <w:color w:val="auto"/>
              </w:rPr>
            </w:pPr>
          </w:p>
        </w:tc>
        <w:tc>
          <w:tcPr>
            <w:tcW w:w="2000" w:type="dxa"/>
            <w:vAlign w:val="bottom"/>
            <w:shd w:val="clear" w:color="auto" w:fill="F0F0F0"/>
          </w:tcPr>
          <w:p>
            <w:pPr>
              <w:spacing w:after="0"/>
              <w:rPr>
                <w:sz w:val="15"/>
                <w:szCs w:val="15"/>
                <w:color w:val="auto"/>
              </w:rPr>
            </w:pPr>
          </w:p>
        </w:tc>
        <w:tc>
          <w:tcPr>
            <w:tcW w:w="560" w:type="dxa"/>
            <w:vAlign w:val="bottom"/>
          </w:tcPr>
          <w:p>
            <w:pPr>
              <w:spacing w:after="0"/>
              <w:rPr>
                <w:sz w:val="15"/>
                <w:szCs w:val="15"/>
                <w:color w:val="auto"/>
              </w:rPr>
            </w:pPr>
          </w:p>
        </w:tc>
        <w:tc>
          <w:tcPr>
            <w:tcW w:w="1800" w:type="dxa"/>
            <w:vAlign w:val="bottom"/>
            <w:shd w:val="clear" w:color="auto" w:fill="852166"/>
          </w:tcPr>
          <w:p>
            <w:pPr>
              <w:spacing w:after="0"/>
              <w:rPr>
                <w:sz w:val="15"/>
                <w:szCs w:val="15"/>
                <w:color w:val="auto"/>
              </w:rPr>
            </w:pPr>
          </w:p>
        </w:tc>
        <w:tc>
          <w:tcPr>
            <w:tcW w:w="0" w:type="dxa"/>
            <w:vAlign w:val="bottom"/>
          </w:tcPr>
          <w:p>
            <w:pPr>
              <w:spacing w:after="0"/>
              <w:rPr>
                <w:sz w:val="1"/>
                <w:szCs w:val="1"/>
                <w:color w:val="auto"/>
              </w:rPr>
            </w:pPr>
          </w:p>
        </w:tc>
      </w:tr>
      <w:tr>
        <w:trPr>
          <w:trHeight w:val="741"/>
        </w:trPr>
        <w:tc>
          <w:tcPr>
            <w:tcW w:w="280" w:type="dxa"/>
            <w:vAlign w:val="bottom"/>
          </w:tcPr>
          <w:p>
            <w:pPr>
              <w:jc w:val="right"/>
              <w:spacing w:after="0"/>
              <w:rPr>
                <w:sz w:val="20"/>
                <w:szCs w:val="20"/>
                <w:color w:val="auto"/>
              </w:rPr>
            </w:pPr>
            <w:r>
              <w:rPr>
                <w:rFonts w:ascii="Arial" w:cs="Arial" w:eastAsia="Arial" w:hAnsi="Arial"/>
                <w:sz w:val="18"/>
                <w:szCs w:val="18"/>
                <w:b w:val="1"/>
                <w:bCs w:val="1"/>
                <w:color w:val="852166"/>
                <w:w w:val="99"/>
              </w:rPr>
              <w:t>58</w:t>
            </w:r>
          </w:p>
        </w:tc>
        <w:tc>
          <w:tcPr>
            <w:tcW w:w="2180" w:type="dxa"/>
            <w:vAlign w:val="bottom"/>
            <w:gridSpan w:val="3"/>
          </w:tcPr>
          <w:p>
            <w:pPr>
              <w:ind w:left="360"/>
              <w:spacing w:after="0"/>
              <w:rPr>
                <w:sz w:val="20"/>
                <w:szCs w:val="20"/>
                <w:color w:val="auto"/>
              </w:rPr>
            </w:pPr>
            <w:r>
              <w:rPr>
                <w:rFonts w:ascii="Arial" w:cs="Arial" w:eastAsia="Arial" w:hAnsi="Arial"/>
                <w:sz w:val="14"/>
                <w:szCs w:val="14"/>
                <w:color w:val="636466"/>
              </w:rPr>
              <w:t>2026 PROXY STATEMENT</w:t>
            </w: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-505460</wp:posOffset>
            </wp:positionV>
            <wp:extent cx="1242695" cy="2057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6" w:name="page67"/>
    <w:bookmarkEnd w:id="66"/>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Corporate Objectives</w:t>
      </w:r>
    </w:p>
    <w:p>
      <w:pPr>
        <w:spacing w:after="0" w:line="18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Each of the three objectives is described in the table and accompanying footnotes below, including the goals within each objective, each goal weighting, actual results and performance multipliers, as well as the total corporate achievement percentage resulting from the level of achievement of the objectives. Our Compensation Committee approved, at the start of the performance year, an algorithm with respect to each of the three objectives for calculating the corporate achievement percentage attributable to the extent of achievement for each such objective. As further described in the footnotes to the table below, our Compensation Committee established multiple discrete goals within each of the three main objectives, with objectively measurable targets, and set specific threshold and maximum levels of achievement for the commercial objective as well as the non-GAAP adjusted operating margin element of the transformation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914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70" w:lineRule="exact"/>
        <w:rPr>
          <w:sz w:val="20"/>
          <w:szCs w:val="20"/>
          <w:color w:val="auto"/>
        </w:rPr>
      </w:pPr>
    </w:p>
    <w:p>
      <w:pPr>
        <w:ind w:left="10440"/>
        <w:spacing w:after="0"/>
        <w:rPr>
          <w:sz w:val="20"/>
          <w:szCs w:val="20"/>
          <w:color w:val="auto"/>
        </w:rPr>
      </w:pPr>
      <w:r>
        <w:rPr>
          <w:rFonts w:ascii="Arial" w:cs="Arial" w:eastAsia="Arial" w:hAnsi="Arial"/>
          <w:sz w:val="14"/>
          <w:szCs w:val="14"/>
          <w:b w:val="1"/>
          <w:bCs w:val="1"/>
          <w:color w:val="FFFFFF"/>
        </w:rPr>
        <w:t>Corporate</w:t>
      </w:r>
    </w:p>
    <w:p>
      <w:pPr>
        <w:spacing w:after="0" w:line="20" w:lineRule="exact"/>
        <w:rPr>
          <w:sz w:val="20"/>
          <w:szCs w:val="20"/>
          <w:color w:val="auto"/>
        </w:rPr>
      </w:pPr>
    </w:p>
    <w:p>
      <w:pPr>
        <w:ind w:left="100"/>
        <w:spacing w:after="0"/>
        <w:tabs>
          <w:tab w:leader="none" w:pos="5080" w:val="left"/>
          <w:tab w:leader="none" w:pos="6080" w:val="left"/>
          <w:tab w:leader="none" w:pos="9060" w:val="left"/>
          <w:tab w:leader="none" w:pos="10100" w:val="left"/>
        </w:tabs>
        <w:rPr>
          <w:sz w:val="20"/>
          <w:szCs w:val="20"/>
          <w:color w:val="auto"/>
        </w:rPr>
      </w:pPr>
      <w:r>
        <w:rPr>
          <w:rFonts w:ascii="Arial" w:cs="Arial" w:eastAsia="Arial" w:hAnsi="Arial"/>
          <w:sz w:val="14"/>
          <w:szCs w:val="14"/>
          <w:b w:val="1"/>
          <w:bCs w:val="1"/>
          <w:color w:val="FFFFFF"/>
        </w:rPr>
        <w:t>Corporate Objectives</w:t>
      </w:r>
      <w:r>
        <w:rPr>
          <w:sz w:val="20"/>
          <w:szCs w:val="20"/>
          <w:color w:val="auto"/>
        </w:rPr>
        <w:tab/>
      </w:r>
      <w:r>
        <w:rPr>
          <w:rFonts w:ascii="Arial" w:cs="Arial" w:eastAsia="Arial" w:hAnsi="Arial"/>
          <w:sz w:val="14"/>
          <w:szCs w:val="14"/>
          <w:b w:val="1"/>
          <w:bCs w:val="1"/>
          <w:color w:val="FFFFFF"/>
        </w:rPr>
        <w:t>Weighting</w:t>
      </w:r>
      <w:r>
        <w:rPr>
          <w:sz w:val="20"/>
          <w:szCs w:val="20"/>
          <w:color w:val="auto"/>
        </w:rPr>
        <w:tab/>
      </w:r>
      <w:r>
        <w:rPr>
          <w:rFonts w:ascii="Arial" w:cs="Arial" w:eastAsia="Arial" w:hAnsi="Arial"/>
          <w:sz w:val="14"/>
          <w:szCs w:val="14"/>
          <w:b w:val="1"/>
          <w:bCs w:val="1"/>
          <w:color w:val="FFFFFF"/>
        </w:rPr>
        <w:t>Actual Results</w:t>
      </w:r>
      <w:r>
        <w:rPr>
          <w:sz w:val="20"/>
          <w:szCs w:val="20"/>
          <w:color w:val="auto"/>
        </w:rPr>
        <w:tab/>
      </w:r>
      <w:r>
        <w:rPr>
          <w:rFonts w:ascii="Arial" w:cs="Arial" w:eastAsia="Arial" w:hAnsi="Arial"/>
          <w:sz w:val="14"/>
          <w:szCs w:val="14"/>
          <w:b w:val="1"/>
          <w:bCs w:val="1"/>
          <w:color w:val="FFFFFF"/>
        </w:rPr>
        <w:t>Multiplier</w:t>
      </w:r>
      <w:r>
        <w:rPr>
          <w:sz w:val="20"/>
          <w:szCs w:val="20"/>
          <w:color w:val="auto"/>
        </w:rPr>
        <w:tab/>
      </w:r>
      <w:r>
        <w:rPr>
          <w:rFonts w:ascii="Arial" w:cs="Arial" w:eastAsia="Arial" w:hAnsi="Arial"/>
          <w:sz w:val="13"/>
          <w:szCs w:val="13"/>
          <w:b w:val="1"/>
          <w:bCs w:val="1"/>
          <w:color w:val="FFFFFF"/>
        </w:rPr>
        <w:t>Achievement</w:t>
      </w:r>
      <w:r>
        <w:rPr>
          <w:rFonts w:ascii="Arial" w:cs="Arial" w:eastAsia="Arial" w:hAnsi="Arial"/>
          <w:sz w:val="16"/>
          <w:szCs w:val="16"/>
          <w:b w:val="1"/>
          <w:bCs w:val="1"/>
          <w:color w:val="FFFFFF"/>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460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4" w:lineRule="exact"/>
        <w:rPr>
          <w:sz w:val="20"/>
          <w:szCs w:val="20"/>
          <w:color w:val="auto"/>
        </w:rPr>
      </w:pPr>
    </w:p>
    <w:p>
      <w:pPr>
        <w:ind w:left="440" w:hanging="333"/>
        <w:spacing w:after="0"/>
        <w:tabs>
          <w:tab w:leader="none" w:pos="440" w:val="left"/>
        </w:tabs>
        <w:numPr>
          <w:ilvl w:val="0"/>
          <w:numId w:val="56"/>
        </w:numPr>
        <w:rPr>
          <w:rFonts w:ascii="Arial" w:cs="Arial" w:eastAsia="Arial" w:hAnsi="Arial"/>
          <w:sz w:val="14"/>
          <w:szCs w:val="14"/>
          <w:b w:val="1"/>
          <w:bCs w:val="1"/>
          <w:color w:val="5673B8"/>
        </w:rPr>
      </w:pPr>
      <w:r>
        <w:rPr>
          <w:rFonts w:ascii="Arial" w:cs="Arial" w:eastAsia="Arial" w:hAnsi="Arial"/>
          <w:sz w:val="14"/>
          <w:szCs w:val="14"/>
          <w:b w:val="1"/>
          <w:bCs w:val="1"/>
          <w:color w:val="5673B8"/>
        </w:rPr>
        <w:t>COMMERCIAL</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 w:type="dxa"/>
            <w:vAlign w:val="bottom"/>
          </w:tcPr>
          <w:p>
            <w:pPr>
              <w:ind w:left="440"/>
              <w:spacing w:after="0"/>
              <w:rPr>
                <w:sz w:val="20"/>
                <w:szCs w:val="20"/>
                <w:color w:val="auto"/>
              </w:rPr>
            </w:pPr>
            <w:r>
              <w:rPr>
                <w:rFonts w:ascii="Arial" w:cs="Arial" w:eastAsia="Arial" w:hAnsi="Arial"/>
                <w:sz w:val="14"/>
                <w:szCs w:val="14"/>
                <w:b w:val="1"/>
                <w:bCs w:val="1"/>
                <w:color w:val="5673B8"/>
              </w:rPr>
              <w:t>•</w:t>
            </w:r>
          </w:p>
        </w:tc>
        <w:tc>
          <w:tcPr>
            <w:tcW w:w="4580" w:type="dxa"/>
            <w:vAlign w:val="bottom"/>
          </w:tcPr>
          <w:p>
            <w:pPr>
              <w:ind w:left="60"/>
              <w:spacing w:after="0"/>
              <w:rPr>
                <w:sz w:val="20"/>
                <w:szCs w:val="20"/>
                <w:color w:val="auto"/>
              </w:rPr>
            </w:pPr>
            <w:r>
              <w:rPr>
                <w:rFonts w:ascii="Arial" w:cs="Arial" w:eastAsia="Arial" w:hAnsi="Arial"/>
                <w:sz w:val="14"/>
                <w:szCs w:val="14"/>
                <w:color w:val="auto"/>
              </w:rPr>
              <w:t>Achieve Xywav net product sales in 2025 of $1,578 million</w:t>
            </w:r>
            <w:r>
              <w:rPr>
                <w:rFonts w:ascii="Arial" w:cs="Arial" w:eastAsia="Arial" w:hAnsi="Arial"/>
                <w:sz w:val="9"/>
                <w:szCs w:val="9"/>
                <w:color w:val="auto"/>
              </w:rPr>
              <w:t>(1)</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3120" w:type="dxa"/>
            <w:vAlign w:val="bottom"/>
          </w:tcPr>
          <w:p>
            <w:pPr>
              <w:ind w:left="160"/>
              <w:spacing w:after="0"/>
              <w:rPr>
                <w:sz w:val="20"/>
                <w:szCs w:val="20"/>
                <w:color w:val="auto"/>
              </w:rPr>
            </w:pPr>
            <w:r>
              <w:rPr>
                <w:rFonts w:ascii="Arial" w:cs="Arial" w:eastAsia="Arial" w:hAnsi="Arial"/>
                <w:sz w:val="14"/>
                <w:szCs w:val="14"/>
                <w:color w:val="auto"/>
              </w:rPr>
              <w:t>Above target: net product sales of $1,657</w:t>
            </w:r>
          </w:p>
        </w:tc>
        <w:tc>
          <w:tcPr>
            <w:tcW w:w="1220" w:type="dxa"/>
            <w:vAlign w:val="bottom"/>
          </w:tcPr>
          <w:p>
            <w:pPr>
              <w:jc w:val="right"/>
              <w:ind w:right="488"/>
              <w:spacing w:after="0"/>
              <w:rPr>
                <w:sz w:val="20"/>
                <w:szCs w:val="20"/>
                <w:color w:val="auto"/>
              </w:rPr>
            </w:pPr>
            <w:r>
              <w:rPr>
                <w:rFonts w:ascii="Arial" w:cs="Arial" w:eastAsia="Arial" w:hAnsi="Arial"/>
                <w:sz w:val="14"/>
                <w:szCs w:val="14"/>
                <w:color w:val="auto"/>
              </w:rPr>
              <w:t>155%</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26%</w:t>
            </w:r>
          </w:p>
        </w:tc>
      </w:tr>
      <w:tr>
        <w:trPr>
          <w:trHeight w:val="214"/>
        </w:trPr>
        <w:tc>
          <w:tcPr>
            <w:tcW w:w="540" w:type="dxa"/>
            <w:vAlign w:val="bottom"/>
            <w:tcBorders>
              <w:bottom w:val="single" w:sz="8" w:color="5673B8"/>
            </w:tcBorders>
          </w:tcPr>
          <w:p>
            <w:pPr>
              <w:spacing w:after="0"/>
              <w:rPr>
                <w:sz w:val="18"/>
                <w:szCs w:val="18"/>
                <w:color w:val="auto"/>
              </w:rPr>
            </w:pPr>
          </w:p>
        </w:tc>
        <w:tc>
          <w:tcPr>
            <w:tcW w:w="4580" w:type="dxa"/>
            <w:vAlign w:val="bottom"/>
            <w:tcBorders>
              <w:bottom w:val="single" w:sz="8" w:color="5673B8"/>
            </w:tcBorders>
          </w:tcPr>
          <w:p>
            <w:pPr>
              <w:spacing w:after="0"/>
              <w:rPr>
                <w:sz w:val="18"/>
                <w:szCs w:val="18"/>
                <w:color w:val="auto"/>
              </w:rPr>
            </w:pPr>
          </w:p>
        </w:tc>
        <w:tc>
          <w:tcPr>
            <w:tcW w:w="820" w:type="dxa"/>
            <w:vAlign w:val="bottom"/>
            <w:tcBorders>
              <w:bottom w:val="single" w:sz="8" w:color="5673B8"/>
            </w:tcBorders>
          </w:tcPr>
          <w:p>
            <w:pPr>
              <w:spacing w:after="0"/>
              <w:rPr>
                <w:sz w:val="18"/>
                <w:szCs w:val="18"/>
                <w:color w:val="auto"/>
              </w:rPr>
            </w:pPr>
          </w:p>
        </w:tc>
        <w:tc>
          <w:tcPr>
            <w:tcW w:w="3120" w:type="dxa"/>
            <w:vAlign w:val="bottom"/>
            <w:tcBorders>
              <w:bottom w:val="single" w:sz="8" w:color="5673B8"/>
            </w:tcBorders>
          </w:tcPr>
          <w:p>
            <w:pPr>
              <w:ind w:left="160"/>
              <w:spacing w:after="0"/>
              <w:rPr>
                <w:sz w:val="20"/>
                <w:szCs w:val="20"/>
                <w:color w:val="auto"/>
              </w:rPr>
            </w:pPr>
            <w:r>
              <w:rPr>
                <w:rFonts w:ascii="Arial" w:cs="Arial" w:eastAsia="Arial" w:hAnsi="Arial"/>
                <w:sz w:val="14"/>
                <w:szCs w:val="14"/>
                <w:color w:val="auto"/>
              </w:rPr>
              <w:t>million</w:t>
            </w:r>
            <w:r>
              <w:rPr>
                <w:rFonts w:ascii="Arial" w:cs="Arial" w:eastAsia="Arial" w:hAnsi="Arial"/>
                <w:sz w:val="18"/>
                <w:szCs w:val="18"/>
                <w:color w:val="auto"/>
                <w:vertAlign w:val="superscript"/>
              </w:rPr>
              <w:t>(2)</w:t>
            </w:r>
          </w:p>
        </w:tc>
        <w:tc>
          <w:tcPr>
            <w:tcW w:w="1220" w:type="dxa"/>
            <w:vAlign w:val="bottom"/>
            <w:tcBorders>
              <w:bottom w:val="single" w:sz="8" w:color="5673B8"/>
            </w:tcBorders>
          </w:tcPr>
          <w:p>
            <w:pPr>
              <w:spacing w:after="0"/>
              <w:rPr>
                <w:sz w:val="18"/>
                <w:szCs w:val="18"/>
                <w:color w:val="auto"/>
              </w:rPr>
            </w:pPr>
          </w:p>
        </w:tc>
        <w:tc>
          <w:tcPr>
            <w:tcW w:w="960" w:type="dxa"/>
            <w:vAlign w:val="bottom"/>
            <w:tcBorders>
              <w:bottom w:val="single" w:sz="8" w:color="5673B8"/>
            </w:tcBorders>
          </w:tcPr>
          <w:p>
            <w:pPr>
              <w:spacing w:after="0"/>
              <w:rPr>
                <w:sz w:val="18"/>
                <w:szCs w:val="18"/>
                <w:color w:val="auto"/>
              </w:rPr>
            </w:pPr>
          </w:p>
        </w:tc>
      </w:tr>
      <w:tr>
        <w:trPr>
          <w:trHeight w:val="225"/>
        </w:trPr>
        <w:tc>
          <w:tcPr>
            <w:tcW w:w="540" w:type="dxa"/>
            <w:vAlign w:val="bottom"/>
          </w:tcPr>
          <w:p>
            <w:pPr>
              <w:ind w:left="440"/>
              <w:spacing w:after="0"/>
              <w:rPr>
                <w:sz w:val="20"/>
                <w:szCs w:val="20"/>
                <w:color w:val="auto"/>
              </w:rPr>
            </w:pPr>
            <w:r>
              <w:rPr>
                <w:rFonts w:ascii="Arial" w:cs="Arial" w:eastAsia="Arial" w:hAnsi="Arial"/>
                <w:sz w:val="14"/>
                <w:szCs w:val="14"/>
                <w:b w:val="1"/>
                <w:bCs w:val="1"/>
                <w:color w:val="5673B8"/>
              </w:rPr>
              <w:t>•</w:t>
            </w:r>
          </w:p>
        </w:tc>
        <w:tc>
          <w:tcPr>
            <w:tcW w:w="4580" w:type="dxa"/>
            <w:vAlign w:val="bottom"/>
          </w:tcPr>
          <w:p>
            <w:pPr>
              <w:ind w:left="60"/>
              <w:spacing w:after="0"/>
              <w:rPr>
                <w:sz w:val="20"/>
                <w:szCs w:val="20"/>
                <w:color w:val="auto"/>
              </w:rPr>
            </w:pPr>
            <w:r>
              <w:rPr>
                <w:rFonts w:ascii="Arial" w:cs="Arial" w:eastAsia="Arial" w:hAnsi="Arial"/>
                <w:sz w:val="14"/>
                <w:szCs w:val="14"/>
                <w:color w:val="auto"/>
              </w:rPr>
              <w:t>Achieve combined Epidiolex/Epidyolex and oncology net product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3120" w:type="dxa"/>
            <w:vAlign w:val="bottom"/>
          </w:tcPr>
          <w:p>
            <w:pPr>
              <w:ind w:left="160"/>
              <w:spacing w:after="0"/>
              <w:rPr>
                <w:sz w:val="20"/>
                <w:szCs w:val="20"/>
                <w:color w:val="auto"/>
              </w:rPr>
            </w:pPr>
            <w:r>
              <w:rPr>
                <w:rFonts w:ascii="Arial" w:cs="Arial" w:eastAsia="Arial" w:hAnsi="Arial"/>
                <w:sz w:val="14"/>
                <w:szCs w:val="14"/>
                <w:color w:val="auto"/>
              </w:rPr>
              <w:t>Between threshold and target: net product</w:t>
            </w:r>
          </w:p>
        </w:tc>
        <w:tc>
          <w:tcPr>
            <w:tcW w:w="1220" w:type="dxa"/>
            <w:vAlign w:val="bottom"/>
          </w:tcPr>
          <w:p>
            <w:pPr>
              <w:jc w:val="right"/>
              <w:ind w:right="488"/>
              <w:spacing w:after="0"/>
              <w:rPr>
                <w:sz w:val="20"/>
                <w:szCs w:val="20"/>
                <w:color w:val="auto"/>
              </w:rPr>
            </w:pPr>
            <w:r>
              <w:rPr>
                <w:rFonts w:ascii="Arial" w:cs="Arial" w:eastAsia="Arial" w:hAnsi="Arial"/>
                <w:sz w:val="14"/>
                <w:szCs w:val="14"/>
                <w:color w:val="auto"/>
              </w:rPr>
              <w:t>86%</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20%</w:t>
            </w:r>
          </w:p>
        </w:tc>
      </w:tr>
      <w:tr>
        <w:trPr>
          <w:trHeight w:val="246"/>
        </w:trPr>
        <w:tc>
          <w:tcPr>
            <w:tcW w:w="540" w:type="dxa"/>
            <w:vAlign w:val="bottom"/>
          </w:tcPr>
          <w:p>
            <w:pPr>
              <w:spacing w:after="0"/>
              <w:rPr>
                <w:sz w:val="21"/>
                <w:szCs w:val="21"/>
                <w:color w:val="auto"/>
              </w:rPr>
            </w:pPr>
          </w:p>
        </w:tc>
        <w:tc>
          <w:tcPr>
            <w:tcW w:w="4580" w:type="dxa"/>
            <w:vAlign w:val="bottom"/>
          </w:tcPr>
          <w:p>
            <w:pPr>
              <w:ind w:left="60"/>
              <w:spacing w:after="0"/>
              <w:rPr>
                <w:sz w:val="20"/>
                <w:szCs w:val="20"/>
                <w:color w:val="auto"/>
              </w:rPr>
            </w:pPr>
            <w:r>
              <w:rPr>
                <w:rFonts w:ascii="Arial" w:cs="Arial" w:eastAsia="Arial" w:hAnsi="Arial"/>
                <w:sz w:val="14"/>
                <w:szCs w:val="14"/>
                <w:color w:val="auto"/>
              </w:rPr>
              <w:t>sales in 2025 of $2,237 million</w:t>
            </w:r>
            <w:r>
              <w:rPr>
                <w:rFonts w:ascii="Arial" w:cs="Arial" w:eastAsia="Arial" w:hAnsi="Arial"/>
                <w:sz w:val="18"/>
                <w:szCs w:val="18"/>
                <w:color w:val="auto"/>
                <w:vertAlign w:val="superscript"/>
              </w:rPr>
              <w:t>(1)</w:t>
            </w:r>
          </w:p>
        </w:tc>
        <w:tc>
          <w:tcPr>
            <w:tcW w:w="820" w:type="dxa"/>
            <w:vAlign w:val="bottom"/>
          </w:tcPr>
          <w:p>
            <w:pPr>
              <w:spacing w:after="0"/>
              <w:rPr>
                <w:sz w:val="21"/>
                <w:szCs w:val="21"/>
                <w:color w:val="auto"/>
              </w:rPr>
            </w:pPr>
          </w:p>
        </w:tc>
        <w:tc>
          <w:tcPr>
            <w:tcW w:w="3120" w:type="dxa"/>
            <w:vAlign w:val="bottom"/>
          </w:tcPr>
          <w:p>
            <w:pPr>
              <w:ind w:left="160"/>
              <w:spacing w:after="0"/>
              <w:rPr>
                <w:sz w:val="20"/>
                <w:szCs w:val="20"/>
                <w:color w:val="auto"/>
              </w:rPr>
            </w:pPr>
            <w:r>
              <w:rPr>
                <w:rFonts w:ascii="Arial" w:cs="Arial" w:eastAsia="Arial" w:hAnsi="Arial"/>
                <w:sz w:val="14"/>
                <w:szCs w:val="14"/>
                <w:color w:val="auto"/>
              </w:rPr>
              <w:t>sales of $2,143 million (as adjusted)</w:t>
            </w:r>
            <w:r>
              <w:rPr>
                <w:rFonts w:ascii="Arial" w:cs="Arial" w:eastAsia="Arial" w:hAnsi="Arial"/>
                <w:sz w:val="18"/>
                <w:szCs w:val="18"/>
                <w:color w:val="auto"/>
                <w:vertAlign w:val="superscript"/>
              </w:rPr>
              <w:t>(3)</w:t>
            </w:r>
          </w:p>
        </w:tc>
        <w:tc>
          <w:tcPr>
            <w:tcW w:w="122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440" w:hanging="333"/>
        <w:spacing w:after="0"/>
        <w:tabs>
          <w:tab w:leader="none" w:pos="440" w:val="left"/>
        </w:tabs>
        <w:numPr>
          <w:ilvl w:val="0"/>
          <w:numId w:val="57"/>
        </w:numPr>
        <w:rPr>
          <w:rFonts w:ascii="Arial" w:cs="Arial" w:eastAsia="Arial" w:hAnsi="Arial"/>
          <w:sz w:val="14"/>
          <w:szCs w:val="14"/>
          <w:b w:val="1"/>
          <w:bCs w:val="1"/>
          <w:color w:val="5673B8"/>
        </w:rPr>
      </w:pPr>
      <w:r>
        <w:rPr>
          <w:rFonts w:ascii="Arial" w:cs="Arial" w:eastAsia="Arial" w:hAnsi="Arial"/>
          <w:sz w:val="14"/>
          <w:szCs w:val="14"/>
          <w:b w:val="1"/>
          <w:bCs w:val="1"/>
          <w:color w:val="5673B8"/>
        </w:rPr>
        <w:t>PIPELINE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 w:type="dxa"/>
            <w:vAlign w:val="bottom"/>
          </w:tcPr>
          <w:p>
            <w:pPr>
              <w:ind w:left="440"/>
              <w:spacing w:after="0"/>
              <w:rPr>
                <w:sz w:val="20"/>
                <w:szCs w:val="20"/>
                <w:color w:val="auto"/>
              </w:rPr>
            </w:pPr>
            <w:r>
              <w:rPr>
                <w:rFonts w:ascii="Arial" w:cs="Arial" w:eastAsia="Arial" w:hAnsi="Arial"/>
                <w:sz w:val="14"/>
                <w:szCs w:val="14"/>
                <w:b w:val="1"/>
                <w:bCs w:val="1"/>
                <w:color w:val="5673B8"/>
              </w:rPr>
              <w:t>•</w:t>
            </w:r>
          </w:p>
        </w:tc>
        <w:tc>
          <w:tcPr>
            <w:tcW w:w="3240" w:type="dxa"/>
            <w:vAlign w:val="bottom"/>
          </w:tcPr>
          <w:p>
            <w:pPr>
              <w:ind w:left="60"/>
              <w:spacing w:after="0"/>
              <w:rPr>
                <w:sz w:val="20"/>
                <w:szCs w:val="20"/>
                <w:color w:val="auto"/>
              </w:rPr>
            </w:pPr>
            <w:r>
              <w:rPr>
                <w:rFonts w:ascii="Arial" w:cs="Arial" w:eastAsia="Arial" w:hAnsi="Arial"/>
                <w:sz w:val="14"/>
                <w:szCs w:val="14"/>
                <w:color w:val="auto"/>
              </w:rPr>
              <w:t>Top priority programs</w:t>
            </w:r>
            <w:r>
              <w:rPr>
                <w:rFonts w:ascii="Arial" w:cs="Arial" w:eastAsia="Arial" w:hAnsi="Arial"/>
                <w:sz w:val="9"/>
                <w:szCs w:val="9"/>
                <w:color w:val="auto"/>
              </w:rPr>
              <w:t>(4)</w:t>
            </w:r>
          </w:p>
        </w:tc>
        <w:tc>
          <w:tcPr>
            <w:tcW w:w="2160" w:type="dxa"/>
            <w:vAlign w:val="bottom"/>
          </w:tcPr>
          <w:p>
            <w:pPr>
              <w:jc w:val="right"/>
              <w:ind w:right="68"/>
              <w:spacing w:after="0"/>
              <w:rPr>
                <w:sz w:val="20"/>
                <w:szCs w:val="20"/>
                <w:color w:val="auto"/>
              </w:rPr>
            </w:pPr>
            <w:r>
              <w:rPr>
                <w:rFonts w:ascii="Arial" w:cs="Arial" w:eastAsia="Arial" w:hAnsi="Arial"/>
                <w:sz w:val="14"/>
                <w:szCs w:val="14"/>
                <w:color w:val="auto"/>
              </w:rPr>
              <w:t>30%</w:t>
            </w:r>
          </w:p>
        </w:tc>
        <w:tc>
          <w:tcPr>
            <w:tcW w:w="3120" w:type="dxa"/>
            <w:vAlign w:val="bottom"/>
          </w:tcPr>
          <w:p>
            <w:pPr>
              <w:ind w:left="160"/>
              <w:spacing w:after="0"/>
              <w:rPr>
                <w:sz w:val="20"/>
                <w:szCs w:val="20"/>
                <w:color w:val="auto"/>
              </w:rPr>
            </w:pPr>
            <w:r>
              <w:rPr>
                <w:rFonts w:ascii="Arial" w:cs="Arial" w:eastAsia="Arial" w:hAnsi="Arial"/>
                <w:sz w:val="14"/>
                <w:szCs w:val="14"/>
                <w:color w:val="auto"/>
              </w:rPr>
              <w:t>Above target: achieved 4 of 5 targets</w:t>
            </w:r>
            <w:r>
              <w:rPr>
                <w:rFonts w:ascii="Arial" w:cs="Arial" w:eastAsia="Arial" w:hAnsi="Arial"/>
                <w:sz w:val="9"/>
                <w:szCs w:val="9"/>
                <w:color w:val="auto"/>
              </w:rPr>
              <w:t>(6)</w:t>
            </w:r>
          </w:p>
        </w:tc>
        <w:tc>
          <w:tcPr>
            <w:tcW w:w="1160" w:type="dxa"/>
            <w:vAlign w:val="bottom"/>
          </w:tcPr>
          <w:p>
            <w:pPr>
              <w:jc w:val="right"/>
              <w:ind w:right="428"/>
              <w:spacing w:after="0"/>
              <w:rPr>
                <w:sz w:val="20"/>
                <w:szCs w:val="20"/>
                <w:color w:val="auto"/>
              </w:rPr>
            </w:pPr>
            <w:r>
              <w:rPr>
                <w:rFonts w:ascii="Arial" w:cs="Arial" w:eastAsia="Arial" w:hAnsi="Arial"/>
                <w:sz w:val="14"/>
                <w:szCs w:val="14"/>
                <w:color w:val="auto"/>
              </w:rPr>
              <w:t>175%</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52.5%</w:t>
            </w:r>
          </w:p>
        </w:tc>
      </w:tr>
      <w:tr>
        <w:trPr>
          <w:trHeight w:val="29"/>
        </w:trPr>
        <w:tc>
          <w:tcPr>
            <w:tcW w:w="540" w:type="dxa"/>
            <w:vAlign w:val="bottom"/>
            <w:tcBorders>
              <w:bottom w:val="single" w:sz="8" w:color="5673B8"/>
            </w:tcBorders>
          </w:tcPr>
          <w:p>
            <w:pPr>
              <w:spacing w:after="0"/>
              <w:rPr>
                <w:sz w:val="2"/>
                <w:szCs w:val="2"/>
                <w:color w:val="auto"/>
              </w:rPr>
            </w:pPr>
          </w:p>
        </w:tc>
        <w:tc>
          <w:tcPr>
            <w:tcW w:w="3240" w:type="dxa"/>
            <w:vAlign w:val="bottom"/>
            <w:tcBorders>
              <w:bottom w:val="single" w:sz="8" w:color="5673B8"/>
            </w:tcBorders>
          </w:tcPr>
          <w:p>
            <w:pPr>
              <w:spacing w:after="0"/>
              <w:rPr>
                <w:sz w:val="2"/>
                <w:szCs w:val="2"/>
                <w:color w:val="auto"/>
              </w:rPr>
            </w:pPr>
          </w:p>
        </w:tc>
        <w:tc>
          <w:tcPr>
            <w:tcW w:w="2160" w:type="dxa"/>
            <w:vAlign w:val="bottom"/>
            <w:tcBorders>
              <w:bottom w:val="single" w:sz="8" w:color="5673B8"/>
            </w:tcBorders>
          </w:tcPr>
          <w:p>
            <w:pPr>
              <w:spacing w:after="0"/>
              <w:rPr>
                <w:sz w:val="2"/>
                <w:szCs w:val="2"/>
                <w:color w:val="auto"/>
              </w:rPr>
            </w:pPr>
          </w:p>
        </w:tc>
        <w:tc>
          <w:tcPr>
            <w:tcW w:w="3120" w:type="dxa"/>
            <w:vAlign w:val="bottom"/>
            <w:tcBorders>
              <w:bottom w:val="single" w:sz="8" w:color="5673B8"/>
            </w:tcBorders>
          </w:tcPr>
          <w:p>
            <w:pPr>
              <w:spacing w:after="0"/>
              <w:rPr>
                <w:sz w:val="2"/>
                <w:szCs w:val="2"/>
                <w:color w:val="auto"/>
              </w:rPr>
            </w:pPr>
          </w:p>
        </w:tc>
        <w:tc>
          <w:tcPr>
            <w:tcW w:w="1160" w:type="dxa"/>
            <w:vAlign w:val="bottom"/>
            <w:tcBorders>
              <w:bottom w:val="single" w:sz="8" w:color="5673B8"/>
            </w:tcBorders>
          </w:tcPr>
          <w:p>
            <w:pPr>
              <w:spacing w:after="0"/>
              <w:rPr>
                <w:sz w:val="2"/>
                <w:szCs w:val="2"/>
                <w:color w:val="auto"/>
              </w:rPr>
            </w:pPr>
          </w:p>
        </w:tc>
        <w:tc>
          <w:tcPr>
            <w:tcW w:w="1020" w:type="dxa"/>
            <w:vAlign w:val="bottom"/>
            <w:tcBorders>
              <w:bottom w:val="single" w:sz="8" w:color="5673B8"/>
            </w:tcBorders>
          </w:tcPr>
          <w:p>
            <w:pPr>
              <w:spacing w:after="0"/>
              <w:rPr>
                <w:sz w:val="2"/>
                <w:szCs w:val="2"/>
                <w:color w:val="auto"/>
              </w:rPr>
            </w:pPr>
          </w:p>
        </w:tc>
      </w:tr>
      <w:tr>
        <w:trPr>
          <w:trHeight w:val="248"/>
        </w:trPr>
        <w:tc>
          <w:tcPr>
            <w:tcW w:w="540" w:type="dxa"/>
            <w:vAlign w:val="bottom"/>
          </w:tcPr>
          <w:p>
            <w:pPr>
              <w:ind w:left="440"/>
              <w:spacing w:after="0"/>
              <w:rPr>
                <w:sz w:val="20"/>
                <w:szCs w:val="20"/>
                <w:color w:val="auto"/>
              </w:rPr>
            </w:pPr>
            <w:r>
              <w:rPr>
                <w:rFonts w:ascii="Arial" w:cs="Arial" w:eastAsia="Arial" w:hAnsi="Arial"/>
                <w:sz w:val="14"/>
                <w:szCs w:val="14"/>
                <w:b w:val="1"/>
                <w:bCs w:val="1"/>
                <w:color w:val="5673B8"/>
              </w:rPr>
              <w:t>•</w:t>
            </w:r>
          </w:p>
        </w:tc>
        <w:tc>
          <w:tcPr>
            <w:tcW w:w="3240" w:type="dxa"/>
            <w:vAlign w:val="bottom"/>
          </w:tcPr>
          <w:p>
            <w:pPr>
              <w:ind w:left="60"/>
              <w:spacing w:after="0"/>
              <w:rPr>
                <w:sz w:val="20"/>
                <w:szCs w:val="20"/>
                <w:color w:val="auto"/>
              </w:rPr>
            </w:pPr>
            <w:r>
              <w:rPr>
                <w:rFonts w:ascii="Arial" w:cs="Arial" w:eastAsia="Arial" w:hAnsi="Arial"/>
                <w:sz w:val="14"/>
                <w:szCs w:val="14"/>
                <w:color w:val="auto"/>
              </w:rPr>
              <w:t>Other programs</w:t>
            </w:r>
            <w:r>
              <w:rPr>
                <w:rFonts w:ascii="Arial" w:cs="Arial" w:eastAsia="Arial" w:hAnsi="Arial"/>
                <w:sz w:val="9"/>
                <w:szCs w:val="9"/>
                <w:color w:val="auto"/>
              </w:rPr>
              <w:t>(5)</w:t>
            </w:r>
          </w:p>
        </w:tc>
        <w:tc>
          <w:tcPr>
            <w:tcW w:w="216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3120" w:type="dxa"/>
            <w:vAlign w:val="bottom"/>
          </w:tcPr>
          <w:p>
            <w:pPr>
              <w:ind w:left="160"/>
              <w:spacing w:after="0"/>
              <w:rPr>
                <w:sz w:val="20"/>
                <w:szCs w:val="20"/>
                <w:color w:val="auto"/>
              </w:rPr>
            </w:pPr>
            <w:r>
              <w:rPr>
                <w:rFonts w:ascii="Arial" w:cs="Arial" w:eastAsia="Arial" w:hAnsi="Arial"/>
                <w:sz w:val="14"/>
                <w:szCs w:val="14"/>
                <w:color w:val="auto"/>
              </w:rPr>
              <w:t>Maximum target: achieved 5 of 5 targets</w:t>
            </w:r>
            <w:r>
              <w:rPr>
                <w:rFonts w:ascii="Arial" w:cs="Arial" w:eastAsia="Arial" w:hAnsi="Arial"/>
                <w:sz w:val="9"/>
                <w:szCs w:val="9"/>
                <w:color w:val="auto"/>
              </w:rPr>
              <w:t>(6)</w:t>
            </w:r>
          </w:p>
        </w:tc>
        <w:tc>
          <w:tcPr>
            <w:tcW w:w="1160" w:type="dxa"/>
            <w:vAlign w:val="bottom"/>
          </w:tcPr>
          <w:p>
            <w:pPr>
              <w:jc w:val="right"/>
              <w:ind w:right="428"/>
              <w:spacing w:after="0"/>
              <w:rPr>
                <w:sz w:val="20"/>
                <w:szCs w:val="20"/>
                <w:color w:val="auto"/>
              </w:rPr>
            </w:pPr>
            <w:r>
              <w:rPr>
                <w:rFonts w:ascii="Arial" w:cs="Arial" w:eastAsia="Arial" w:hAnsi="Arial"/>
                <w:sz w:val="14"/>
                <w:szCs w:val="14"/>
                <w:color w:val="auto"/>
              </w:rPr>
              <w:t>150%</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460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3" w:lineRule="exact"/>
        <w:rPr>
          <w:sz w:val="20"/>
          <w:szCs w:val="20"/>
          <w:color w:val="auto"/>
        </w:rPr>
      </w:pPr>
    </w:p>
    <w:p>
      <w:pPr>
        <w:ind w:left="440" w:hanging="333"/>
        <w:spacing w:after="0"/>
        <w:tabs>
          <w:tab w:leader="none" w:pos="440" w:val="left"/>
        </w:tabs>
        <w:numPr>
          <w:ilvl w:val="0"/>
          <w:numId w:val="58"/>
        </w:numPr>
        <w:rPr>
          <w:rFonts w:ascii="Arial" w:cs="Arial" w:eastAsia="Arial" w:hAnsi="Arial"/>
          <w:sz w:val="14"/>
          <w:szCs w:val="14"/>
          <w:b w:val="1"/>
          <w:bCs w:val="1"/>
          <w:color w:val="5673B8"/>
        </w:rPr>
      </w:pPr>
      <w:r>
        <w:rPr>
          <w:rFonts w:ascii="Arial" w:cs="Arial" w:eastAsia="Arial" w:hAnsi="Arial"/>
          <w:sz w:val="14"/>
          <w:szCs w:val="14"/>
          <w:b w:val="1"/>
          <w:bCs w:val="1"/>
          <w:color w:val="5673B8"/>
        </w:rPr>
        <w:t>TRANSFORMATION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0" w:type="dxa"/>
            <w:vAlign w:val="bottom"/>
            <w:tcBorders>
              <w:bottom w:val="single" w:sz="8" w:color="5673B8"/>
            </w:tcBorders>
          </w:tcPr>
          <w:p>
            <w:pPr>
              <w:ind w:left="440"/>
              <w:spacing w:after="0"/>
              <w:rPr>
                <w:sz w:val="20"/>
                <w:szCs w:val="20"/>
                <w:color w:val="auto"/>
              </w:rPr>
            </w:pPr>
            <w:r>
              <w:rPr>
                <w:rFonts w:ascii="Arial" w:cs="Arial" w:eastAsia="Arial" w:hAnsi="Arial"/>
                <w:sz w:val="14"/>
                <w:szCs w:val="14"/>
                <w:b w:val="1"/>
                <w:bCs w:val="1"/>
                <w:color w:val="5673B8"/>
              </w:rPr>
              <w:t>•</w:t>
            </w:r>
          </w:p>
        </w:tc>
        <w:tc>
          <w:tcPr>
            <w:tcW w:w="3800" w:type="dxa"/>
            <w:vAlign w:val="bottom"/>
            <w:tcBorders>
              <w:bottom w:val="single" w:sz="8" w:color="5673B8"/>
            </w:tcBorders>
          </w:tcPr>
          <w:p>
            <w:pPr>
              <w:ind w:left="60"/>
              <w:spacing w:after="0"/>
              <w:rPr>
                <w:sz w:val="20"/>
                <w:szCs w:val="20"/>
                <w:color w:val="auto"/>
              </w:rPr>
            </w:pPr>
            <w:r>
              <w:rPr>
                <w:rFonts w:ascii="Arial" w:cs="Arial" w:eastAsia="Arial" w:hAnsi="Arial"/>
                <w:sz w:val="14"/>
                <w:szCs w:val="14"/>
                <w:color w:val="auto"/>
              </w:rPr>
              <w:t>Corporate development activities</w:t>
            </w:r>
            <w:r>
              <w:rPr>
                <w:rFonts w:ascii="Arial" w:cs="Arial" w:eastAsia="Arial" w:hAnsi="Arial"/>
                <w:sz w:val="9"/>
                <w:szCs w:val="9"/>
                <w:color w:val="auto"/>
              </w:rPr>
              <w:t>(7)</w:t>
            </w:r>
          </w:p>
        </w:tc>
        <w:tc>
          <w:tcPr>
            <w:tcW w:w="1600" w:type="dxa"/>
            <w:vAlign w:val="bottom"/>
            <w:tcBorders>
              <w:bottom w:val="single" w:sz="8" w:color="5673B8"/>
            </w:tcBorders>
          </w:tcPr>
          <w:p>
            <w:pPr>
              <w:jc w:val="right"/>
              <w:ind w:right="68"/>
              <w:spacing w:after="0"/>
              <w:rPr>
                <w:sz w:val="20"/>
                <w:szCs w:val="20"/>
                <w:color w:val="auto"/>
              </w:rPr>
            </w:pPr>
            <w:r>
              <w:rPr>
                <w:rFonts w:ascii="Arial" w:cs="Arial" w:eastAsia="Arial" w:hAnsi="Arial"/>
                <w:sz w:val="14"/>
                <w:szCs w:val="14"/>
                <w:color w:val="auto"/>
              </w:rPr>
              <w:t>20%</w:t>
            </w:r>
          </w:p>
        </w:tc>
        <w:tc>
          <w:tcPr>
            <w:tcW w:w="2340" w:type="dxa"/>
            <w:vAlign w:val="bottom"/>
            <w:tcBorders>
              <w:bottom w:val="single" w:sz="8" w:color="5673B8"/>
            </w:tcBorders>
          </w:tcPr>
          <w:p>
            <w:pPr>
              <w:ind w:left="160"/>
              <w:spacing w:after="0"/>
              <w:rPr>
                <w:sz w:val="20"/>
                <w:szCs w:val="20"/>
                <w:color w:val="auto"/>
              </w:rPr>
            </w:pPr>
            <w:r>
              <w:rPr>
                <w:rFonts w:ascii="Arial" w:cs="Arial" w:eastAsia="Arial" w:hAnsi="Arial"/>
                <w:sz w:val="14"/>
                <w:szCs w:val="14"/>
                <w:color w:val="auto"/>
              </w:rPr>
              <w:t>Above target</w:t>
            </w:r>
            <w:r>
              <w:rPr>
                <w:rFonts w:ascii="Arial" w:cs="Arial" w:eastAsia="Arial" w:hAnsi="Arial"/>
                <w:sz w:val="9"/>
                <w:szCs w:val="9"/>
                <w:color w:val="auto"/>
              </w:rPr>
              <w:t>(7)</w:t>
            </w:r>
          </w:p>
        </w:tc>
        <w:tc>
          <w:tcPr>
            <w:tcW w:w="1960" w:type="dxa"/>
            <w:vAlign w:val="bottom"/>
            <w:tcBorders>
              <w:bottom w:val="single" w:sz="8" w:color="5673B8"/>
            </w:tcBorders>
          </w:tcPr>
          <w:p>
            <w:pPr>
              <w:jc w:val="right"/>
              <w:ind w:right="448"/>
              <w:spacing w:after="0"/>
              <w:rPr>
                <w:sz w:val="20"/>
                <w:szCs w:val="20"/>
                <w:color w:val="auto"/>
              </w:rPr>
            </w:pPr>
            <w:r>
              <w:rPr>
                <w:rFonts w:ascii="Arial" w:cs="Arial" w:eastAsia="Arial" w:hAnsi="Arial"/>
                <w:sz w:val="14"/>
                <w:szCs w:val="14"/>
                <w:color w:val="auto"/>
              </w:rPr>
              <w:t>195%</w:t>
            </w:r>
          </w:p>
        </w:tc>
        <w:tc>
          <w:tcPr>
            <w:tcW w:w="10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39%</w:t>
            </w:r>
          </w:p>
        </w:tc>
      </w:tr>
      <w:tr>
        <w:trPr>
          <w:trHeight w:val="263"/>
        </w:trPr>
        <w:tc>
          <w:tcPr>
            <w:tcW w:w="540" w:type="dxa"/>
            <w:vAlign w:val="bottom"/>
            <w:tcBorders>
              <w:bottom w:val="single" w:sz="8" w:color="852166"/>
            </w:tcBorders>
          </w:tcPr>
          <w:p>
            <w:pPr>
              <w:ind w:left="440"/>
              <w:spacing w:after="0"/>
              <w:rPr>
                <w:sz w:val="20"/>
                <w:szCs w:val="20"/>
                <w:color w:val="auto"/>
              </w:rPr>
            </w:pPr>
            <w:r>
              <w:rPr>
                <w:rFonts w:ascii="Arial" w:cs="Arial" w:eastAsia="Arial" w:hAnsi="Arial"/>
                <w:sz w:val="14"/>
                <w:szCs w:val="14"/>
                <w:b w:val="1"/>
                <w:bCs w:val="1"/>
                <w:color w:val="5673B8"/>
              </w:rPr>
              <w:t>•</w:t>
            </w:r>
          </w:p>
        </w:tc>
        <w:tc>
          <w:tcPr>
            <w:tcW w:w="3800" w:type="dxa"/>
            <w:vAlign w:val="bottom"/>
            <w:tcBorders>
              <w:bottom w:val="single" w:sz="8" w:color="852166"/>
            </w:tcBorders>
          </w:tcPr>
          <w:p>
            <w:pPr>
              <w:ind w:left="60"/>
              <w:spacing w:after="0"/>
              <w:rPr>
                <w:sz w:val="20"/>
                <w:szCs w:val="20"/>
                <w:color w:val="auto"/>
              </w:rPr>
            </w:pPr>
            <w:r>
              <w:rPr>
                <w:rFonts w:ascii="Arial" w:cs="Arial" w:eastAsia="Arial" w:hAnsi="Arial"/>
                <w:sz w:val="14"/>
                <w:szCs w:val="14"/>
                <w:color w:val="auto"/>
              </w:rPr>
              <w:t>High performance organization metrics</w:t>
            </w:r>
            <w:r>
              <w:rPr>
                <w:rFonts w:ascii="Arial" w:cs="Arial" w:eastAsia="Arial" w:hAnsi="Arial"/>
                <w:sz w:val="9"/>
                <w:szCs w:val="9"/>
                <w:color w:val="auto"/>
              </w:rPr>
              <w:t>(8)</w:t>
            </w:r>
          </w:p>
        </w:tc>
        <w:tc>
          <w:tcPr>
            <w:tcW w:w="1600" w:type="dxa"/>
            <w:vAlign w:val="bottom"/>
            <w:tcBorders>
              <w:bottom w:val="single" w:sz="8" w:color="852166"/>
            </w:tcBorders>
          </w:tcPr>
          <w:p>
            <w:pPr>
              <w:jc w:val="right"/>
              <w:ind w:right="68"/>
              <w:spacing w:after="0"/>
              <w:rPr>
                <w:sz w:val="20"/>
                <w:szCs w:val="20"/>
                <w:color w:val="auto"/>
              </w:rPr>
            </w:pPr>
            <w:r>
              <w:rPr>
                <w:rFonts w:ascii="Arial" w:cs="Arial" w:eastAsia="Arial" w:hAnsi="Arial"/>
                <w:sz w:val="14"/>
                <w:szCs w:val="14"/>
                <w:color w:val="auto"/>
              </w:rPr>
              <w:t>5%</w:t>
            </w:r>
          </w:p>
        </w:tc>
        <w:tc>
          <w:tcPr>
            <w:tcW w:w="2340" w:type="dxa"/>
            <w:vAlign w:val="bottom"/>
            <w:tcBorders>
              <w:bottom w:val="single" w:sz="8" w:color="852166"/>
            </w:tcBorders>
          </w:tcPr>
          <w:p>
            <w:pPr>
              <w:ind w:left="160"/>
              <w:spacing w:after="0"/>
              <w:rPr>
                <w:sz w:val="20"/>
                <w:szCs w:val="20"/>
                <w:color w:val="auto"/>
              </w:rPr>
            </w:pPr>
            <w:r>
              <w:rPr>
                <w:rFonts w:ascii="Arial" w:cs="Arial" w:eastAsia="Arial" w:hAnsi="Arial"/>
                <w:sz w:val="14"/>
                <w:szCs w:val="14"/>
                <w:color w:val="auto"/>
              </w:rPr>
              <w:t>Achieved target</w:t>
            </w:r>
            <w:r>
              <w:rPr>
                <w:rFonts w:ascii="Arial" w:cs="Arial" w:eastAsia="Arial" w:hAnsi="Arial"/>
                <w:sz w:val="9"/>
                <w:szCs w:val="9"/>
                <w:color w:val="auto"/>
              </w:rPr>
              <w:t>(8)</w:t>
            </w:r>
          </w:p>
        </w:tc>
        <w:tc>
          <w:tcPr>
            <w:tcW w:w="1960" w:type="dxa"/>
            <w:vAlign w:val="bottom"/>
            <w:tcBorders>
              <w:bottom w:val="single" w:sz="8" w:color="852166"/>
            </w:tcBorders>
          </w:tcPr>
          <w:p>
            <w:pPr>
              <w:jc w:val="right"/>
              <w:ind w:right="448"/>
              <w:spacing w:after="0"/>
              <w:rPr>
                <w:sz w:val="20"/>
                <w:szCs w:val="20"/>
                <w:color w:val="auto"/>
              </w:rPr>
            </w:pPr>
            <w:r>
              <w:rPr>
                <w:rFonts w:ascii="Arial" w:cs="Arial" w:eastAsia="Arial" w:hAnsi="Arial"/>
                <w:sz w:val="14"/>
                <w:szCs w:val="14"/>
                <w:color w:val="auto"/>
              </w:rPr>
              <w:t>100%</w:t>
            </w:r>
          </w:p>
        </w:tc>
        <w:tc>
          <w:tcPr>
            <w:tcW w:w="100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color w:val="auto"/>
              </w:rPr>
              <w:t>5%</w:t>
            </w:r>
          </w:p>
        </w:tc>
      </w:tr>
      <w:tr>
        <w:trPr>
          <w:trHeight w:val="223"/>
        </w:trPr>
        <w:tc>
          <w:tcPr>
            <w:tcW w:w="4340" w:type="dxa"/>
            <w:vAlign w:val="bottom"/>
            <w:tcBorders>
              <w:bottom w:val="single" w:sz="8" w:color="852166"/>
            </w:tcBorders>
            <w:gridSpan w:val="2"/>
          </w:tcPr>
          <w:p>
            <w:pPr>
              <w:ind w:left="100"/>
              <w:spacing w:after="0"/>
              <w:rPr>
                <w:sz w:val="20"/>
                <w:szCs w:val="20"/>
                <w:color w:val="auto"/>
              </w:rPr>
            </w:pPr>
            <w:r>
              <w:rPr>
                <w:rFonts w:ascii="Arial" w:cs="Arial" w:eastAsia="Arial" w:hAnsi="Arial"/>
                <w:sz w:val="14"/>
                <w:szCs w:val="14"/>
                <w:b w:val="1"/>
                <w:bCs w:val="1"/>
                <w:color w:val="852166"/>
              </w:rPr>
              <w:t>TOTAL</w:t>
            </w:r>
          </w:p>
        </w:tc>
        <w:tc>
          <w:tcPr>
            <w:tcW w:w="1600" w:type="dxa"/>
            <w:vAlign w:val="bottom"/>
            <w:tcBorders>
              <w:bottom w:val="single" w:sz="8" w:color="852166"/>
            </w:tcBorders>
          </w:tcPr>
          <w:p>
            <w:pPr>
              <w:spacing w:after="0"/>
              <w:rPr>
                <w:sz w:val="19"/>
                <w:szCs w:val="19"/>
                <w:color w:val="auto"/>
              </w:rPr>
            </w:pPr>
          </w:p>
        </w:tc>
        <w:tc>
          <w:tcPr>
            <w:tcW w:w="2340" w:type="dxa"/>
            <w:vAlign w:val="bottom"/>
            <w:tcBorders>
              <w:bottom w:val="single" w:sz="8" w:color="852166"/>
            </w:tcBorders>
          </w:tcPr>
          <w:p>
            <w:pPr>
              <w:spacing w:after="0"/>
              <w:rPr>
                <w:sz w:val="19"/>
                <w:szCs w:val="19"/>
                <w:color w:val="auto"/>
              </w:rPr>
            </w:pPr>
          </w:p>
        </w:tc>
        <w:tc>
          <w:tcPr>
            <w:tcW w:w="1960" w:type="dxa"/>
            <w:vAlign w:val="bottom"/>
            <w:tcBorders>
              <w:bottom w:val="single" w:sz="8" w:color="852166"/>
            </w:tcBorders>
          </w:tcPr>
          <w:p>
            <w:pPr>
              <w:spacing w:after="0"/>
              <w:rPr>
                <w:sz w:val="19"/>
                <w:szCs w:val="19"/>
                <w:color w:val="auto"/>
              </w:rPr>
            </w:pPr>
          </w:p>
        </w:tc>
        <w:tc>
          <w:tcPr>
            <w:tcW w:w="100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852166"/>
              </w:rPr>
              <w:t>150%</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Amounts may not total due to rounding.</w:t>
      </w:r>
    </w:p>
    <w:p>
      <w:pPr>
        <w:spacing w:after="0" w:line="80" w:lineRule="exact"/>
        <w:rPr>
          <w:sz w:val="20"/>
          <w:szCs w:val="20"/>
          <w:color w:val="auto"/>
        </w:rPr>
      </w:pPr>
    </w:p>
    <w:p>
      <w:pPr>
        <w:ind w:left="340" w:right="100" w:hanging="332"/>
        <w:spacing w:after="0" w:line="267" w:lineRule="auto"/>
        <w:tabs>
          <w:tab w:leader="none" w:pos="327" w:val="left"/>
        </w:tabs>
        <w:numPr>
          <w:ilvl w:val="0"/>
          <w:numId w:val="59"/>
        </w:numPr>
        <w:rPr>
          <w:rFonts w:ascii="Arial" w:cs="Arial" w:eastAsia="Arial" w:hAnsi="Arial"/>
          <w:sz w:val="14"/>
          <w:szCs w:val="14"/>
          <w:color w:val="auto"/>
        </w:rPr>
      </w:pPr>
      <w:r>
        <w:rPr>
          <w:rFonts w:ascii="Arial" w:cs="Arial" w:eastAsia="Arial" w:hAnsi="Arial"/>
          <w:sz w:val="14"/>
          <w:szCs w:val="14"/>
          <w:color w:val="auto"/>
        </w:rPr>
        <w:t>If the specified threshold annual performance level was met (70% of target), then a pre-established scaled performance multiplier (ranging from 0% to 200% of target) would be used to calculate the applicable corporate achievement percentage attributable to such objective. The performance multiplier would be zero if performance was below the applicable threshold level, and if performance exceeded the applicable threshold level, the performance multiplier scaled using the pre-established performance curve up to the applicable maximum level. The performance multiplier was capped above the specified maximum performance level (109% of target for each goal). The capped payout for commercial goals in totality was 80%.</w:t>
      </w:r>
    </w:p>
    <w:p>
      <w:pPr>
        <w:spacing w:after="0" w:line="49" w:lineRule="exact"/>
        <w:rPr>
          <w:rFonts w:ascii="Arial" w:cs="Arial" w:eastAsia="Arial" w:hAnsi="Arial"/>
          <w:sz w:val="14"/>
          <w:szCs w:val="14"/>
          <w:color w:val="auto"/>
        </w:rPr>
      </w:pPr>
    </w:p>
    <w:p>
      <w:pPr>
        <w:ind w:left="340" w:right="240" w:hanging="332"/>
        <w:spacing w:after="0" w:line="305" w:lineRule="auto"/>
        <w:tabs>
          <w:tab w:leader="none" w:pos="327" w:val="left"/>
        </w:tabs>
        <w:numPr>
          <w:ilvl w:val="0"/>
          <w:numId w:val="59"/>
        </w:numPr>
        <w:rPr>
          <w:rFonts w:ascii="Arial" w:cs="Arial" w:eastAsia="Arial" w:hAnsi="Arial"/>
          <w:sz w:val="14"/>
          <w:szCs w:val="14"/>
          <w:color w:val="auto"/>
        </w:rPr>
      </w:pPr>
      <w:r>
        <w:rPr>
          <w:rFonts w:ascii="Arial" w:cs="Arial" w:eastAsia="Arial" w:hAnsi="Arial"/>
          <w:sz w:val="14"/>
          <w:szCs w:val="14"/>
          <w:color w:val="auto"/>
        </w:rPr>
        <w:t>Xywav net product sales were unaffected by foreign currency exchange rates and were otherwise not adjusted for purposes of calculating the performance achievement level and the performance multiplier. The Xywav net product sales objective had a final multiplier of 155% with a payout of 26%.</w:t>
      </w:r>
    </w:p>
    <w:p>
      <w:pPr>
        <w:spacing w:after="0" w:line="9" w:lineRule="exact"/>
        <w:rPr>
          <w:rFonts w:ascii="Arial" w:cs="Arial" w:eastAsia="Arial" w:hAnsi="Arial"/>
          <w:sz w:val="14"/>
          <w:szCs w:val="14"/>
          <w:color w:val="auto"/>
        </w:rPr>
      </w:pPr>
    </w:p>
    <w:p>
      <w:pPr>
        <w:ind w:left="340" w:right="440" w:hanging="332"/>
        <w:spacing w:after="0" w:line="283" w:lineRule="auto"/>
        <w:tabs>
          <w:tab w:leader="none" w:pos="327" w:val="left"/>
        </w:tabs>
        <w:numPr>
          <w:ilvl w:val="0"/>
          <w:numId w:val="59"/>
        </w:numPr>
        <w:rPr>
          <w:rFonts w:ascii="Arial" w:cs="Arial" w:eastAsia="Arial" w:hAnsi="Arial"/>
          <w:sz w:val="14"/>
          <w:szCs w:val="14"/>
          <w:color w:val="auto"/>
        </w:rPr>
      </w:pPr>
      <w:r>
        <w:rPr>
          <w:rFonts w:ascii="Arial" w:cs="Arial" w:eastAsia="Arial" w:hAnsi="Arial"/>
          <w:sz w:val="14"/>
          <w:szCs w:val="14"/>
          <w:color w:val="auto"/>
        </w:rPr>
        <w:t>To calculate the performance achievement level and the performance multiplier, our GAAP reported combined Epidiolex/Epidyolex and oncology net product sales of $2,188 million were adjusted to $2,143 million, which both excluded net product sales from oncology assets acquired in 2025 and accounted for changes in foreign currency exchange rates since the objective was based on budgeted foreign currency exchange rates. This resulted in a final multiplier of 86% with a payout of 20%.</w:t>
      </w:r>
    </w:p>
    <w:p>
      <w:pPr>
        <w:spacing w:after="0" w:line="37" w:lineRule="exact"/>
        <w:rPr>
          <w:rFonts w:ascii="Arial" w:cs="Arial" w:eastAsia="Arial" w:hAnsi="Arial"/>
          <w:sz w:val="14"/>
          <w:szCs w:val="14"/>
          <w:color w:val="auto"/>
        </w:rPr>
      </w:pPr>
    </w:p>
    <w:p>
      <w:pPr>
        <w:ind w:left="340" w:right="140" w:hanging="332"/>
        <w:spacing w:after="0" w:line="266" w:lineRule="auto"/>
        <w:tabs>
          <w:tab w:leader="none" w:pos="327" w:val="left"/>
        </w:tabs>
        <w:numPr>
          <w:ilvl w:val="0"/>
          <w:numId w:val="59"/>
        </w:numPr>
        <w:rPr>
          <w:rFonts w:ascii="Arial" w:cs="Arial" w:eastAsia="Arial" w:hAnsi="Arial"/>
          <w:sz w:val="14"/>
          <w:szCs w:val="14"/>
          <w:color w:val="auto"/>
        </w:rPr>
      </w:pPr>
      <w:r>
        <w:rPr>
          <w:rFonts w:ascii="Arial" w:cs="Arial" w:eastAsia="Arial" w:hAnsi="Arial"/>
          <w:sz w:val="14"/>
          <w:szCs w:val="14"/>
          <w:color w:val="auto"/>
        </w:rPr>
        <w:t>Top priority program goals consisted of the following five goals: (i) obtaining positive top-line results for zanidatamab (JZP598) in GEA; (ii) acceptance by FDA of the Zepzelca (lurbinectedin, JZP712) sNDA submission; (iii) achieving enrollment targets for the zanidatamab (JZP598-303) Phase 3 trial to evaluate zanidatamab plus chemotherapy or trastuzumab plus chemotherapy in patients with HER2-positive breast cancer whose disease has progressed on previous T-DXd treatment; (iv) completing enrollment of first patient in zanidatamab (JZP598-208) Phase 2 trial to evaluate zanidatamab in patients with HER2-positive neoadjuvant and adjuvant breast cancer; (v) completing enrollment targets of first dosing cohort in zanidatamab (JZP598-206) Phase 2 trial evaluating zanidatamab monotherapy in previously-treated patients with various HER2-positive (IHC3+) cancers.</w:t>
      </w:r>
    </w:p>
    <w:p>
      <w:pPr>
        <w:spacing w:after="0" w:line="49" w:lineRule="exact"/>
        <w:rPr>
          <w:rFonts w:ascii="Arial" w:cs="Arial" w:eastAsia="Arial" w:hAnsi="Arial"/>
          <w:sz w:val="14"/>
          <w:szCs w:val="14"/>
          <w:color w:val="auto"/>
        </w:rPr>
      </w:pPr>
    </w:p>
    <w:p>
      <w:pPr>
        <w:ind w:left="340" w:right="600"/>
        <w:spacing w:after="0" w:line="273" w:lineRule="auto"/>
        <w:rPr>
          <w:rFonts w:ascii="Arial" w:cs="Arial" w:eastAsia="Arial" w:hAnsi="Arial"/>
          <w:sz w:val="14"/>
          <w:szCs w:val="14"/>
          <w:color w:val="auto"/>
        </w:rPr>
      </w:pPr>
      <w:r>
        <w:rPr>
          <w:rFonts w:ascii="Arial" w:cs="Arial" w:eastAsia="Arial" w:hAnsi="Arial"/>
          <w:sz w:val="14"/>
          <w:szCs w:val="14"/>
          <w:color w:val="auto"/>
        </w:rPr>
        <w:t>In setting the objectives, our Compensation Committee incorporated key inflection points in 2025 and interim goals where programs were across multiple years, to incentivize in year performance and required that three of the five goals be met at target level or above in order to receive 100% achievement of the goals. Our Compensation Committee determined that we had met goals (i), (ii), (iii) and (iv), and we had not achieved goal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120015</wp:posOffset>
            </wp:positionV>
            <wp:extent cx="1242695" cy="2057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59</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7" w:name="page68"/>
    <w:bookmarkEnd w:id="67"/>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hanging="332"/>
        <w:spacing w:after="0" w:line="269" w:lineRule="auto"/>
        <w:tabs>
          <w:tab w:leader="none" w:pos="327" w:val="left"/>
        </w:tabs>
        <w:numPr>
          <w:ilvl w:val="0"/>
          <w:numId w:val="60"/>
        </w:numPr>
        <w:rPr>
          <w:rFonts w:ascii="Arial" w:cs="Arial" w:eastAsia="Arial" w:hAnsi="Arial"/>
          <w:sz w:val="14"/>
          <w:szCs w:val="14"/>
          <w:color w:val="auto"/>
        </w:rPr>
      </w:pPr>
      <w:r>
        <w:rPr>
          <w:rFonts w:ascii="Arial" w:cs="Arial" w:eastAsia="Arial" w:hAnsi="Arial"/>
          <w:sz w:val="14"/>
          <w:szCs w:val="14"/>
          <w:color w:val="auto"/>
        </w:rPr>
        <w:t>Other programs goals consisted of the following five goals: (i) grant of marketing authorization from European Commission for Ziihera (zanidatamab, JZP598) in BTC; (ii) completing enrollment of first patient in pivotal relative bioavailability study of Epidiolex/Epidyolex (JZP926) oral solid dose form; (iii) obtaining positive data from 2025 data cut from EpiCOM program; (iv) completing enrollment of first patient in JZP815 Phase 1B study; and (v) decision to proceed to initiate combination dosing Phase 1A2 in JZP898 (interferon alpha agonist). Our Compensation Committee determined that all goals were achieved.</w:t>
      </w:r>
    </w:p>
    <w:p>
      <w:pPr>
        <w:spacing w:after="0" w:line="47" w:lineRule="exact"/>
        <w:rPr>
          <w:rFonts w:ascii="Arial" w:cs="Arial" w:eastAsia="Arial" w:hAnsi="Arial"/>
          <w:sz w:val="14"/>
          <w:szCs w:val="14"/>
          <w:color w:val="auto"/>
        </w:rPr>
      </w:pPr>
    </w:p>
    <w:p>
      <w:pPr>
        <w:ind w:left="340" w:right="180" w:hanging="332"/>
        <w:spacing w:after="0" w:line="305" w:lineRule="auto"/>
        <w:tabs>
          <w:tab w:leader="none" w:pos="327"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 consideration of both top priority and other program goals our Compensation Committee determined that the achievement of these goals was 171% in aggregate and therefore a 60% corporate achievement percentage was attributable to both in the aggregate. The capped payout for pipeline goals in total was 70%.</w:t>
      </w:r>
    </w:p>
    <w:p>
      <w:pPr>
        <w:spacing w:after="0" w:line="22" w:lineRule="exact"/>
        <w:rPr>
          <w:rFonts w:ascii="Arial" w:cs="Arial" w:eastAsia="Arial" w:hAnsi="Arial"/>
          <w:sz w:val="14"/>
          <w:szCs w:val="14"/>
          <w:color w:val="auto"/>
        </w:rPr>
      </w:pPr>
    </w:p>
    <w:p>
      <w:pPr>
        <w:ind w:left="340" w:right="140" w:hanging="332"/>
        <w:spacing w:after="0" w:line="269" w:lineRule="auto"/>
        <w:tabs>
          <w:tab w:leader="none" w:pos="327" w:val="left"/>
        </w:tabs>
        <w:numPr>
          <w:ilvl w:val="0"/>
          <w:numId w:val="60"/>
        </w:numPr>
        <w:rPr>
          <w:rFonts w:ascii="Arial" w:cs="Arial" w:eastAsia="Arial" w:hAnsi="Arial"/>
          <w:sz w:val="14"/>
          <w:szCs w:val="14"/>
          <w:color w:val="auto"/>
        </w:rPr>
      </w:pPr>
      <w:r>
        <w:rPr>
          <w:rFonts w:ascii="Arial" w:cs="Arial" w:eastAsia="Arial" w:hAnsi="Arial"/>
          <w:sz w:val="14"/>
          <w:szCs w:val="14"/>
          <w:color w:val="auto"/>
        </w:rPr>
        <w:t>Corporate development activities consisted of the following goal: completing at least two pipeline enhancing deals or one growth deal. Our Compensation Committee determined that the Chimerix Acquisition in April 2025 met the requirements of a growth deal. Additionally, our Compensation Committee had the discretion to adjust the payout level or calculation if determined appropriate. Our Compensation Committee assessed the performance on the goal at 195% and therefore a 39% corporate achievement percentage was attributable.</w:t>
      </w:r>
    </w:p>
    <w:p>
      <w:pPr>
        <w:spacing w:after="0" w:line="47" w:lineRule="exact"/>
        <w:rPr>
          <w:rFonts w:ascii="Arial" w:cs="Arial" w:eastAsia="Arial" w:hAnsi="Arial"/>
          <w:sz w:val="14"/>
          <w:szCs w:val="14"/>
          <w:color w:val="auto"/>
        </w:rPr>
      </w:pPr>
    </w:p>
    <w:p>
      <w:pPr>
        <w:ind w:left="340" w:right="360" w:hanging="332"/>
        <w:spacing w:after="0" w:line="283" w:lineRule="auto"/>
        <w:tabs>
          <w:tab w:leader="none" w:pos="327" w:val="left"/>
        </w:tabs>
        <w:numPr>
          <w:ilvl w:val="0"/>
          <w:numId w:val="60"/>
        </w:numPr>
        <w:rPr>
          <w:rFonts w:ascii="Arial" w:cs="Arial" w:eastAsia="Arial" w:hAnsi="Arial"/>
          <w:sz w:val="14"/>
          <w:szCs w:val="14"/>
          <w:color w:val="auto"/>
        </w:rPr>
      </w:pPr>
      <w:r>
        <w:rPr>
          <w:rFonts w:ascii="Arial" w:cs="Arial" w:eastAsia="Arial" w:hAnsi="Arial"/>
          <w:sz w:val="14"/>
          <w:szCs w:val="14"/>
          <w:color w:val="auto"/>
        </w:rPr>
        <w:t>High performance organization metrics consisted of the following goals: (i) maintaining a voluntary attrition rate below life science industry average; (ii) maintaining or improving our higher performance practice index; (iii) achieving certain operating effectiveness goals; and (iv) achieving certain patient experience goals. Our Compensation Committee determined that we had sufficiently achieved the goals; therefore, a 5% corporate achievement percentage was attributed.</w:t>
      </w:r>
    </w:p>
    <w:p>
      <w:pPr>
        <w:spacing w:after="0" w:line="24" w:lineRule="exact"/>
        <w:rPr>
          <w:rFonts w:ascii="Arial" w:cs="Arial" w:eastAsia="Arial" w:hAnsi="Arial"/>
          <w:sz w:val="14"/>
          <w:szCs w:val="14"/>
          <w:color w:val="auto"/>
        </w:rPr>
      </w:pPr>
    </w:p>
    <w:p>
      <w:pPr>
        <w:ind w:left="340" w:right="760" w:hanging="332"/>
        <w:spacing w:after="0" w:line="305" w:lineRule="auto"/>
        <w:tabs>
          <w:tab w:leader="none" w:pos="327"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percentages in this column represent, for each objective, the weight of the objective multiplied by the performance multiplier that corresponds to the actual achievement of such objective.</w:t>
      </w:r>
    </w:p>
    <w:p>
      <w:pPr>
        <w:spacing w:after="0" w:line="207"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color w:val="auto"/>
        </w:rPr>
        <w:t>Following the end of the 2025 fiscal year, our Compensation Committee reviewed our Company’s performance against the corporate objectives and approved an overall corporate achievement percentage of 150% of the target corporate performance for the 2025 plan year. The actual bonus amounts payable to certain of the NEOs were adjusted by our Compensation Committee in light of the individual considerations, as described below under “</w:t>
      </w:r>
      <w:r>
        <w:rPr>
          <w:rFonts w:ascii="Arial" w:cs="Arial" w:eastAsia="Arial" w:hAnsi="Arial"/>
          <w:sz w:val="16"/>
          <w:szCs w:val="16"/>
          <w:i w:val="1"/>
          <w:iCs w:val="1"/>
          <w:color w:val="auto"/>
        </w:rPr>
        <w:t>2025</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Decisions for Our NEOs.</w:t>
      </w:r>
      <w:r>
        <w:rPr>
          <w:rFonts w:ascii="Arial" w:cs="Arial" w:eastAsia="Arial" w:hAnsi="Arial"/>
          <w:sz w:val="16"/>
          <w:szCs w:val="16"/>
          <w:color w:val="auto"/>
        </w:rPr>
        <w:t>” The actual bonus payments approved for each of the NEOs for 2025 are described below in that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172085</wp:posOffset>
            </wp:positionV>
            <wp:extent cx="1242695" cy="2057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82"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60</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22" w:right="419" w:bottom="1440" w:gutter="0" w:footer="0" w:header="0"/>
        </w:sectPr>
      </w:pPr>
    </w:p>
    <w:bookmarkStart w:id="68" w:name="page69"/>
    <w:bookmarkEnd w:id="68"/>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2025 – 2027 PSU Program</w:t>
      </w:r>
    </w:p>
    <w:p>
      <w:pPr>
        <w:spacing w:after="0" w:line="185" w:lineRule="exact"/>
        <w:rPr>
          <w:sz w:val="20"/>
          <w:szCs w:val="20"/>
          <w:color w:val="auto"/>
        </w:rPr>
      </w:pPr>
    </w:p>
    <w:p>
      <w:pPr>
        <w:jc w:val="both"/>
        <w:ind w:right="280"/>
        <w:spacing w:after="0" w:line="321" w:lineRule="auto"/>
        <w:rPr>
          <w:sz w:val="20"/>
          <w:szCs w:val="20"/>
          <w:color w:val="auto"/>
        </w:rPr>
      </w:pPr>
      <w:r>
        <w:rPr>
          <w:rFonts w:ascii="Arial" w:cs="Arial" w:eastAsia="Arial" w:hAnsi="Arial"/>
          <w:sz w:val="16"/>
          <w:szCs w:val="16"/>
          <w:color w:val="auto"/>
        </w:rPr>
        <w:t>Our Compensation Committee designed the 2025 – 2027 PSU Program to align closely to our strategy for long-term, sustainable growth and shareholder value creation. The 2025 PSUs are intended to incentivize and reward our executive officers for demonstrating strong progress towards these objectives.</w:t>
      </w:r>
    </w:p>
    <w:p>
      <w:pPr>
        <w:spacing w:after="0" w:line="102"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The 2025 PSUs are eligible to vest based on achievement of objective performance metrics, over a three-year performance period, including our relative TSR. Below is a summary of the performance metrics and associated weightings and targets applicable to the 2025 PSUs.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shd w:val="clear" w:color="auto" w:fill="001C71"/>
          </w:tcPr>
          <w:p>
            <w:pPr>
              <w:spacing w:after="0"/>
              <w:rPr>
                <w:sz w:val="18"/>
                <w:szCs w:val="18"/>
                <w:color w:val="auto"/>
              </w:rPr>
            </w:pPr>
          </w:p>
        </w:tc>
        <w:tc>
          <w:tcPr>
            <w:tcW w:w="3200" w:type="dxa"/>
            <w:vAlign w:val="bottom"/>
            <w:shd w:val="clear" w:color="auto" w:fill="001C71"/>
          </w:tcPr>
          <w:p>
            <w:pPr>
              <w:ind w:left="20"/>
              <w:spacing w:after="0"/>
              <w:rPr>
                <w:sz w:val="20"/>
                <w:szCs w:val="20"/>
                <w:color w:val="auto"/>
              </w:rPr>
            </w:pPr>
            <w:r>
              <w:rPr>
                <w:rFonts w:ascii="Arial" w:cs="Arial" w:eastAsia="Arial" w:hAnsi="Arial"/>
                <w:sz w:val="14"/>
                <w:szCs w:val="14"/>
                <w:b w:val="1"/>
                <w:bCs w:val="1"/>
                <w:color w:val="FFFFFF"/>
              </w:rPr>
              <w:t>Performance Goals</w:t>
            </w:r>
          </w:p>
        </w:tc>
        <w:tc>
          <w:tcPr>
            <w:tcW w:w="3600" w:type="dxa"/>
            <w:vAlign w:val="bottom"/>
            <w:shd w:val="clear" w:color="auto" w:fill="001C71"/>
          </w:tcPr>
          <w:p>
            <w:pPr>
              <w:spacing w:after="0"/>
              <w:rPr>
                <w:sz w:val="18"/>
                <w:szCs w:val="18"/>
                <w:color w:val="auto"/>
              </w:rPr>
            </w:pPr>
          </w:p>
        </w:tc>
        <w:tc>
          <w:tcPr>
            <w:tcW w:w="2560" w:type="dxa"/>
            <w:vAlign w:val="bottom"/>
            <w:shd w:val="clear" w:color="auto" w:fill="001C71"/>
          </w:tcPr>
          <w:p>
            <w:pPr>
              <w:jc w:val="right"/>
              <w:ind w:right="688"/>
              <w:spacing w:after="0"/>
              <w:rPr>
                <w:sz w:val="20"/>
                <w:szCs w:val="20"/>
                <w:color w:val="auto"/>
              </w:rPr>
            </w:pPr>
            <w:r>
              <w:rPr>
                <w:rFonts w:ascii="Arial" w:cs="Arial" w:eastAsia="Arial" w:hAnsi="Arial"/>
                <w:sz w:val="14"/>
                <w:szCs w:val="14"/>
                <w:b w:val="1"/>
                <w:bCs w:val="1"/>
                <w:color w:val="FFFFFF"/>
              </w:rPr>
              <w:t>Weighting</w:t>
            </w:r>
          </w:p>
        </w:tc>
        <w:tc>
          <w:tcPr>
            <w:tcW w:w="180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Target</w:t>
            </w:r>
          </w:p>
        </w:tc>
        <w:tc>
          <w:tcPr>
            <w:tcW w:w="0" w:type="dxa"/>
            <w:vAlign w:val="bottom"/>
          </w:tcPr>
          <w:p>
            <w:pPr>
              <w:spacing w:after="0"/>
              <w:rPr>
                <w:sz w:val="1"/>
                <w:szCs w:val="1"/>
                <w:color w:val="auto"/>
              </w:rPr>
            </w:pPr>
          </w:p>
        </w:tc>
      </w:tr>
      <w:tr>
        <w:trPr>
          <w:trHeight w:val="67"/>
        </w:trPr>
        <w:tc>
          <w:tcPr>
            <w:tcW w:w="80" w:type="dxa"/>
            <w:vAlign w:val="bottom"/>
            <w:shd w:val="clear" w:color="auto" w:fill="001C71"/>
          </w:tcPr>
          <w:p>
            <w:pPr>
              <w:spacing w:after="0"/>
              <w:rPr>
                <w:sz w:val="5"/>
                <w:szCs w:val="5"/>
                <w:color w:val="auto"/>
              </w:rPr>
            </w:pPr>
          </w:p>
        </w:tc>
        <w:tc>
          <w:tcPr>
            <w:tcW w:w="3200" w:type="dxa"/>
            <w:vAlign w:val="bottom"/>
            <w:shd w:val="clear" w:color="auto" w:fill="001C71"/>
          </w:tcPr>
          <w:p>
            <w:pPr>
              <w:spacing w:after="0"/>
              <w:rPr>
                <w:sz w:val="5"/>
                <w:szCs w:val="5"/>
                <w:color w:val="auto"/>
              </w:rPr>
            </w:pPr>
          </w:p>
        </w:tc>
        <w:tc>
          <w:tcPr>
            <w:tcW w:w="3600" w:type="dxa"/>
            <w:vAlign w:val="bottom"/>
            <w:shd w:val="clear" w:color="auto" w:fill="001C71"/>
          </w:tcPr>
          <w:p>
            <w:pPr>
              <w:spacing w:after="0"/>
              <w:rPr>
                <w:sz w:val="5"/>
                <w:szCs w:val="5"/>
                <w:color w:val="auto"/>
              </w:rPr>
            </w:pPr>
          </w:p>
        </w:tc>
        <w:tc>
          <w:tcPr>
            <w:tcW w:w="2560" w:type="dxa"/>
            <w:vAlign w:val="bottom"/>
            <w:shd w:val="clear" w:color="auto" w:fill="001C71"/>
          </w:tcPr>
          <w:p>
            <w:pPr>
              <w:spacing w:after="0"/>
              <w:rPr>
                <w:sz w:val="5"/>
                <w:szCs w:val="5"/>
                <w:color w:val="auto"/>
              </w:rPr>
            </w:pPr>
          </w:p>
        </w:tc>
        <w:tc>
          <w:tcPr>
            <w:tcW w:w="1800" w:type="dxa"/>
            <w:vAlign w:val="bottom"/>
            <w:shd w:val="clear" w:color="auto" w:fill="001C71"/>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3200" w:type="dxa"/>
            <w:vAlign w:val="bottom"/>
            <w:vMerge w:val="restart"/>
          </w:tcPr>
          <w:p>
            <w:pPr>
              <w:ind w:left="20"/>
              <w:spacing w:after="0"/>
              <w:rPr>
                <w:sz w:val="20"/>
                <w:szCs w:val="20"/>
                <w:color w:val="auto"/>
              </w:rPr>
            </w:pPr>
            <w:r>
              <w:rPr>
                <w:rFonts w:ascii="Arial" w:cs="Arial" w:eastAsia="Arial" w:hAnsi="Arial"/>
                <w:sz w:val="14"/>
                <w:szCs w:val="14"/>
                <w:color w:val="auto"/>
              </w:rPr>
              <w:t>Operational execution scorecard</w:t>
            </w:r>
            <w:r>
              <w:rPr>
                <w:rFonts w:ascii="Arial" w:cs="Arial" w:eastAsia="Arial" w:hAnsi="Arial"/>
                <w:sz w:val="9"/>
                <w:szCs w:val="9"/>
                <w:color w:val="auto"/>
              </w:rPr>
              <w:t>(1)</w:t>
            </w:r>
          </w:p>
        </w:tc>
        <w:tc>
          <w:tcPr>
            <w:tcW w:w="3600" w:type="dxa"/>
            <w:vAlign w:val="bottom"/>
          </w:tcPr>
          <w:p>
            <w:pPr>
              <w:ind w:left="1000"/>
              <w:spacing w:after="0"/>
              <w:rPr>
                <w:sz w:val="20"/>
                <w:szCs w:val="20"/>
                <w:color w:val="auto"/>
              </w:rPr>
            </w:pPr>
            <w:r>
              <w:rPr>
                <w:rFonts w:ascii="Arial" w:cs="Arial" w:eastAsia="Arial" w:hAnsi="Arial"/>
                <w:sz w:val="14"/>
                <w:szCs w:val="14"/>
                <w:color w:val="auto"/>
              </w:rPr>
              <w:t>Commercial</w:t>
            </w:r>
          </w:p>
        </w:tc>
        <w:tc>
          <w:tcPr>
            <w:tcW w:w="2560" w:type="dxa"/>
            <w:vAlign w:val="bottom"/>
            <w:vMerge w:val="restart"/>
          </w:tcPr>
          <w:p>
            <w:pPr>
              <w:jc w:val="right"/>
              <w:ind w:right="688"/>
              <w:spacing w:after="0"/>
              <w:rPr>
                <w:sz w:val="20"/>
                <w:szCs w:val="20"/>
                <w:color w:val="auto"/>
              </w:rPr>
            </w:pPr>
            <w:r>
              <w:rPr>
                <w:rFonts w:ascii="Arial" w:cs="Arial" w:eastAsia="Arial" w:hAnsi="Arial"/>
                <w:sz w:val="14"/>
                <w:szCs w:val="14"/>
                <w:color w:val="auto"/>
              </w:rPr>
              <w:t>67%</w:t>
            </w:r>
          </w:p>
        </w:tc>
        <w:tc>
          <w:tcPr>
            <w:tcW w:w="1800" w:type="dxa"/>
            <w:vAlign w:val="bottom"/>
            <w:vMerge w:val="restart"/>
          </w:tcPr>
          <w:p>
            <w:pPr>
              <w:jc w:val="right"/>
              <w:ind w:right="48"/>
              <w:spacing w:after="0"/>
              <w:rPr>
                <w:sz w:val="20"/>
                <w:szCs w:val="20"/>
                <w:color w:val="auto"/>
              </w:rPr>
            </w:pPr>
            <w:r>
              <w:rPr>
                <w:rFonts w:ascii="Arial" w:cs="Arial" w:eastAsia="Arial" w:hAnsi="Arial"/>
                <w:sz w:val="14"/>
                <w:szCs w:val="14"/>
                <w:color w:val="auto"/>
              </w:rPr>
              <w:t>100 points</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3200" w:type="dxa"/>
            <w:vAlign w:val="bottom"/>
            <w:vMerge w:val="continue"/>
          </w:tcPr>
          <w:p>
            <w:pPr>
              <w:spacing w:after="0"/>
              <w:rPr>
                <w:sz w:val="15"/>
                <w:szCs w:val="15"/>
                <w:color w:val="auto"/>
              </w:rPr>
            </w:pPr>
          </w:p>
        </w:tc>
        <w:tc>
          <w:tcPr>
            <w:tcW w:w="3600" w:type="dxa"/>
            <w:vAlign w:val="bottom"/>
          </w:tcPr>
          <w:p>
            <w:pPr>
              <w:ind w:left="1000"/>
              <w:spacing w:after="0"/>
              <w:rPr>
                <w:sz w:val="20"/>
                <w:szCs w:val="20"/>
                <w:color w:val="auto"/>
              </w:rPr>
            </w:pPr>
            <w:r>
              <w:rPr>
                <w:rFonts w:ascii="Arial" w:cs="Arial" w:eastAsia="Arial" w:hAnsi="Arial"/>
                <w:sz w:val="14"/>
                <w:szCs w:val="14"/>
                <w:color w:val="auto"/>
              </w:rPr>
              <w:t>Pipeline</w:t>
            </w:r>
          </w:p>
        </w:tc>
        <w:tc>
          <w:tcPr>
            <w:tcW w:w="256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0" w:type="dxa"/>
            <w:vAlign w:val="bottom"/>
            <w:tcBorders>
              <w:bottom w:val="single" w:sz="8" w:color="5673B8"/>
            </w:tcBorders>
          </w:tcPr>
          <w:p>
            <w:pPr>
              <w:spacing w:after="0"/>
              <w:rPr>
                <w:sz w:val="16"/>
                <w:szCs w:val="16"/>
                <w:color w:val="auto"/>
              </w:rPr>
            </w:pPr>
          </w:p>
        </w:tc>
        <w:tc>
          <w:tcPr>
            <w:tcW w:w="3200" w:type="dxa"/>
            <w:vAlign w:val="bottom"/>
            <w:tcBorders>
              <w:bottom w:val="single" w:sz="8" w:color="5673B8"/>
            </w:tcBorders>
          </w:tcPr>
          <w:p>
            <w:pPr>
              <w:spacing w:after="0"/>
              <w:rPr>
                <w:sz w:val="16"/>
                <w:szCs w:val="16"/>
                <w:color w:val="auto"/>
              </w:rPr>
            </w:pPr>
          </w:p>
        </w:tc>
        <w:tc>
          <w:tcPr>
            <w:tcW w:w="3600" w:type="dxa"/>
            <w:vAlign w:val="bottom"/>
            <w:tcBorders>
              <w:bottom w:val="single" w:sz="8" w:color="5673B8"/>
            </w:tcBorders>
          </w:tcPr>
          <w:p>
            <w:pPr>
              <w:ind w:left="1000"/>
              <w:spacing w:after="0"/>
              <w:rPr>
                <w:sz w:val="20"/>
                <w:szCs w:val="20"/>
                <w:color w:val="auto"/>
              </w:rPr>
            </w:pPr>
            <w:r>
              <w:rPr>
                <w:rFonts w:ascii="Arial" w:cs="Arial" w:eastAsia="Arial" w:hAnsi="Arial"/>
                <w:sz w:val="14"/>
                <w:szCs w:val="14"/>
                <w:color w:val="auto"/>
              </w:rPr>
              <w:t>Corporate development</w:t>
            </w:r>
          </w:p>
        </w:tc>
        <w:tc>
          <w:tcPr>
            <w:tcW w:w="2560" w:type="dxa"/>
            <w:vAlign w:val="bottom"/>
            <w:tcBorders>
              <w:bottom w:val="single" w:sz="8" w:color="5673B8"/>
            </w:tcBorders>
          </w:tcPr>
          <w:p>
            <w:pPr>
              <w:spacing w:after="0"/>
              <w:rPr>
                <w:sz w:val="16"/>
                <w:szCs w:val="16"/>
                <w:color w:val="auto"/>
              </w:rPr>
            </w:pPr>
          </w:p>
        </w:tc>
        <w:tc>
          <w:tcPr>
            <w:tcW w:w="1800" w:type="dxa"/>
            <w:vAlign w:val="bottom"/>
            <w:tcBorders>
              <w:bottom w:val="single" w:sz="8" w:color="5673B8"/>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3600" w:type="dxa"/>
            <w:vAlign w:val="bottom"/>
          </w:tcPr>
          <w:p>
            <w:pPr>
              <w:ind w:left="1000"/>
              <w:spacing w:after="0"/>
              <w:rPr>
                <w:sz w:val="20"/>
                <w:szCs w:val="20"/>
                <w:color w:val="auto"/>
              </w:rPr>
            </w:pPr>
            <w:r>
              <w:rPr>
                <w:rFonts w:ascii="Arial" w:cs="Arial" w:eastAsia="Arial" w:hAnsi="Arial"/>
                <w:sz w:val="14"/>
                <w:szCs w:val="14"/>
                <w:color w:val="auto"/>
              </w:rPr>
              <w:t>Relative TSR</w:t>
            </w:r>
            <w:r>
              <w:rPr>
                <w:rFonts w:ascii="Arial" w:cs="Arial" w:eastAsia="Arial" w:hAnsi="Arial"/>
                <w:sz w:val="9"/>
                <w:szCs w:val="9"/>
                <w:color w:val="auto"/>
              </w:rPr>
              <w:t>(2)</w:t>
            </w:r>
          </w:p>
        </w:tc>
        <w:tc>
          <w:tcPr>
            <w:tcW w:w="2560" w:type="dxa"/>
            <w:vAlign w:val="bottom"/>
          </w:tcPr>
          <w:p>
            <w:pPr>
              <w:jc w:val="right"/>
              <w:ind w:right="688"/>
              <w:spacing w:after="0"/>
              <w:rPr>
                <w:sz w:val="20"/>
                <w:szCs w:val="20"/>
                <w:color w:val="auto"/>
              </w:rPr>
            </w:pPr>
            <w:r>
              <w:rPr>
                <w:rFonts w:ascii="Arial" w:cs="Arial" w:eastAsia="Arial" w:hAnsi="Arial"/>
                <w:sz w:val="14"/>
                <w:szCs w:val="14"/>
                <w:color w:val="auto"/>
              </w:rPr>
              <w:t>33%</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50</w:t>
            </w:r>
            <w:r>
              <w:rPr>
                <w:rFonts w:ascii="Arial" w:cs="Arial" w:eastAsia="Arial" w:hAnsi="Arial"/>
                <w:sz w:val="9"/>
                <w:szCs w:val="9"/>
                <w:color w:val="auto"/>
              </w:rPr>
              <w:t>th</w:t>
            </w:r>
            <w:r>
              <w:rPr>
                <w:rFonts w:ascii="Arial" w:cs="Arial" w:eastAsia="Arial" w:hAnsi="Arial"/>
                <w:sz w:val="14"/>
                <w:szCs w:val="14"/>
                <w:color w:val="auto"/>
              </w:rPr>
              <w:t xml:space="preserve"> percentile</w:t>
            </w:r>
          </w:p>
        </w:tc>
        <w:tc>
          <w:tcPr>
            <w:tcW w:w="0" w:type="dxa"/>
            <w:vAlign w:val="bottom"/>
          </w:tcPr>
          <w:p>
            <w:pPr>
              <w:spacing w:after="0"/>
              <w:rPr>
                <w:sz w:val="1"/>
                <w:szCs w:val="1"/>
                <w:color w:val="auto"/>
              </w:rPr>
            </w:pPr>
          </w:p>
        </w:tc>
      </w:tr>
      <w:tr>
        <w:trPr>
          <w:trHeight w:val="22"/>
        </w:trPr>
        <w:tc>
          <w:tcPr>
            <w:tcW w:w="80" w:type="dxa"/>
            <w:vAlign w:val="bottom"/>
            <w:tcBorders>
              <w:bottom w:val="single" w:sz="8" w:color="852166"/>
            </w:tcBorders>
          </w:tcPr>
          <w:p>
            <w:pPr>
              <w:spacing w:after="0" w:line="20" w:lineRule="exact"/>
              <w:rPr>
                <w:sz w:val="1"/>
                <w:szCs w:val="1"/>
                <w:color w:val="auto"/>
              </w:rPr>
            </w:pPr>
          </w:p>
        </w:tc>
        <w:tc>
          <w:tcPr>
            <w:tcW w:w="3200" w:type="dxa"/>
            <w:vAlign w:val="bottom"/>
            <w:tcBorders>
              <w:bottom w:val="single" w:sz="8" w:color="852166"/>
            </w:tcBorders>
          </w:tcPr>
          <w:p>
            <w:pPr>
              <w:spacing w:after="0" w:line="20" w:lineRule="exact"/>
              <w:rPr>
                <w:sz w:val="1"/>
                <w:szCs w:val="1"/>
                <w:color w:val="auto"/>
              </w:rPr>
            </w:pPr>
          </w:p>
        </w:tc>
        <w:tc>
          <w:tcPr>
            <w:tcW w:w="3600" w:type="dxa"/>
            <w:vAlign w:val="bottom"/>
            <w:tcBorders>
              <w:bottom w:val="single" w:sz="8" w:color="852166"/>
            </w:tcBorders>
          </w:tcPr>
          <w:p>
            <w:pPr>
              <w:spacing w:after="0" w:line="20" w:lineRule="exact"/>
              <w:rPr>
                <w:sz w:val="1"/>
                <w:szCs w:val="1"/>
                <w:color w:val="auto"/>
              </w:rPr>
            </w:pPr>
          </w:p>
        </w:tc>
        <w:tc>
          <w:tcPr>
            <w:tcW w:w="2560" w:type="dxa"/>
            <w:vAlign w:val="bottom"/>
            <w:tcBorders>
              <w:bottom w:val="single" w:sz="8" w:color="852166"/>
            </w:tcBorders>
          </w:tcPr>
          <w:p>
            <w:pPr>
              <w:spacing w:after="0" w:line="20" w:lineRule="exact"/>
              <w:rPr>
                <w:sz w:val="1"/>
                <w:szCs w:val="1"/>
                <w:color w:val="auto"/>
              </w:rPr>
            </w:pPr>
          </w:p>
        </w:tc>
        <w:tc>
          <w:tcPr>
            <w:tcW w:w="1800" w:type="dxa"/>
            <w:vAlign w:val="bottom"/>
            <w:tcBorders>
              <w:bottom w:val="single" w:sz="8" w:color="85216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80" w:type="dxa"/>
            <w:vAlign w:val="bottom"/>
            <w:tcBorders>
              <w:bottom w:val="single" w:sz="8" w:color="852166"/>
            </w:tcBorders>
          </w:tcPr>
          <w:p>
            <w:pPr>
              <w:spacing w:after="0"/>
              <w:rPr>
                <w:sz w:val="18"/>
                <w:szCs w:val="18"/>
                <w:color w:val="auto"/>
              </w:rPr>
            </w:pPr>
          </w:p>
        </w:tc>
        <w:tc>
          <w:tcPr>
            <w:tcW w:w="3200" w:type="dxa"/>
            <w:vAlign w:val="bottom"/>
            <w:tcBorders>
              <w:bottom w:val="single" w:sz="8" w:color="852166"/>
            </w:tcBorders>
          </w:tcPr>
          <w:p>
            <w:pPr>
              <w:ind w:left="20"/>
              <w:spacing w:after="0"/>
              <w:rPr>
                <w:sz w:val="20"/>
                <w:szCs w:val="20"/>
                <w:color w:val="auto"/>
              </w:rPr>
            </w:pPr>
            <w:r>
              <w:rPr>
                <w:rFonts w:ascii="Arial" w:cs="Arial" w:eastAsia="Arial" w:hAnsi="Arial"/>
                <w:sz w:val="14"/>
                <w:szCs w:val="14"/>
                <w:b w:val="1"/>
                <w:bCs w:val="1"/>
                <w:color w:val="852166"/>
              </w:rPr>
              <w:t>TOTAL</w:t>
            </w:r>
          </w:p>
        </w:tc>
        <w:tc>
          <w:tcPr>
            <w:tcW w:w="3600" w:type="dxa"/>
            <w:vAlign w:val="bottom"/>
            <w:tcBorders>
              <w:bottom w:val="single" w:sz="8" w:color="852166"/>
            </w:tcBorders>
          </w:tcPr>
          <w:p>
            <w:pPr>
              <w:spacing w:after="0"/>
              <w:rPr>
                <w:sz w:val="18"/>
                <w:szCs w:val="18"/>
                <w:color w:val="auto"/>
              </w:rPr>
            </w:pPr>
          </w:p>
        </w:tc>
        <w:tc>
          <w:tcPr>
            <w:tcW w:w="2560" w:type="dxa"/>
            <w:vAlign w:val="bottom"/>
            <w:tcBorders>
              <w:bottom w:val="single" w:sz="8" w:color="852166"/>
            </w:tcBorders>
          </w:tcPr>
          <w:p>
            <w:pPr>
              <w:jc w:val="right"/>
              <w:ind w:right="708"/>
              <w:spacing w:after="0"/>
              <w:rPr>
                <w:sz w:val="20"/>
                <w:szCs w:val="20"/>
                <w:color w:val="auto"/>
              </w:rPr>
            </w:pPr>
            <w:r>
              <w:rPr>
                <w:rFonts w:ascii="Arial" w:cs="Arial" w:eastAsia="Arial" w:hAnsi="Arial"/>
                <w:sz w:val="14"/>
                <w:szCs w:val="14"/>
                <w:b w:val="1"/>
                <w:bCs w:val="1"/>
                <w:color w:val="852166"/>
              </w:rPr>
              <w:t>100%</w:t>
            </w:r>
          </w:p>
        </w:tc>
        <w:tc>
          <w:tcPr>
            <w:tcW w:w="1800" w:type="dxa"/>
            <w:vAlign w:val="bottom"/>
            <w:tcBorders>
              <w:bottom w:val="single" w:sz="8" w:color="852166"/>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60" w:hanging="332"/>
        <w:spacing w:after="0" w:line="305" w:lineRule="auto"/>
        <w:tabs>
          <w:tab w:leader="none" w:pos="327"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elements of the operational execution scorecard are set forth below. The operational execution scorecard can be earned at 50% of target at the threshold performance (50 points), and up to 200% of target at stretch performance (170 points) with linear interpolation used between performance levels.</w:t>
      </w:r>
    </w:p>
    <w:p>
      <w:pPr>
        <w:spacing w:after="0" w:line="22" w:lineRule="exact"/>
        <w:rPr>
          <w:rFonts w:ascii="Arial" w:cs="Arial" w:eastAsia="Arial" w:hAnsi="Arial"/>
          <w:sz w:val="14"/>
          <w:szCs w:val="14"/>
          <w:color w:val="auto"/>
        </w:rPr>
      </w:pPr>
    </w:p>
    <w:p>
      <w:pPr>
        <w:ind w:left="340" w:right="200" w:hanging="332"/>
        <w:spacing w:after="0" w:line="269" w:lineRule="auto"/>
        <w:tabs>
          <w:tab w:leader="none" w:pos="327"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peer group used is the Nasdaq Biotechnology Index as explained further below. The TSR payout percentage can be earned at 50% of target in the event the TSR percentile rank is at 25th percentile or below, and up to 200% of target in the event the TSR percentile rank is at 75th percentile and above, with linear interpolation used between performance levels. The overall award payout will be capped at 100% if (i) the TSR percentile rank is in the bottom quartile or (ii) absolute TSR for the performance period is negative.</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0" w:type="dxa"/>
            <w:vAlign w:val="bottom"/>
            <w:shd w:val="clear" w:color="auto" w:fill="001C71"/>
          </w:tcPr>
          <w:p>
            <w:pPr>
              <w:spacing w:after="0"/>
              <w:rPr>
                <w:sz w:val="18"/>
                <w:szCs w:val="18"/>
                <w:color w:val="auto"/>
              </w:rPr>
            </w:pPr>
          </w:p>
        </w:tc>
        <w:tc>
          <w:tcPr>
            <w:tcW w:w="4060" w:type="dxa"/>
            <w:vAlign w:val="bottom"/>
            <w:shd w:val="clear" w:color="auto" w:fill="001C71"/>
          </w:tcPr>
          <w:p>
            <w:pPr>
              <w:ind w:left="20"/>
              <w:spacing w:after="0"/>
              <w:rPr>
                <w:sz w:val="20"/>
                <w:szCs w:val="20"/>
                <w:color w:val="auto"/>
              </w:rPr>
            </w:pPr>
            <w:r>
              <w:rPr>
                <w:rFonts w:ascii="Arial" w:cs="Arial" w:eastAsia="Arial" w:hAnsi="Arial"/>
                <w:sz w:val="14"/>
                <w:szCs w:val="14"/>
                <w:b w:val="1"/>
                <w:bCs w:val="1"/>
                <w:color w:val="FFFFFF"/>
              </w:rPr>
              <w:t>Operational Execution Scorecard Area</w:t>
            </w:r>
          </w:p>
        </w:tc>
        <w:tc>
          <w:tcPr>
            <w:tcW w:w="4000" w:type="dxa"/>
            <w:vAlign w:val="bottom"/>
            <w:shd w:val="clear" w:color="auto" w:fill="001C71"/>
          </w:tcPr>
          <w:p>
            <w:pPr>
              <w:ind w:left="20"/>
              <w:spacing w:after="0"/>
              <w:rPr>
                <w:sz w:val="20"/>
                <w:szCs w:val="20"/>
                <w:color w:val="auto"/>
              </w:rPr>
            </w:pPr>
            <w:r>
              <w:rPr>
                <w:rFonts w:ascii="Arial" w:cs="Arial" w:eastAsia="Arial" w:hAnsi="Arial"/>
                <w:sz w:val="14"/>
                <w:szCs w:val="14"/>
                <w:b w:val="1"/>
                <w:bCs w:val="1"/>
                <w:color w:val="FFFFFF"/>
              </w:rPr>
              <w:t>Goal</w:t>
            </w:r>
          </w:p>
        </w:tc>
        <w:tc>
          <w:tcPr>
            <w:tcW w:w="234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Target Points</w:t>
            </w:r>
          </w:p>
        </w:tc>
        <w:tc>
          <w:tcPr>
            <w:tcW w:w="0" w:type="dxa"/>
            <w:vAlign w:val="bottom"/>
          </w:tcPr>
          <w:p>
            <w:pPr>
              <w:spacing w:after="0"/>
              <w:rPr>
                <w:sz w:val="1"/>
                <w:szCs w:val="1"/>
                <w:color w:val="auto"/>
              </w:rPr>
            </w:pPr>
          </w:p>
        </w:tc>
      </w:tr>
      <w:tr>
        <w:trPr>
          <w:trHeight w:val="67"/>
        </w:trPr>
        <w:tc>
          <w:tcPr>
            <w:tcW w:w="80" w:type="dxa"/>
            <w:vAlign w:val="bottom"/>
            <w:shd w:val="clear" w:color="auto" w:fill="001C71"/>
          </w:tcPr>
          <w:p>
            <w:pPr>
              <w:spacing w:after="0"/>
              <w:rPr>
                <w:sz w:val="5"/>
                <w:szCs w:val="5"/>
                <w:color w:val="auto"/>
              </w:rPr>
            </w:pPr>
          </w:p>
        </w:tc>
        <w:tc>
          <w:tcPr>
            <w:tcW w:w="4060" w:type="dxa"/>
            <w:vAlign w:val="bottom"/>
            <w:shd w:val="clear" w:color="auto" w:fill="001C71"/>
          </w:tcPr>
          <w:p>
            <w:pPr>
              <w:spacing w:after="0"/>
              <w:rPr>
                <w:sz w:val="5"/>
                <w:szCs w:val="5"/>
                <w:color w:val="auto"/>
              </w:rPr>
            </w:pPr>
          </w:p>
        </w:tc>
        <w:tc>
          <w:tcPr>
            <w:tcW w:w="4000" w:type="dxa"/>
            <w:vAlign w:val="bottom"/>
            <w:shd w:val="clear" w:color="auto" w:fill="001C71"/>
          </w:tcPr>
          <w:p>
            <w:pPr>
              <w:spacing w:after="0"/>
              <w:rPr>
                <w:sz w:val="5"/>
                <w:szCs w:val="5"/>
                <w:color w:val="auto"/>
              </w:rPr>
            </w:pPr>
          </w:p>
        </w:tc>
        <w:tc>
          <w:tcPr>
            <w:tcW w:w="2340" w:type="dxa"/>
            <w:vAlign w:val="bottom"/>
            <w:shd w:val="clear" w:color="auto" w:fill="001C71"/>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2027 Epidiolex revenue</w:t>
            </w:r>
          </w:p>
        </w:tc>
        <w:tc>
          <w:tcPr>
            <w:tcW w:w="234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89"/>
        </w:trPr>
        <w:tc>
          <w:tcPr>
            <w:tcW w:w="80" w:type="dxa"/>
            <w:vAlign w:val="bottom"/>
          </w:tcPr>
          <w:p>
            <w:pPr>
              <w:spacing w:after="0"/>
              <w:rPr>
                <w:sz w:val="7"/>
                <w:szCs w:val="7"/>
                <w:color w:val="auto"/>
              </w:rPr>
            </w:pPr>
          </w:p>
        </w:tc>
        <w:tc>
          <w:tcPr>
            <w:tcW w:w="4060" w:type="dxa"/>
            <w:vAlign w:val="bottom"/>
            <w:vMerge w:val="restart"/>
          </w:tcPr>
          <w:p>
            <w:pPr>
              <w:ind w:left="20"/>
              <w:spacing w:after="0"/>
              <w:rPr>
                <w:sz w:val="20"/>
                <w:szCs w:val="20"/>
                <w:color w:val="auto"/>
              </w:rPr>
            </w:pPr>
            <w:r>
              <w:rPr>
                <w:rFonts w:ascii="Arial" w:cs="Arial" w:eastAsia="Arial" w:hAnsi="Arial"/>
                <w:sz w:val="14"/>
                <w:szCs w:val="14"/>
                <w:color w:val="auto"/>
              </w:rPr>
              <w:t>Commercial</w:t>
            </w:r>
            <w:r>
              <w:rPr>
                <w:rFonts w:ascii="Arial" w:cs="Arial" w:eastAsia="Arial" w:hAnsi="Arial"/>
                <w:sz w:val="18"/>
                <w:szCs w:val="18"/>
                <w:color w:val="auto"/>
                <w:vertAlign w:val="superscript"/>
              </w:rPr>
              <w:t>(a)</w:t>
            </w:r>
          </w:p>
        </w:tc>
        <w:tc>
          <w:tcPr>
            <w:tcW w:w="4000" w:type="dxa"/>
            <w:vAlign w:val="bottom"/>
            <w:tcBorders>
              <w:bottom w:val="single" w:sz="8" w:color="5673B8"/>
            </w:tcBorders>
          </w:tcPr>
          <w:p>
            <w:pPr>
              <w:spacing w:after="0"/>
              <w:rPr>
                <w:sz w:val="7"/>
                <w:szCs w:val="7"/>
                <w:color w:val="auto"/>
              </w:rPr>
            </w:pPr>
          </w:p>
        </w:tc>
        <w:tc>
          <w:tcPr>
            <w:tcW w:w="234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313"/>
        </w:trPr>
        <w:tc>
          <w:tcPr>
            <w:tcW w:w="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2027 Zepzelca revenue</w:t>
            </w:r>
          </w:p>
        </w:tc>
        <w:tc>
          <w:tcPr>
            <w:tcW w:w="23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32"/>
        </w:trPr>
        <w:tc>
          <w:tcPr>
            <w:tcW w:w="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4000" w:type="dxa"/>
            <w:vAlign w:val="bottom"/>
            <w:tcBorders>
              <w:bottom w:val="single" w:sz="8" w:color="5673B8"/>
            </w:tcBorders>
          </w:tcPr>
          <w:p>
            <w:pPr>
              <w:spacing w:after="0"/>
              <w:rPr>
                <w:sz w:val="2"/>
                <w:szCs w:val="2"/>
                <w:color w:val="auto"/>
              </w:rPr>
            </w:pPr>
          </w:p>
        </w:tc>
        <w:tc>
          <w:tcPr>
            <w:tcW w:w="23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Xywav patients on therapy exiting 2025</w:t>
            </w:r>
          </w:p>
        </w:tc>
        <w:tc>
          <w:tcPr>
            <w:tcW w:w="23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9"/>
        </w:trPr>
        <w:tc>
          <w:tcPr>
            <w:tcW w:w="80" w:type="dxa"/>
            <w:vAlign w:val="bottom"/>
            <w:tcBorders>
              <w:bottom w:val="single" w:sz="8" w:color="5673B8"/>
            </w:tcBorders>
          </w:tcPr>
          <w:p>
            <w:pPr>
              <w:spacing w:after="0"/>
              <w:rPr>
                <w:sz w:val="7"/>
                <w:szCs w:val="7"/>
                <w:color w:val="auto"/>
              </w:rPr>
            </w:pPr>
          </w:p>
        </w:tc>
        <w:tc>
          <w:tcPr>
            <w:tcW w:w="4060" w:type="dxa"/>
            <w:vAlign w:val="bottom"/>
            <w:tcBorders>
              <w:bottom w:val="single" w:sz="8" w:color="5673B8"/>
            </w:tcBorders>
          </w:tcPr>
          <w:p>
            <w:pPr>
              <w:spacing w:after="0"/>
              <w:rPr>
                <w:sz w:val="7"/>
                <w:szCs w:val="7"/>
                <w:color w:val="auto"/>
              </w:rPr>
            </w:pPr>
          </w:p>
        </w:tc>
        <w:tc>
          <w:tcPr>
            <w:tcW w:w="4000" w:type="dxa"/>
            <w:vAlign w:val="bottom"/>
            <w:tcBorders>
              <w:bottom w:val="single" w:sz="8" w:color="5673B8"/>
            </w:tcBorders>
          </w:tcPr>
          <w:p>
            <w:pPr>
              <w:spacing w:after="0"/>
              <w:rPr>
                <w:sz w:val="7"/>
                <w:szCs w:val="7"/>
                <w:color w:val="auto"/>
              </w:rPr>
            </w:pPr>
          </w:p>
        </w:tc>
        <w:tc>
          <w:tcPr>
            <w:tcW w:w="234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406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001C71"/>
              </w:rPr>
              <w:t>Total Target Commercial Points</w:t>
            </w:r>
            <w:r>
              <w:rPr>
                <w:rFonts w:ascii="Arial" w:cs="Arial" w:eastAsia="Arial" w:hAnsi="Arial"/>
                <w:sz w:val="18"/>
                <w:szCs w:val="18"/>
                <w:b w:val="1"/>
                <w:bCs w:val="1"/>
                <w:color w:val="001C71"/>
                <w:vertAlign w:val="superscript"/>
              </w:rPr>
              <w:t>(b)</w:t>
            </w:r>
          </w:p>
        </w:tc>
        <w:tc>
          <w:tcPr>
            <w:tcW w:w="4000" w:type="dxa"/>
            <w:vAlign w:val="bottom"/>
            <w:tcBorders>
              <w:bottom w:val="single" w:sz="8" w:color="5673B8"/>
            </w:tcBorders>
          </w:tcPr>
          <w:p>
            <w:pPr>
              <w:spacing w:after="0"/>
              <w:rPr>
                <w:sz w:val="19"/>
                <w:szCs w:val="19"/>
                <w:color w:val="auto"/>
              </w:rPr>
            </w:pPr>
          </w:p>
        </w:tc>
        <w:tc>
          <w:tcPr>
            <w:tcW w:w="234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50</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4060" w:type="dxa"/>
            <w:vAlign w:val="bottom"/>
            <w:tcBorders>
              <w:bottom w:val="single" w:sz="8" w:color="5673B8"/>
            </w:tcBorders>
          </w:tcPr>
          <w:p>
            <w:pPr>
              <w:ind w:left="20"/>
              <w:spacing w:after="0"/>
              <w:rPr>
                <w:sz w:val="20"/>
                <w:szCs w:val="20"/>
                <w:color w:val="auto"/>
              </w:rPr>
            </w:pPr>
            <w:r>
              <w:rPr>
                <w:rFonts w:ascii="Arial" w:cs="Arial" w:eastAsia="Arial" w:hAnsi="Arial"/>
                <w:sz w:val="14"/>
                <w:szCs w:val="14"/>
                <w:color w:val="auto"/>
              </w:rPr>
              <w:t>Pipeline</w:t>
            </w:r>
            <w:r>
              <w:rPr>
                <w:rFonts w:ascii="Arial" w:cs="Arial" w:eastAsia="Arial" w:hAnsi="Arial"/>
                <w:sz w:val="18"/>
                <w:szCs w:val="18"/>
                <w:color w:val="auto"/>
                <w:vertAlign w:val="superscript"/>
              </w:rPr>
              <w:t>(c)</w:t>
            </w:r>
          </w:p>
        </w:tc>
        <w:tc>
          <w:tcPr>
            <w:tcW w:w="4000" w:type="dxa"/>
            <w:vAlign w:val="bottom"/>
            <w:tcBorders>
              <w:bottom w:val="single" w:sz="8" w:color="5673B8"/>
            </w:tcBorders>
          </w:tcPr>
          <w:p>
            <w:pPr>
              <w:ind w:left="20"/>
              <w:spacing w:after="0"/>
              <w:rPr>
                <w:sz w:val="20"/>
                <w:szCs w:val="20"/>
                <w:color w:val="auto"/>
              </w:rPr>
            </w:pPr>
            <w:r>
              <w:rPr>
                <w:rFonts w:ascii="Arial" w:cs="Arial" w:eastAsia="Arial" w:hAnsi="Arial"/>
                <w:sz w:val="14"/>
                <w:szCs w:val="14"/>
                <w:color w:val="auto"/>
              </w:rPr>
              <w:t>Pivotal readouts and regulatory approvals</w:t>
            </w:r>
          </w:p>
        </w:tc>
        <w:tc>
          <w:tcPr>
            <w:tcW w:w="234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23"/>
        </w:trPr>
        <w:tc>
          <w:tcPr>
            <w:tcW w:w="80" w:type="dxa"/>
            <w:vAlign w:val="bottom"/>
            <w:tcBorders>
              <w:bottom w:val="single" w:sz="8" w:color="852166"/>
            </w:tcBorders>
          </w:tcPr>
          <w:p>
            <w:pPr>
              <w:spacing w:after="0"/>
              <w:rPr>
                <w:sz w:val="19"/>
                <w:szCs w:val="19"/>
                <w:color w:val="auto"/>
              </w:rPr>
            </w:pPr>
          </w:p>
        </w:tc>
        <w:tc>
          <w:tcPr>
            <w:tcW w:w="4060" w:type="dxa"/>
            <w:vAlign w:val="bottom"/>
            <w:tcBorders>
              <w:bottom w:val="single" w:sz="8" w:color="852166"/>
            </w:tcBorders>
          </w:tcPr>
          <w:p>
            <w:pPr>
              <w:ind w:left="20"/>
              <w:spacing w:after="0"/>
              <w:rPr>
                <w:sz w:val="20"/>
                <w:szCs w:val="20"/>
                <w:color w:val="auto"/>
              </w:rPr>
            </w:pPr>
            <w:r>
              <w:rPr>
                <w:rFonts w:ascii="Arial" w:cs="Arial" w:eastAsia="Arial" w:hAnsi="Arial"/>
                <w:sz w:val="14"/>
                <w:szCs w:val="14"/>
                <w:color w:val="auto"/>
              </w:rPr>
              <w:t>Corporate Development</w:t>
            </w:r>
            <w:r>
              <w:rPr>
                <w:rFonts w:ascii="Arial" w:cs="Arial" w:eastAsia="Arial" w:hAnsi="Arial"/>
                <w:sz w:val="18"/>
                <w:szCs w:val="18"/>
                <w:color w:val="auto"/>
                <w:vertAlign w:val="superscript"/>
              </w:rPr>
              <w:t>(d)</w:t>
            </w:r>
          </w:p>
        </w:tc>
        <w:tc>
          <w:tcPr>
            <w:tcW w:w="4000" w:type="dxa"/>
            <w:vAlign w:val="bottom"/>
            <w:tcBorders>
              <w:bottom w:val="single" w:sz="8" w:color="852166"/>
            </w:tcBorders>
          </w:tcPr>
          <w:p>
            <w:pPr>
              <w:ind w:left="20"/>
              <w:spacing w:after="0"/>
              <w:rPr>
                <w:sz w:val="20"/>
                <w:szCs w:val="20"/>
                <w:color w:val="auto"/>
              </w:rPr>
            </w:pPr>
            <w:r>
              <w:rPr>
                <w:rFonts w:ascii="Arial" w:cs="Arial" w:eastAsia="Arial" w:hAnsi="Arial"/>
                <w:sz w:val="14"/>
                <w:szCs w:val="14"/>
                <w:color w:val="auto"/>
              </w:rPr>
              <w:t>Pipeline deals and growth deals</w:t>
            </w:r>
          </w:p>
        </w:tc>
        <w:tc>
          <w:tcPr>
            <w:tcW w:w="234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16"/>
        </w:trPr>
        <w:tc>
          <w:tcPr>
            <w:tcW w:w="80" w:type="dxa"/>
            <w:vAlign w:val="bottom"/>
            <w:tcBorders>
              <w:bottom w:val="single" w:sz="8" w:color="852166"/>
            </w:tcBorders>
          </w:tcPr>
          <w:p>
            <w:pPr>
              <w:spacing w:after="0"/>
              <w:rPr>
                <w:sz w:val="18"/>
                <w:szCs w:val="18"/>
                <w:color w:val="auto"/>
              </w:rPr>
            </w:pPr>
          </w:p>
        </w:tc>
        <w:tc>
          <w:tcPr>
            <w:tcW w:w="4060" w:type="dxa"/>
            <w:vAlign w:val="bottom"/>
            <w:tcBorders>
              <w:bottom w:val="single" w:sz="8" w:color="852166"/>
            </w:tcBorders>
          </w:tcPr>
          <w:p>
            <w:pPr>
              <w:ind w:left="20"/>
              <w:spacing w:after="0"/>
              <w:rPr>
                <w:sz w:val="20"/>
                <w:szCs w:val="20"/>
                <w:color w:val="auto"/>
              </w:rPr>
            </w:pPr>
            <w:r>
              <w:rPr>
                <w:rFonts w:ascii="Arial" w:cs="Arial" w:eastAsia="Arial" w:hAnsi="Arial"/>
                <w:sz w:val="14"/>
                <w:szCs w:val="14"/>
                <w:b w:val="1"/>
                <w:bCs w:val="1"/>
                <w:color w:val="852166"/>
              </w:rPr>
              <w:t>TOTAL</w:t>
            </w:r>
          </w:p>
        </w:tc>
        <w:tc>
          <w:tcPr>
            <w:tcW w:w="4000" w:type="dxa"/>
            <w:vAlign w:val="bottom"/>
            <w:tcBorders>
              <w:bottom w:val="single" w:sz="8" w:color="852166"/>
            </w:tcBorders>
          </w:tcPr>
          <w:p>
            <w:pPr>
              <w:spacing w:after="0"/>
              <w:rPr>
                <w:sz w:val="18"/>
                <w:szCs w:val="18"/>
                <w:color w:val="auto"/>
              </w:rPr>
            </w:pPr>
          </w:p>
        </w:tc>
        <w:tc>
          <w:tcPr>
            <w:tcW w:w="234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852166"/>
              </w:rPr>
              <w:t>100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60" w:hanging="328"/>
        <w:spacing w:after="0" w:line="269" w:lineRule="auto"/>
        <w:tabs>
          <w:tab w:leader="none" w:pos="658" w:val="left"/>
        </w:tabs>
        <w:numPr>
          <w:ilvl w:val="0"/>
          <w:numId w:val="62"/>
        </w:numPr>
        <w:rPr>
          <w:rFonts w:ascii="Arial" w:cs="Arial" w:eastAsia="Arial" w:hAnsi="Arial"/>
          <w:sz w:val="14"/>
          <w:szCs w:val="14"/>
          <w:color w:val="auto"/>
        </w:rPr>
      </w:pPr>
      <w:r>
        <w:rPr>
          <w:rFonts w:ascii="Arial" w:cs="Arial" w:eastAsia="Arial" w:hAnsi="Arial"/>
          <w:sz w:val="14"/>
          <w:szCs w:val="14"/>
          <w:color w:val="auto"/>
        </w:rPr>
        <w:t>Epidiolex and Zepzelca product revenues and Xywav patient goals are set by our Compensation Committee and are not being disclosed as they represent confidential commercial and financial information, the disclosure of which would result in competitive harm to our Company. Our Compensation Committee believed that it set performance goals at rigorous and challenging levels that would require significant effort and achievement by our executive officers to be attained. Such goals were established in light of our internal forecast at the time as well as macroeconomic and industry environments.</w:t>
      </w:r>
    </w:p>
    <w:p>
      <w:pPr>
        <w:spacing w:after="0" w:line="47" w:lineRule="exact"/>
        <w:rPr>
          <w:rFonts w:ascii="Arial" w:cs="Arial" w:eastAsia="Arial" w:hAnsi="Arial"/>
          <w:sz w:val="14"/>
          <w:szCs w:val="14"/>
          <w:color w:val="auto"/>
        </w:rPr>
      </w:pPr>
    </w:p>
    <w:p>
      <w:pPr>
        <w:ind w:left="660" w:hanging="328"/>
        <w:spacing w:after="0"/>
        <w:tabs>
          <w:tab w:leader="none" w:pos="6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We will disclose the achievements for our 2025 – 2027 PSU Program at the end of the performance period.</w:t>
      </w:r>
    </w:p>
    <w:p>
      <w:pPr>
        <w:spacing w:after="0" w:line="82" w:lineRule="exact"/>
        <w:rPr>
          <w:rFonts w:ascii="Arial" w:cs="Arial" w:eastAsia="Arial" w:hAnsi="Arial"/>
          <w:sz w:val="14"/>
          <w:szCs w:val="14"/>
          <w:color w:val="auto"/>
        </w:rPr>
      </w:pPr>
    </w:p>
    <w:p>
      <w:pPr>
        <w:ind w:left="660" w:right="40" w:hanging="328"/>
        <w:spacing w:after="0" w:line="305" w:lineRule="auto"/>
        <w:tabs>
          <w:tab w:leader="none" w:pos="650" w:val="left"/>
        </w:tabs>
        <w:numPr>
          <w:ilvl w:val="0"/>
          <w:numId w:val="62"/>
        </w:numPr>
        <w:rPr>
          <w:rFonts w:ascii="Arial" w:cs="Arial" w:eastAsia="Arial" w:hAnsi="Arial"/>
          <w:sz w:val="14"/>
          <w:szCs w:val="14"/>
          <w:color w:val="auto"/>
        </w:rPr>
      </w:pPr>
      <w:r>
        <w:rPr>
          <w:rFonts w:ascii="Arial" w:cs="Arial" w:eastAsia="Arial" w:hAnsi="Arial"/>
          <w:sz w:val="14"/>
          <w:szCs w:val="14"/>
          <w:color w:val="auto"/>
        </w:rPr>
        <w:t>Points are awarded for achievement of the following during the performance period: seven points for each (a) human clinical study that forms the basis for progressing a development product to regulatory approval of a marketing application and/or (b) regulatory approval of a marketing application.</w:t>
      </w:r>
    </w:p>
    <w:p>
      <w:pPr>
        <w:spacing w:after="0" w:line="22" w:lineRule="exact"/>
        <w:rPr>
          <w:rFonts w:ascii="Arial" w:cs="Arial" w:eastAsia="Arial" w:hAnsi="Arial"/>
          <w:sz w:val="14"/>
          <w:szCs w:val="14"/>
          <w:color w:val="auto"/>
        </w:rPr>
      </w:pPr>
    </w:p>
    <w:p>
      <w:pPr>
        <w:ind w:left="660" w:right="160" w:hanging="328"/>
        <w:spacing w:after="0" w:line="305" w:lineRule="auto"/>
        <w:tabs>
          <w:tab w:leader="none" w:pos="658" w:val="left"/>
        </w:tabs>
        <w:numPr>
          <w:ilvl w:val="0"/>
          <w:numId w:val="62"/>
        </w:numPr>
        <w:rPr>
          <w:rFonts w:ascii="Arial" w:cs="Arial" w:eastAsia="Arial" w:hAnsi="Arial"/>
          <w:sz w:val="14"/>
          <w:szCs w:val="14"/>
          <w:color w:val="auto"/>
        </w:rPr>
      </w:pPr>
      <w:r>
        <w:rPr>
          <w:rFonts w:ascii="Arial" w:cs="Arial" w:eastAsia="Arial" w:hAnsi="Arial"/>
          <w:sz w:val="14"/>
          <w:szCs w:val="14"/>
          <w:color w:val="auto"/>
        </w:rPr>
        <w:t>Points are awarded for the following corporate development activities during the performance period: ten points for the first two qualifying deals with seven points for each subsequent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226060</wp:posOffset>
            </wp:positionV>
            <wp:extent cx="1242695" cy="2057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61</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9" w:name="page70"/>
    <w:bookmarkEnd w:id="69"/>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7"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Our Compensation Committee selected the Nasdaq Biotechnology Index as the peer group for the purposes of calculating the extent of the achievement of relative TSR goal for the following reasons:</w:t>
      </w:r>
    </w:p>
    <w:p>
      <w:pPr>
        <w:spacing w:after="0" w:line="102" w:lineRule="exact"/>
        <w:rPr>
          <w:sz w:val="20"/>
          <w:szCs w:val="20"/>
          <w:color w:val="auto"/>
        </w:rPr>
      </w:pPr>
    </w:p>
    <w:p>
      <w:pPr>
        <w:ind w:left="320" w:hanging="231"/>
        <w:spacing w:after="0"/>
        <w:tabs>
          <w:tab w:leader="none" w:pos="320" w:val="left"/>
        </w:tabs>
        <w:numPr>
          <w:ilvl w:val="0"/>
          <w:numId w:val="63"/>
        </w:numPr>
        <w:rPr>
          <w:rFonts w:ascii="Arial" w:cs="Arial" w:eastAsia="Arial" w:hAnsi="Arial"/>
          <w:sz w:val="16"/>
          <w:szCs w:val="16"/>
          <w:b w:val="1"/>
          <w:bCs w:val="1"/>
          <w:color w:val="001C71"/>
        </w:rPr>
      </w:pPr>
      <w:r>
        <w:rPr>
          <w:rFonts w:ascii="Arial" w:cs="Arial" w:eastAsia="Arial" w:hAnsi="Arial"/>
          <w:sz w:val="16"/>
          <w:szCs w:val="16"/>
          <w:color w:val="auto"/>
        </w:rPr>
        <w:t>the number of companies is large enough to withstand any potential industry consolidation;</w:t>
      </w:r>
    </w:p>
    <w:p>
      <w:pPr>
        <w:spacing w:after="0" w:line="140" w:lineRule="exact"/>
        <w:rPr>
          <w:rFonts w:ascii="Arial" w:cs="Arial" w:eastAsia="Arial" w:hAnsi="Arial"/>
          <w:sz w:val="16"/>
          <w:szCs w:val="16"/>
          <w:b w:val="1"/>
          <w:bCs w:val="1"/>
          <w:color w:val="001C71"/>
        </w:rPr>
      </w:pPr>
    </w:p>
    <w:p>
      <w:pPr>
        <w:ind w:left="340" w:right="700" w:hanging="251"/>
        <w:spacing w:after="0" w:line="321" w:lineRule="auto"/>
        <w:tabs>
          <w:tab w:leader="none" w:pos="329" w:val="left"/>
        </w:tabs>
        <w:numPr>
          <w:ilvl w:val="0"/>
          <w:numId w:val="63"/>
        </w:numPr>
        <w:rPr>
          <w:rFonts w:ascii="Arial" w:cs="Arial" w:eastAsia="Arial" w:hAnsi="Arial"/>
          <w:sz w:val="16"/>
          <w:szCs w:val="16"/>
          <w:b w:val="1"/>
          <w:bCs w:val="1"/>
          <w:color w:val="001C71"/>
        </w:rPr>
      </w:pPr>
      <w:r>
        <w:rPr>
          <w:rFonts w:ascii="Arial" w:cs="Arial" w:eastAsia="Arial" w:hAnsi="Arial"/>
          <w:sz w:val="16"/>
          <w:szCs w:val="16"/>
          <w:color w:val="auto"/>
        </w:rPr>
        <w:t>it is the most common comparator group used for PSU awards of companies in our executive compensation peer group above under “</w:t>
      </w:r>
      <w:r>
        <w:rPr>
          <w:rFonts w:ascii="Arial" w:cs="Arial" w:eastAsia="Arial" w:hAnsi="Arial"/>
          <w:sz w:val="16"/>
          <w:szCs w:val="16"/>
          <w:i w:val="1"/>
          <w:iCs w:val="1"/>
          <w:color w:val="auto"/>
        </w:rPr>
        <w:t>How We</w:t>
      </w:r>
      <w:r>
        <w:rPr>
          <w:rFonts w:ascii="Arial" w:cs="Arial" w:eastAsia="Arial" w:hAnsi="Arial"/>
          <w:sz w:val="16"/>
          <w:szCs w:val="16"/>
          <w:color w:val="auto"/>
        </w:rPr>
        <w:t xml:space="preserve"> </w:t>
      </w:r>
      <w:r>
        <w:rPr>
          <w:rFonts w:ascii="Arial" w:cs="Arial" w:eastAsia="Arial" w:hAnsi="Arial"/>
          <w:sz w:val="16"/>
          <w:szCs w:val="16"/>
          <w:i w:val="1"/>
          <w:iCs w:val="1"/>
          <w:color w:val="auto"/>
        </w:rPr>
        <w:t>Determine Executive Compensation—Competitive Assessment of Compensation—Peer Companies and Market Data</w:t>
      </w:r>
      <w:r>
        <w:rPr>
          <w:rFonts w:ascii="Arial" w:cs="Arial" w:eastAsia="Arial" w:hAnsi="Arial"/>
          <w:sz w:val="16"/>
          <w:szCs w:val="16"/>
          <w:color w:val="auto"/>
        </w:rPr>
        <w:t>,” and</w:t>
      </w:r>
    </w:p>
    <w:p>
      <w:pPr>
        <w:spacing w:after="0" w:line="47" w:lineRule="exact"/>
        <w:rPr>
          <w:rFonts w:ascii="Arial" w:cs="Arial" w:eastAsia="Arial" w:hAnsi="Arial"/>
          <w:sz w:val="16"/>
          <w:szCs w:val="16"/>
          <w:b w:val="1"/>
          <w:bCs w:val="1"/>
          <w:color w:val="001C71"/>
        </w:rPr>
      </w:pPr>
    </w:p>
    <w:p>
      <w:pPr>
        <w:ind w:left="320" w:hanging="231"/>
        <w:spacing w:after="0"/>
        <w:tabs>
          <w:tab w:leader="none" w:pos="320" w:val="left"/>
        </w:tabs>
        <w:numPr>
          <w:ilvl w:val="0"/>
          <w:numId w:val="63"/>
        </w:numPr>
        <w:rPr>
          <w:rFonts w:ascii="Arial" w:cs="Arial" w:eastAsia="Arial" w:hAnsi="Arial"/>
          <w:sz w:val="16"/>
          <w:szCs w:val="16"/>
          <w:b w:val="1"/>
          <w:bCs w:val="1"/>
          <w:color w:val="001C71"/>
        </w:rPr>
      </w:pPr>
      <w:r>
        <w:rPr>
          <w:rFonts w:ascii="Arial" w:cs="Arial" w:eastAsia="Arial" w:hAnsi="Arial"/>
          <w:sz w:val="16"/>
          <w:szCs w:val="16"/>
          <w:color w:val="auto"/>
        </w:rPr>
        <w:t>the revenue, market capitalization and volatility of these companies is more aligned with our Company’s profile.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Companies must remain in the Nasdaq Biotechnology Index during the entire performance period to be included in the calculation of relative TSR.</w:t>
      </w:r>
    </w:p>
    <w:p>
      <w:pPr>
        <w:spacing w:after="0" w:line="19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2025 PSUs are subject to potential vesting acceleration upon the NEO’s termination in connection with a CIC, as well as upon death, disability or retirement pursuant to the CIC Plan, and each of the NEOs, other than Ms. Gala and Mr. Cozadd, are eligible to receive certain severance benefits upon an involuntary termination without cause that occurs on or after April 23, 2025 and that does not occur upon or within 12 months following a CIC pursuant to the Severance Plan, as described below under the heading, “</w:t>
      </w:r>
      <w:r>
        <w:rPr>
          <w:rFonts w:ascii="Arial" w:cs="Arial" w:eastAsia="Arial" w:hAnsi="Arial"/>
          <w:sz w:val="16"/>
          <w:szCs w:val="16"/>
          <w:i w:val="1"/>
          <w:iCs w:val="1"/>
          <w:color w:val="auto"/>
        </w:rPr>
        <w:t>Potential Payments upon Termination or Change in Control—Treatment of 2023, 2024 and 2025</w:t>
      </w:r>
      <w:r>
        <w:rPr>
          <w:rFonts w:ascii="Arial" w:cs="Arial" w:eastAsia="Arial" w:hAnsi="Arial"/>
          <w:sz w:val="16"/>
          <w:szCs w:val="16"/>
          <w:color w:val="auto"/>
        </w:rPr>
        <w:t xml:space="preserve"> </w:t>
      </w:r>
      <w:r>
        <w:rPr>
          <w:rFonts w:ascii="Arial" w:cs="Arial" w:eastAsia="Arial" w:hAnsi="Arial"/>
          <w:sz w:val="16"/>
          <w:szCs w:val="16"/>
          <w:i w:val="1"/>
          <w:iCs w:val="1"/>
          <w:color w:val="auto"/>
        </w:rPr>
        <w:t>PSUs</w:t>
      </w:r>
      <w:r>
        <w:rPr>
          <w:rFonts w:ascii="Arial" w:cs="Arial" w:eastAsia="Arial" w:hAnsi="Arial"/>
          <w:sz w:val="16"/>
          <w:szCs w:val="16"/>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29"/>
          <w:szCs w:val="29"/>
          <w:color w:val="852166"/>
        </w:rPr>
        <w:t>2025 Compensation Decisions for Our NEOs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General Approach</w:t>
      </w:r>
    </w:p>
    <w:p>
      <w:pPr>
        <w:spacing w:after="0" w:line="18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For making 2025 compensation decisions, our Compensation Committee considered the factors discussed in “</w:t>
      </w:r>
      <w:r>
        <w:rPr>
          <w:rFonts w:ascii="Arial" w:cs="Arial" w:eastAsia="Arial" w:hAnsi="Arial"/>
          <w:sz w:val="16"/>
          <w:szCs w:val="16"/>
          <w:i w:val="1"/>
          <w:iCs w:val="1"/>
          <w:color w:val="auto"/>
        </w:rPr>
        <w:t>How We Determine Executive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—Factors Used in Determining Executive Compensation</w:t>
      </w:r>
      <w:r>
        <w:rPr>
          <w:rFonts w:ascii="Arial" w:cs="Arial" w:eastAsia="Arial" w:hAnsi="Arial"/>
          <w:sz w:val="16"/>
          <w:szCs w:val="16"/>
          <w:color w:val="auto"/>
        </w:rPr>
        <w:t>” above and our Compensation Committee’s specific compensation objectives for 2025.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did not use a formula or assign a particular weight to any one factor in determining each NEO’s target total direct compensation. Rather, our Compensation Committee’s determination of the target total direct compensation, mix of cash and equity and fixed and variable or “at-risk” pay opportunities was a subjective, individualized decision for each NEO. Our Compensation Committee reviewed and considered each element of pay in the context of the overall target total direct compensation for each NEO. When our Compensation Committee made changes to one element of pay, those changes were made in the context of the levels of the other elements of pay, and the resulting target total direct compensation for each NEO.</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Summary of 2025 Compensation Decisions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Target Total Cash Compensation</w:t>
      </w:r>
    </w:p>
    <w:p>
      <w:pPr>
        <w:spacing w:after="0" w:line="12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Our Compensation Committee (and our Board, with respect to Ms. Gala upon her appointment as President and CEO and Mr. Cozadd) increased total target cash compensation in varying amounts for our NEOs. Base salary rate increases were a result of each NEO’s individual performance, responsibilities, market data reference points and total pay opportunities, and were effective in March 2025. Ms. Gala’s target total cash compensation was subsequently increased in August 2025 as reflected further below, in connection with her appointment as President and CEO.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Target Equity Compensation and Impact on Target Total Direct Compensation</w:t>
      </w:r>
    </w:p>
    <w:p>
      <w:pPr>
        <w:spacing w:after="0" w:line="12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To determine the size of 2025 equity awards, our Compensation Committee, considering recommendations from our CEO (and with respect to the CEO, the Board, upon the recommendation of our Compensation Committee) made its decisions, after careful consideration, seeking to deliver equity awards to each executive officer based on overall equity and total compensation competitiveness to reinforce our retention and incentive objectives, and to facilitate stock ownership. In addition to her annual equity award, Ms. Gala received a one-time promotion grant in connection with her appointment as President and CEO. The size of Ms. Gala’s one-time promotion grant base was determined by the Board upon the recommendation of our Compensation Committee using its professional judgment and was intended to reflect her scope of increased responsibility as CEO as well as to maintain competitive positioning relative to the market data. Considerations with respect to the size of Mr. Cozadd’s equity award as well as the special NEO retention grants are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186690</wp:posOffset>
            </wp:positionV>
            <wp:extent cx="1242695" cy="2057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62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70" w:name="page71"/>
    <w:bookmarkEnd w:id="70"/>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Long-Term Incentive Program</w:t>
      </w:r>
    </w:p>
    <w:p>
      <w:pPr>
        <w:spacing w:after="0" w:line="122"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Our long-term incentive program is designed to align the interests of management with our shareholders and focus management’s attention on long-term, sustained growth. For our NEOs and other executive officers, annual long-term incentives are generally delivered in an equal mix of PSUs that vest based on achievement of pre-established multi-year performance goals and RSUs. Our Compensation Committee believes this mix strikes the right balance between the variable nature of PSUs and the retentive nature of RSUs. With respect to award mix, Ms. Gala’s promotion grant in connection with her appointment as President and CEO was designed as a mix composed of one-third RSUs and two-thirds PSUs to ensure that the mix of all equity awards granted to Ms. Gala during 2025 aligned with our Compensation Committee’s strategy to deliver a substantially equal mix of PSUs and RSUs to our executive officers. The vesting terms and structure of the annual PSUs granted in 2025, as well as the PSUs granted as a component of Ms. Gala’s promotion grant, are discussed in “</w:t>
      </w:r>
      <w:r>
        <w:rPr>
          <w:rFonts w:ascii="Arial" w:cs="Arial" w:eastAsia="Arial" w:hAnsi="Arial"/>
          <w:sz w:val="16"/>
          <w:szCs w:val="16"/>
          <w:i w:val="1"/>
          <w:iCs w:val="1"/>
          <w:color w:val="auto"/>
        </w:rPr>
        <w:t>Goals for and Achievement of 2025 Performance-Based Compensation—2025–2027 PSU Program</w:t>
      </w:r>
      <w:r>
        <w:rPr>
          <w:rFonts w:ascii="Arial" w:cs="Arial" w:eastAsia="Arial" w:hAnsi="Arial"/>
          <w:sz w:val="16"/>
          <w:szCs w:val="16"/>
          <w:color w:val="auto"/>
        </w:rPr>
        <w:t>” above.</w:t>
      </w:r>
    </w:p>
    <w:p>
      <w:pPr>
        <w:spacing w:after="0" w:line="130"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While annual long-term incentives are generally delivered in an equal mix of PSUs and RSUs, in connection with Mr. Cozadd’s planned retirement, which was announced in December 2024, the Board granted only RSUs to Mr. Cozadd in 2025 given that his retirement was to occur prior to the end of the 2025 PSU performance period, or December 31, 2027. In addition, Mr. Cozadd’s target equity compensation as CEO was significantly lower in 2025 than in the prior year since his RSUs were intended as compensation for his service as CEO pending, and to incentivize him for his role in ensuring the successful transition of his responsibilities to his successor. Because the timing of that transition was uncertain at the time of grant, it was initially determined that the RSUs would vest on the first anniversary of the grant date in March 2026 provided that his employment was not terminated for cause and he remained a director through the applicable vesting date. Upon Ms. Gala’s appointment as CEO and with the successful transition of his CEO responsibilities complete, our Compensation Committee determined that Mr. Cozadd had fully discharged the last of his employee obligations and as a result, Our Compensation Committee approved the vesting and settlement of the RSUs effective September 14, 2025.</w:t>
      </w:r>
    </w:p>
    <w:p>
      <w:pPr>
        <w:spacing w:after="0" w:line="13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share amounts underlying the PSUs and RSUs granted to each executive officer in 2025 were determined by dividing the target fair value of the award that our Compensation Committee approved (and, in the case of Mr. Cozadd’s grant and Ms. Gala’s one-time promotion grant in connection with her appointment as President and CEO, the target fair value of the award that the Board approved) by our Company’s 30-day average share price immediately preceding the grant date. We used a 30-day average share price, rather than a single day share price, to provide a more stabilized share value less susceptible to possible swings in the market. The grant date fair value of the RSUs and PSUs, as reported in the Summary Compensation Table and Grants of Plan-Based Awards Table in accordance with SEC rules and FASB ASC 718, is based on the closing price of our ordinary shares on the grant date (with respect to RSUs) and also based on a Monte Carlo simulation model (with respect to PSUs). The values for the RSUs and PSUs shown in the Summary Compensation Table and Grants of Plan-Based Awards Table differ from the intended target values and do not fully reflect the considerations of, and decisions made by, our Compensation Committee and our Board in its respective determination of the equity grants in this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179070</wp:posOffset>
            </wp:positionV>
            <wp:extent cx="1242695" cy="2057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63</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1" w:name="page72"/>
    <w:bookmarkEnd w:id="71"/>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Conclusion of Performance Period for 2023 PSUs</w:t>
      </w:r>
    </w:p>
    <w:p>
      <w:pPr>
        <w:spacing w:after="0" w:line="185" w:lineRule="exact"/>
        <w:rPr>
          <w:sz w:val="20"/>
          <w:szCs w:val="20"/>
          <w:color w:val="auto"/>
        </w:rPr>
      </w:pPr>
    </w:p>
    <w:p>
      <w:pPr>
        <w:jc w:val="both"/>
        <w:ind w:right="280"/>
        <w:spacing w:after="0" w:line="301" w:lineRule="auto"/>
        <w:rPr>
          <w:sz w:val="20"/>
          <w:szCs w:val="20"/>
          <w:color w:val="auto"/>
        </w:rPr>
      </w:pPr>
      <w:r>
        <w:rPr>
          <w:rFonts w:ascii="Arial" w:cs="Arial" w:eastAsia="Arial" w:hAnsi="Arial"/>
          <w:sz w:val="16"/>
          <w:szCs w:val="16"/>
          <w:color w:val="auto"/>
        </w:rPr>
        <w:t>In 2023, members of the management team, including NEOs who were part of the management team at the time, were granted PSUs. The performance period for these PSUs concluded on December 31, 2025. The awards were subject to vesting based upon achievement of commercial, development and financial goals, modified by a TSR ranking versus peers, measured during the same period.</w:t>
      </w:r>
    </w:p>
    <w:p>
      <w:pPr>
        <w:spacing w:after="0" w:line="10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As shown in the table and accompanying footnotes below, the commercial, development and financial objectives were achieved at 97% of target. However, our TSR ranked in the 47th percentile against peers, which reduced the payout by 3% based on the schedule that was established by our Compensation Committee at the time of grant. As a result, the final payout of the 2023-2025 PSU award cycle was 94% of target.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20" w:type="dxa"/>
            <w:vAlign w:val="bottom"/>
            <w:tcBorders>
              <w:right w:val="single" w:sz="8" w:color="001C71"/>
            </w:tcBorders>
          </w:tcPr>
          <w:p>
            <w:pPr>
              <w:spacing w:after="0"/>
              <w:rPr>
                <w:sz w:val="20"/>
                <w:szCs w:val="20"/>
                <w:color w:val="auto"/>
              </w:rPr>
            </w:pPr>
          </w:p>
        </w:tc>
        <w:tc>
          <w:tcPr>
            <w:tcW w:w="1160" w:type="dxa"/>
            <w:vAlign w:val="bottom"/>
            <w:tcBorders>
              <w:top w:val="single" w:sz="8" w:color="001C71"/>
            </w:tcBorders>
          </w:tcPr>
          <w:p>
            <w:pPr>
              <w:spacing w:after="0"/>
              <w:rPr>
                <w:sz w:val="20"/>
                <w:szCs w:val="20"/>
                <w:color w:val="auto"/>
              </w:rPr>
            </w:pPr>
          </w:p>
        </w:tc>
        <w:tc>
          <w:tcPr>
            <w:tcW w:w="940" w:type="dxa"/>
            <w:vAlign w:val="bottom"/>
            <w:tcBorders>
              <w:top w:val="single" w:sz="8" w:color="001C71"/>
            </w:tcBorders>
          </w:tcPr>
          <w:p>
            <w:pPr>
              <w:jc w:val="right"/>
              <w:ind w:right="288"/>
              <w:spacing w:after="0"/>
              <w:rPr>
                <w:sz w:val="20"/>
                <w:szCs w:val="20"/>
                <w:color w:val="auto"/>
              </w:rPr>
            </w:pPr>
            <w:r>
              <w:rPr>
                <w:rFonts w:ascii="Arial" w:cs="Arial" w:eastAsia="Arial" w:hAnsi="Arial"/>
                <w:sz w:val="14"/>
                <w:szCs w:val="14"/>
                <w:b w:val="1"/>
                <w:bCs w:val="1"/>
                <w:color w:val="001C71"/>
              </w:rPr>
              <w:t>Goals</w:t>
            </w:r>
          </w:p>
        </w:tc>
        <w:tc>
          <w:tcPr>
            <w:tcW w:w="980" w:type="dxa"/>
            <w:vAlign w:val="bottom"/>
            <w:tcBorders>
              <w:top w:val="single" w:sz="8" w:color="001C71"/>
              <w:right w:val="single" w:sz="8" w:color="001C71"/>
            </w:tcBorders>
          </w:tcPr>
          <w:p>
            <w:pPr>
              <w:spacing w:after="0"/>
              <w:rPr>
                <w:sz w:val="20"/>
                <w:szCs w:val="20"/>
                <w:color w:val="auto"/>
              </w:rPr>
            </w:pPr>
          </w:p>
        </w:tc>
        <w:tc>
          <w:tcPr>
            <w:tcW w:w="2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0" w:type="dxa"/>
            <w:vAlign w:val="bottom"/>
            <w:shd w:val="clear" w:color="auto" w:fill="001C71"/>
          </w:tcPr>
          <w:p>
            <w:pPr>
              <w:spacing w:after="0"/>
              <w:rPr>
                <w:sz w:val="18"/>
                <w:szCs w:val="18"/>
                <w:color w:val="auto"/>
              </w:rPr>
            </w:pPr>
          </w:p>
        </w:tc>
        <w:tc>
          <w:tcPr>
            <w:tcW w:w="2360" w:type="dxa"/>
            <w:vAlign w:val="bottom"/>
            <w:shd w:val="clear" w:color="auto" w:fill="001C71"/>
          </w:tcPr>
          <w:p>
            <w:pPr>
              <w:spacing w:after="0"/>
              <w:rPr>
                <w:sz w:val="18"/>
                <w:szCs w:val="18"/>
                <w:color w:val="auto"/>
              </w:rPr>
            </w:pPr>
          </w:p>
        </w:tc>
        <w:tc>
          <w:tcPr>
            <w:tcW w:w="1620" w:type="dxa"/>
            <w:vAlign w:val="bottom"/>
            <w:tcBorders>
              <w:right w:val="single" w:sz="8" w:color="001C71"/>
            </w:tcBorders>
            <w:shd w:val="clear" w:color="auto" w:fill="001C71"/>
          </w:tcPr>
          <w:p>
            <w:pPr>
              <w:spacing w:after="0"/>
              <w:rPr>
                <w:sz w:val="18"/>
                <w:szCs w:val="18"/>
                <w:color w:val="auto"/>
              </w:rPr>
            </w:pPr>
          </w:p>
        </w:tc>
        <w:tc>
          <w:tcPr>
            <w:tcW w:w="1160" w:type="dxa"/>
            <w:vAlign w:val="bottom"/>
            <w:shd w:val="clear" w:color="auto" w:fill="001C71"/>
          </w:tcPr>
          <w:p>
            <w:pPr>
              <w:jc w:val="right"/>
              <w:ind w:right="88"/>
              <w:spacing w:after="0"/>
              <w:rPr>
                <w:sz w:val="20"/>
                <w:szCs w:val="20"/>
                <w:color w:val="auto"/>
              </w:rPr>
            </w:pPr>
            <w:r>
              <w:rPr>
                <w:rFonts w:ascii="Arial" w:cs="Arial" w:eastAsia="Arial" w:hAnsi="Arial"/>
                <w:sz w:val="14"/>
                <w:szCs w:val="14"/>
                <w:b w:val="1"/>
                <w:bCs w:val="1"/>
                <w:color w:val="FFFFFF"/>
              </w:rPr>
              <w:t>Threshold</w:t>
            </w:r>
          </w:p>
        </w:tc>
        <w:tc>
          <w:tcPr>
            <w:tcW w:w="940" w:type="dxa"/>
            <w:vAlign w:val="bottom"/>
            <w:shd w:val="clear" w:color="auto" w:fill="001C71"/>
          </w:tcPr>
          <w:p>
            <w:pPr>
              <w:jc w:val="right"/>
              <w:ind w:right="8"/>
              <w:spacing w:after="0"/>
              <w:rPr>
                <w:sz w:val="20"/>
                <w:szCs w:val="20"/>
                <w:color w:val="auto"/>
              </w:rPr>
            </w:pPr>
            <w:r>
              <w:rPr>
                <w:rFonts w:ascii="Arial" w:cs="Arial" w:eastAsia="Arial" w:hAnsi="Arial"/>
                <w:sz w:val="14"/>
                <w:szCs w:val="14"/>
                <w:b w:val="1"/>
                <w:bCs w:val="1"/>
                <w:color w:val="FFFFFF"/>
              </w:rPr>
              <w:t>Target</w:t>
            </w:r>
          </w:p>
        </w:tc>
        <w:tc>
          <w:tcPr>
            <w:tcW w:w="980" w:type="dxa"/>
            <w:vAlign w:val="bottom"/>
            <w:tcBorders>
              <w:right w:val="single" w:sz="8" w:color="001C71"/>
            </w:tcBorders>
            <w:shd w:val="clear" w:color="auto" w:fill="001C71"/>
          </w:tcPr>
          <w:p>
            <w:pPr>
              <w:jc w:val="right"/>
              <w:spacing w:after="0"/>
              <w:rPr>
                <w:sz w:val="20"/>
                <w:szCs w:val="20"/>
                <w:color w:val="auto"/>
              </w:rPr>
            </w:pPr>
            <w:r>
              <w:rPr>
                <w:rFonts w:ascii="Arial" w:cs="Arial" w:eastAsia="Arial" w:hAnsi="Arial"/>
                <w:sz w:val="14"/>
                <w:szCs w:val="14"/>
                <w:b w:val="1"/>
                <w:bCs w:val="1"/>
                <w:color w:val="FFFFFF"/>
              </w:rPr>
              <w:t>Stretch</w:t>
            </w:r>
          </w:p>
        </w:tc>
        <w:tc>
          <w:tcPr>
            <w:tcW w:w="2920" w:type="dxa"/>
            <w:vAlign w:val="bottom"/>
            <w:shd w:val="clear" w:color="auto" w:fill="001C71"/>
          </w:tcPr>
          <w:p>
            <w:pPr>
              <w:spacing w:after="0"/>
              <w:rPr>
                <w:sz w:val="18"/>
                <w:szCs w:val="18"/>
                <w:color w:val="auto"/>
              </w:rPr>
            </w:pPr>
          </w:p>
        </w:tc>
        <w:tc>
          <w:tcPr>
            <w:tcW w:w="1080" w:type="dxa"/>
            <w:vAlign w:val="bottom"/>
            <w:shd w:val="clear" w:color="auto" w:fill="001C71"/>
          </w:tcPr>
          <w:p>
            <w:pPr>
              <w:jc w:val="right"/>
              <w:ind w:right="28"/>
              <w:spacing w:after="0"/>
              <w:rPr>
                <w:sz w:val="20"/>
                <w:szCs w:val="20"/>
                <w:color w:val="auto"/>
              </w:rPr>
            </w:pPr>
            <w:r>
              <w:rPr>
                <w:rFonts w:ascii="Arial" w:cs="Arial" w:eastAsia="Arial" w:hAnsi="Arial"/>
                <w:sz w:val="14"/>
                <w:szCs w:val="14"/>
                <w:b w:val="1"/>
                <w:bCs w:val="1"/>
                <w:color w:val="FFFFFF"/>
              </w:rPr>
              <w:t>Vesting</w:t>
            </w:r>
          </w:p>
        </w:tc>
        <w:tc>
          <w:tcPr>
            <w:tcW w:w="0" w:type="dxa"/>
            <w:vAlign w:val="bottom"/>
          </w:tcPr>
          <w:p>
            <w:pPr>
              <w:spacing w:after="0"/>
              <w:rPr>
                <w:sz w:val="1"/>
                <w:szCs w:val="1"/>
                <w:color w:val="auto"/>
              </w:rPr>
            </w:pPr>
          </w:p>
        </w:tc>
      </w:tr>
      <w:tr>
        <w:trPr>
          <w:trHeight w:val="196"/>
        </w:trPr>
        <w:tc>
          <w:tcPr>
            <w:tcW w:w="80" w:type="dxa"/>
            <w:vAlign w:val="bottom"/>
            <w:shd w:val="clear" w:color="auto" w:fill="001C71"/>
          </w:tcPr>
          <w:p>
            <w:pPr>
              <w:spacing w:after="0"/>
              <w:rPr>
                <w:sz w:val="17"/>
                <w:szCs w:val="17"/>
                <w:color w:val="auto"/>
              </w:rPr>
            </w:pPr>
          </w:p>
        </w:tc>
        <w:tc>
          <w:tcPr>
            <w:tcW w:w="2360" w:type="dxa"/>
            <w:vAlign w:val="bottom"/>
            <w:shd w:val="clear" w:color="auto" w:fill="001C71"/>
          </w:tcPr>
          <w:p>
            <w:pPr>
              <w:ind w:left="20"/>
              <w:spacing w:after="0"/>
              <w:rPr>
                <w:sz w:val="20"/>
                <w:szCs w:val="20"/>
                <w:color w:val="auto"/>
              </w:rPr>
            </w:pPr>
            <w:r>
              <w:rPr>
                <w:rFonts w:ascii="Arial" w:cs="Arial" w:eastAsia="Arial" w:hAnsi="Arial"/>
                <w:sz w:val="14"/>
                <w:szCs w:val="14"/>
                <w:b w:val="1"/>
                <w:bCs w:val="1"/>
                <w:color w:val="FFFFFF"/>
              </w:rPr>
              <w:t>Metric</w:t>
            </w:r>
          </w:p>
        </w:tc>
        <w:tc>
          <w:tcPr>
            <w:tcW w:w="1620" w:type="dxa"/>
            <w:vAlign w:val="bottom"/>
            <w:tcBorders>
              <w:right w:val="single" w:sz="8" w:color="001C71"/>
            </w:tcBorders>
            <w:shd w:val="clear" w:color="auto" w:fill="001C71"/>
          </w:tcPr>
          <w:p>
            <w:pPr>
              <w:jc w:val="right"/>
              <w:spacing w:after="0"/>
              <w:rPr>
                <w:sz w:val="20"/>
                <w:szCs w:val="20"/>
                <w:color w:val="auto"/>
              </w:rPr>
            </w:pPr>
            <w:r>
              <w:rPr>
                <w:rFonts w:ascii="Arial" w:cs="Arial" w:eastAsia="Arial" w:hAnsi="Arial"/>
                <w:sz w:val="14"/>
                <w:szCs w:val="14"/>
                <w:b w:val="1"/>
                <w:bCs w:val="1"/>
                <w:color w:val="FFFFFF"/>
              </w:rPr>
              <w:t>Weighting</w:t>
            </w:r>
          </w:p>
        </w:tc>
        <w:tc>
          <w:tcPr>
            <w:tcW w:w="3080" w:type="dxa"/>
            <w:vAlign w:val="bottom"/>
            <w:tcBorders>
              <w:right w:val="single" w:sz="8" w:color="001C71"/>
            </w:tcBorders>
            <w:gridSpan w:val="3"/>
            <w:shd w:val="clear" w:color="auto" w:fill="001C71"/>
          </w:tcPr>
          <w:p>
            <w:pPr>
              <w:jc w:val="right"/>
              <w:spacing w:after="0"/>
              <w:rPr>
                <w:sz w:val="20"/>
                <w:szCs w:val="20"/>
                <w:color w:val="auto"/>
              </w:rPr>
            </w:pPr>
            <w:r>
              <w:rPr>
                <w:rFonts w:ascii="Arial" w:cs="Arial" w:eastAsia="Arial" w:hAnsi="Arial"/>
                <w:sz w:val="14"/>
                <w:szCs w:val="14"/>
                <w:b w:val="1"/>
                <w:bCs w:val="1"/>
                <w:color w:val="FFFFFF"/>
              </w:rPr>
              <w:t>(50% payout) (100% payout) (160% payout)</w:t>
            </w:r>
          </w:p>
        </w:tc>
        <w:tc>
          <w:tcPr>
            <w:tcW w:w="2920" w:type="dxa"/>
            <w:vAlign w:val="bottom"/>
            <w:shd w:val="clear" w:color="auto" w:fill="001C71"/>
          </w:tcPr>
          <w:p>
            <w:pPr>
              <w:jc w:val="right"/>
              <w:ind w:right="109"/>
              <w:spacing w:after="0"/>
              <w:rPr>
                <w:sz w:val="20"/>
                <w:szCs w:val="20"/>
                <w:color w:val="auto"/>
              </w:rPr>
            </w:pPr>
            <w:r>
              <w:rPr>
                <w:rFonts w:ascii="Arial" w:cs="Arial" w:eastAsia="Arial" w:hAnsi="Arial"/>
                <w:sz w:val="14"/>
                <w:szCs w:val="14"/>
                <w:b w:val="1"/>
                <w:bCs w:val="1"/>
                <w:color w:val="FFFFFF"/>
              </w:rPr>
              <w:t>Actual Performance Result</w:t>
            </w:r>
            <w:r>
              <w:rPr>
                <w:rFonts w:ascii="Arial" w:cs="Arial" w:eastAsia="Arial" w:hAnsi="Arial"/>
                <w:sz w:val="9"/>
                <w:szCs w:val="9"/>
                <w:b w:val="1"/>
                <w:bCs w:val="1"/>
                <w:color w:val="FFFFFF"/>
              </w:rPr>
              <w:t>(1)</w:t>
            </w:r>
          </w:p>
        </w:tc>
        <w:tc>
          <w:tcPr>
            <w:tcW w:w="1080" w:type="dxa"/>
            <w:vAlign w:val="bottom"/>
            <w:shd w:val="clear" w:color="auto" w:fill="001C71"/>
          </w:tcPr>
          <w:p>
            <w:pPr>
              <w:jc w:val="right"/>
              <w:ind w:right="28"/>
              <w:spacing w:after="0"/>
              <w:rPr>
                <w:sz w:val="20"/>
                <w:szCs w:val="20"/>
                <w:color w:val="auto"/>
              </w:rPr>
            </w:pPr>
            <w:r>
              <w:rPr>
                <w:rFonts w:ascii="Arial" w:cs="Arial" w:eastAsia="Arial" w:hAnsi="Arial"/>
                <w:sz w:val="14"/>
                <w:szCs w:val="14"/>
                <w:b w:val="1"/>
                <w:bCs w:val="1"/>
                <w:color w:val="FFFFFF"/>
              </w:rPr>
              <w:t>Percentage</w:t>
            </w:r>
          </w:p>
        </w:tc>
        <w:tc>
          <w:tcPr>
            <w:tcW w:w="0" w:type="dxa"/>
            <w:vAlign w:val="bottom"/>
          </w:tcPr>
          <w:p>
            <w:pPr>
              <w:spacing w:after="0"/>
              <w:rPr>
                <w:sz w:val="1"/>
                <w:szCs w:val="1"/>
                <w:color w:val="auto"/>
              </w:rPr>
            </w:pPr>
          </w:p>
        </w:tc>
      </w:tr>
      <w:tr>
        <w:trPr>
          <w:trHeight w:val="70"/>
        </w:trPr>
        <w:tc>
          <w:tcPr>
            <w:tcW w:w="80" w:type="dxa"/>
            <w:vAlign w:val="bottom"/>
            <w:shd w:val="clear" w:color="auto" w:fill="001C71"/>
          </w:tcPr>
          <w:p>
            <w:pPr>
              <w:spacing w:after="0"/>
              <w:rPr>
                <w:sz w:val="6"/>
                <w:szCs w:val="6"/>
                <w:color w:val="auto"/>
              </w:rPr>
            </w:pPr>
          </w:p>
        </w:tc>
        <w:tc>
          <w:tcPr>
            <w:tcW w:w="2360" w:type="dxa"/>
            <w:vAlign w:val="bottom"/>
            <w:shd w:val="clear" w:color="auto" w:fill="001C71"/>
          </w:tcPr>
          <w:p>
            <w:pPr>
              <w:spacing w:after="0"/>
              <w:rPr>
                <w:sz w:val="6"/>
                <w:szCs w:val="6"/>
                <w:color w:val="auto"/>
              </w:rPr>
            </w:pPr>
          </w:p>
        </w:tc>
        <w:tc>
          <w:tcPr>
            <w:tcW w:w="1620" w:type="dxa"/>
            <w:vAlign w:val="bottom"/>
            <w:tcBorders>
              <w:right w:val="single" w:sz="8" w:color="001C71"/>
            </w:tcBorders>
            <w:shd w:val="clear" w:color="auto" w:fill="001C71"/>
          </w:tcPr>
          <w:p>
            <w:pPr>
              <w:spacing w:after="0"/>
              <w:rPr>
                <w:sz w:val="6"/>
                <w:szCs w:val="6"/>
                <w:color w:val="auto"/>
              </w:rPr>
            </w:pPr>
          </w:p>
        </w:tc>
        <w:tc>
          <w:tcPr>
            <w:tcW w:w="1160" w:type="dxa"/>
            <w:vAlign w:val="bottom"/>
            <w:shd w:val="clear" w:color="auto" w:fill="001C71"/>
          </w:tcPr>
          <w:p>
            <w:pPr>
              <w:spacing w:after="0"/>
              <w:rPr>
                <w:sz w:val="6"/>
                <w:szCs w:val="6"/>
                <w:color w:val="auto"/>
              </w:rPr>
            </w:pPr>
          </w:p>
        </w:tc>
        <w:tc>
          <w:tcPr>
            <w:tcW w:w="940" w:type="dxa"/>
            <w:vAlign w:val="bottom"/>
            <w:shd w:val="clear" w:color="auto" w:fill="001C71"/>
          </w:tcPr>
          <w:p>
            <w:pPr>
              <w:spacing w:after="0"/>
              <w:rPr>
                <w:sz w:val="6"/>
                <w:szCs w:val="6"/>
                <w:color w:val="auto"/>
              </w:rPr>
            </w:pPr>
          </w:p>
        </w:tc>
        <w:tc>
          <w:tcPr>
            <w:tcW w:w="980" w:type="dxa"/>
            <w:vAlign w:val="bottom"/>
            <w:tcBorders>
              <w:right w:val="single" w:sz="8" w:color="001C71"/>
            </w:tcBorders>
            <w:shd w:val="clear" w:color="auto" w:fill="001C71"/>
          </w:tcPr>
          <w:p>
            <w:pPr>
              <w:spacing w:after="0"/>
              <w:rPr>
                <w:sz w:val="6"/>
                <w:szCs w:val="6"/>
                <w:color w:val="auto"/>
              </w:rPr>
            </w:pPr>
          </w:p>
        </w:tc>
        <w:tc>
          <w:tcPr>
            <w:tcW w:w="2920" w:type="dxa"/>
            <w:vAlign w:val="bottom"/>
            <w:shd w:val="clear" w:color="auto" w:fill="001C71"/>
          </w:tcPr>
          <w:p>
            <w:pPr>
              <w:spacing w:after="0"/>
              <w:rPr>
                <w:sz w:val="6"/>
                <w:szCs w:val="6"/>
                <w:color w:val="auto"/>
              </w:rPr>
            </w:pPr>
          </w:p>
        </w:tc>
        <w:tc>
          <w:tcPr>
            <w:tcW w:w="1080" w:type="dxa"/>
            <w:vAlign w:val="bottom"/>
            <w:shd w:val="clear" w:color="auto" w:fill="001C71"/>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2360" w:type="dxa"/>
            <w:vAlign w:val="bottom"/>
            <w:vMerge w:val="restart"/>
          </w:tcPr>
          <w:p>
            <w:pPr>
              <w:ind w:left="20"/>
              <w:spacing w:after="0"/>
              <w:rPr>
                <w:sz w:val="20"/>
                <w:szCs w:val="20"/>
                <w:color w:val="auto"/>
              </w:rPr>
            </w:pPr>
            <w:r>
              <w:rPr>
                <w:rFonts w:ascii="Arial" w:cs="Arial" w:eastAsia="Arial" w:hAnsi="Arial"/>
                <w:sz w:val="14"/>
                <w:szCs w:val="14"/>
                <w:b w:val="1"/>
                <w:bCs w:val="1"/>
                <w:color w:val="001C71"/>
              </w:rPr>
              <w:t>2025 Total Revenue</w:t>
            </w: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1160" w:type="dxa"/>
            <w:vAlign w:val="bottom"/>
            <w:vMerge w:val="restart"/>
          </w:tcPr>
          <w:p>
            <w:pPr>
              <w:jc w:val="right"/>
              <w:ind w:right="88"/>
              <w:spacing w:after="0"/>
              <w:rPr>
                <w:sz w:val="20"/>
                <w:szCs w:val="20"/>
                <w:color w:val="auto"/>
              </w:rPr>
            </w:pPr>
            <w:r>
              <w:rPr>
                <w:rFonts w:ascii="Arial" w:cs="Arial" w:eastAsia="Arial" w:hAnsi="Arial"/>
                <w:sz w:val="14"/>
                <w:szCs w:val="14"/>
                <w:color w:val="auto"/>
              </w:rPr>
              <w:t>$4.2 billion</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$5.0 billion</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≥$5.25 billion</w:t>
            </w:r>
          </w:p>
        </w:tc>
        <w:tc>
          <w:tcPr>
            <w:tcW w:w="2920" w:type="dxa"/>
            <w:vAlign w:val="bottom"/>
          </w:tcPr>
          <w:p>
            <w:pPr>
              <w:jc w:val="right"/>
              <w:ind w:right="109"/>
              <w:spacing w:after="0"/>
              <w:rPr>
                <w:sz w:val="20"/>
                <w:szCs w:val="20"/>
                <w:color w:val="auto"/>
              </w:rPr>
            </w:pPr>
            <w:r>
              <w:rPr>
                <w:rFonts w:ascii="Arial" w:cs="Arial" w:eastAsia="Arial" w:hAnsi="Arial"/>
                <w:sz w:val="14"/>
                <w:szCs w:val="14"/>
                <w:color w:val="auto"/>
              </w:rPr>
              <w:t>58%</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14"/>
        </w:trPr>
        <w:tc>
          <w:tcPr>
            <w:tcW w:w="80" w:type="dxa"/>
            <w:vAlign w:val="bottom"/>
            <w:tcBorders>
              <w:bottom w:val="single" w:sz="8" w:color="5673B8"/>
            </w:tcBorders>
          </w:tcPr>
          <w:p>
            <w:pPr>
              <w:spacing w:after="0"/>
              <w:rPr>
                <w:sz w:val="18"/>
                <w:szCs w:val="18"/>
                <w:color w:val="auto"/>
              </w:rPr>
            </w:pPr>
          </w:p>
        </w:tc>
        <w:tc>
          <w:tcPr>
            <w:tcW w:w="2360" w:type="dxa"/>
            <w:vAlign w:val="bottom"/>
            <w:tcBorders>
              <w:bottom w:val="single" w:sz="8" w:color="5673B8"/>
            </w:tcBorders>
            <w:vMerge w:val="continue"/>
          </w:tcPr>
          <w:p>
            <w:pPr>
              <w:spacing w:after="0"/>
              <w:rPr>
                <w:sz w:val="18"/>
                <w:szCs w:val="18"/>
                <w:color w:val="auto"/>
              </w:rPr>
            </w:pPr>
          </w:p>
        </w:tc>
        <w:tc>
          <w:tcPr>
            <w:tcW w:w="1620" w:type="dxa"/>
            <w:vAlign w:val="bottom"/>
            <w:tcBorders>
              <w:bottom w:val="single" w:sz="8" w:color="5673B8"/>
            </w:tcBorders>
            <w:vMerge w:val="continue"/>
          </w:tcPr>
          <w:p>
            <w:pPr>
              <w:spacing w:after="0"/>
              <w:rPr>
                <w:sz w:val="18"/>
                <w:szCs w:val="18"/>
                <w:color w:val="auto"/>
              </w:rPr>
            </w:pPr>
          </w:p>
        </w:tc>
        <w:tc>
          <w:tcPr>
            <w:tcW w:w="1160" w:type="dxa"/>
            <w:vAlign w:val="bottom"/>
            <w:tcBorders>
              <w:bottom w:val="single" w:sz="8" w:color="5673B8"/>
            </w:tcBorders>
            <w:vMerge w:val="continue"/>
          </w:tcPr>
          <w:p>
            <w:pPr>
              <w:spacing w:after="0"/>
              <w:rPr>
                <w:sz w:val="18"/>
                <w:szCs w:val="18"/>
                <w:color w:val="auto"/>
              </w:rPr>
            </w:pPr>
          </w:p>
        </w:tc>
        <w:tc>
          <w:tcPr>
            <w:tcW w:w="940" w:type="dxa"/>
            <w:vAlign w:val="bottom"/>
            <w:tcBorders>
              <w:bottom w:val="single" w:sz="8" w:color="5673B8"/>
            </w:tcBorders>
            <w:vMerge w:val="continue"/>
          </w:tcPr>
          <w:p>
            <w:pPr>
              <w:spacing w:after="0"/>
              <w:rPr>
                <w:sz w:val="18"/>
                <w:szCs w:val="18"/>
                <w:color w:val="auto"/>
              </w:rPr>
            </w:pPr>
          </w:p>
        </w:tc>
        <w:tc>
          <w:tcPr>
            <w:tcW w:w="980" w:type="dxa"/>
            <w:vAlign w:val="bottom"/>
            <w:tcBorders>
              <w:bottom w:val="single" w:sz="8" w:color="5673B8"/>
            </w:tcBorders>
            <w:vMerge w:val="continue"/>
          </w:tcPr>
          <w:p>
            <w:pPr>
              <w:spacing w:after="0"/>
              <w:rPr>
                <w:sz w:val="18"/>
                <w:szCs w:val="18"/>
                <w:color w:val="auto"/>
              </w:rPr>
            </w:pPr>
          </w:p>
        </w:tc>
        <w:tc>
          <w:tcPr>
            <w:tcW w:w="2920" w:type="dxa"/>
            <w:vAlign w:val="bottom"/>
            <w:tcBorders>
              <w:bottom w:val="single" w:sz="8" w:color="5673B8"/>
            </w:tcBorders>
          </w:tcPr>
          <w:p>
            <w:pPr>
              <w:jc w:val="right"/>
              <w:ind w:right="109"/>
              <w:spacing w:after="0"/>
              <w:rPr>
                <w:sz w:val="20"/>
                <w:szCs w:val="20"/>
                <w:color w:val="auto"/>
              </w:rPr>
            </w:pPr>
            <w:r>
              <w:rPr>
                <w:rFonts w:ascii="Arial" w:cs="Arial" w:eastAsia="Arial" w:hAnsi="Arial"/>
                <w:sz w:val="14"/>
                <w:szCs w:val="14"/>
                <w:color w:val="auto"/>
              </w:rPr>
              <w:t>($4.27 billion, as adjusted)</w:t>
            </w:r>
            <w:r>
              <w:rPr>
                <w:rFonts w:ascii="Arial" w:cs="Arial" w:eastAsia="Arial" w:hAnsi="Arial"/>
                <w:sz w:val="18"/>
                <w:szCs w:val="18"/>
                <w:color w:val="auto"/>
                <w:vertAlign w:val="superscript"/>
              </w:rPr>
              <w:t>(2)</w:t>
            </w:r>
          </w:p>
        </w:tc>
        <w:tc>
          <w:tcPr>
            <w:tcW w:w="1080" w:type="dxa"/>
            <w:vAlign w:val="bottom"/>
            <w:tcBorders>
              <w:bottom w:val="single" w:sz="8" w:color="5673B8"/>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5673B8"/>
            </w:tcBorders>
          </w:tcPr>
          <w:p>
            <w:pPr>
              <w:spacing w:after="0"/>
              <w:rPr>
                <w:sz w:val="18"/>
                <w:szCs w:val="18"/>
                <w:color w:val="auto"/>
              </w:rPr>
            </w:pPr>
          </w:p>
        </w:tc>
        <w:tc>
          <w:tcPr>
            <w:tcW w:w="236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001C71"/>
              </w:rPr>
              <w:t>Enhanced Pipeline Value</w:t>
            </w:r>
            <w:r>
              <w:rPr>
                <w:rFonts w:ascii="Arial" w:cs="Arial" w:eastAsia="Arial" w:hAnsi="Arial"/>
                <w:sz w:val="9"/>
                <w:szCs w:val="9"/>
                <w:b w:val="1"/>
                <w:bCs w:val="1"/>
                <w:color w:val="001C71"/>
              </w:rPr>
              <w:t>(3)</w:t>
            </w:r>
          </w:p>
        </w:tc>
        <w:tc>
          <w:tcPr>
            <w:tcW w:w="162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40%</w:t>
            </w:r>
          </w:p>
        </w:tc>
        <w:tc>
          <w:tcPr>
            <w:tcW w:w="116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25 points</w:t>
            </w:r>
          </w:p>
        </w:tc>
        <w:tc>
          <w:tcPr>
            <w:tcW w:w="940" w:type="dxa"/>
            <w:vAlign w:val="bottom"/>
            <w:tcBorders>
              <w:bottom w:val="single" w:sz="8" w:color="5673B8"/>
            </w:tcBorders>
          </w:tcPr>
          <w:p>
            <w:pPr>
              <w:jc w:val="right"/>
              <w:ind w:right="8"/>
              <w:spacing w:after="0"/>
              <w:rPr>
                <w:sz w:val="20"/>
                <w:szCs w:val="20"/>
                <w:color w:val="auto"/>
              </w:rPr>
            </w:pPr>
            <w:r>
              <w:rPr>
                <w:rFonts w:ascii="Arial" w:cs="Arial" w:eastAsia="Arial" w:hAnsi="Arial"/>
                <w:sz w:val="14"/>
                <w:szCs w:val="14"/>
                <w:color w:val="auto"/>
              </w:rPr>
              <w:t>30 points</w:t>
            </w:r>
          </w:p>
        </w:tc>
        <w:tc>
          <w:tcPr>
            <w:tcW w:w="98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≥35 points</w:t>
            </w:r>
          </w:p>
        </w:tc>
        <w:tc>
          <w:tcPr>
            <w:tcW w:w="2920" w:type="dxa"/>
            <w:vAlign w:val="bottom"/>
            <w:tcBorders>
              <w:bottom w:val="single" w:sz="8" w:color="5673B8"/>
            </w:tcBorders>
          </w:tcPr>
          <w:p>
            <w:pPr>
              <w:jc w:val="right"/>
              <w:ind w:right="109"/>
              <w:spacing w:after="0"/>
              <w:rPr>
                <w:sz w:val="20"/>
                <w:szCs w:val="20"/>
                <w:color w:val="auto"/>
              </w:rPr>
            </w:pPr>
            <w:r>
              <w:rPr>
                <w:rFonts w:ascii="Arial" w:cs="Arial" w:eastAsia="Arial" w:hAnsi="Arial"/>
                <w:sz w:val="14"/>
                <w:szCs w:val="14"/>
                <w:color w:val="auto"/>
              </w:rPr>
              <w:t>39 points</w:t>
            </w:r>
          </w:p>
        </w:tc>
        <w:tc>
          <w:tcPr>
            <w:tcW w:w="1080" w:type="dxa"/>
            <w:vAlign w:val="bottom"/>
            <w:tcBorders>
              <w:bottom w:val="single" w:sz="8" w:color="5673B8"/>
            </w:tcBorders>
          </w:tcPr>
          <w:p>
            <w:pPr>
              <w:jc w:val="right"/>
              <w:ind w:right="2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2360" w:type="dxa"/>
            <w:vAlign w:val="bottom"/>
          </w:tcPr>
          <w:p>
            <w:pPr>
              <w:ind w:left="20"/>
              <w:spacing w:after="0"/>
              <w:rPr>
                <w:sz w:val="20"/>
                <w:szCs w:val="20"/>
                <w:color w:val="auto"/>
              </w:rPr>
            </w:pPr>
            <w:r>
              <w:rPr>
                <w:rFonts w:ascii="Arial" w:cs="Arial" w:eastAsia="Arial" w:hAnsi="Arial"/>
                <w:sz w:val="14"/>
                <w:szCs w:val="14"/>
                <w:b w:val="1"/>
                <w:bCs w:val="1"/>
                <w:color w:val="001C71"/>
              </w:rPr>
              <w:t>Non-GAAP Adjusted Operating</w:t>
            </w: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1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48%</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920" w:type="dxa"/>
            <w:vAlign w:val="bottom"/>
            <w:vMerge w:val="restart"/>
          </w:tcPr>
          <w:p>
            <w:pPr>
              <w:jc w:val="right"/>
              <w:ind w:right="109"/>
              <w:spacing w:after="0"/>
              <w:rPr>
                <w:sz w:val="20"/>
                <w:szCs w:val="20"/>
                <w:color w:val="auto"/>
              </w:rPr>
            </w:pPr>
            <w:r>
              <w:rPr>
                <w:rFonts w:ascii="Arial" w:cs="Arial" w:eastAsia="Arial" w:hAnsi="Arial"/>
                <w:sz w:val="14"/>
                <w:szCs w:val="14"/>
                <w:color w:val="auto"/>
              </w:rPr>
              <w:t>46%</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2360" w:type="dxa"/>
            <w:vAlign w:val="bottom"/>
            <w:vMerge w:val="restart"/>
          </w:tcPr>
          <w:p>
            <w:pPr>
              <w:ind w:left="20"/>
              <w:spacing w:after="0"/>
              <w:rPr>
                <w:sz w:val="20"/>
                <w:szCs w:val="20"/>
                <w:color w:val="auto"/>
              </w:rPr>
            </w:pPr>
            <w:r>
              <w:rPr>
                <w:rFonts w:ascii="Arial" w:cs="Arial" w:eastAsia="Arial" w:hAnsi="Arial"/>
                <w:sz w:val="14"/>
                <w:szCs w:val="14"/>
                <w:b w:val="1"/>
                <w:bCs w:val="1"/>
                <w:color w:val="001C71"/>
              </w:rPr>
              <w:t>Margin</w:t>
            </w:r>
            <w:r>
              <w:rPr>
                <w:rFonts w:ascii="Arial" w:cs="Arial" w:eastAsia="Arial" w:hAnsi="Arial"/>
                <w:sz w:val="18"/>
                <w:szCs w:val="18"/>
                <w:b w:val="1"/>
                <w:bCs w:val="1"/>
                <w:color w:val="001C71"/>
                <w:vertAlign w:val="superscript"/>
              </w:rPr>
              <w:t>(4)</w:t>
            </w:r>
          </w:p>
        </w:tc>
        <w:tc>
          <w:tcPr>
            <w:tcW w:w="162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29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852166"/>
            </w:tcBorders>
          </w:tcPr>
          <w:p>
            <w:pPr>
              <w:spacing w:after="0"/>
              <w:rPr>
                <w:sz w:val="10"/>
                <w:szCs w:val="10"/>
                <w:color w:val="auto"/>
              </w:rPr>
            </w:pPr>
          </w:p>
        </w:tc>
        <w:tc>
          <w:tcPr>
            <w:tcW w:w="2360" w:type="dxa"/>
            <w:vAlign w:val="bottom"/>
            <w:tcBorders>
              <w:bottom w:val="single" w:sz="8" w:color="852166"/>
            </w:tcBorders>
            <w:vMerge w:val="continue"/>
          </w:tcPr>
          <w:p>
            <w:pPr>
              <w:spacing w:after="0"/>
              <w:rPr>
                <w:sz w:val="10"/>
                <w:szCs w:val="10"/>
                <w:color w:val="auto"/>
              </w:rPr>
            </w:pPr>
          </w:p>
        </w:tc>
        <w:tc>
          <w:tcPr>
            <w:tcW w:w="1620" w:type="dxa"/>
            <w:vAlign w:val="bottom"/>
            <w:tcBorders>
              <w:bottom w:val="single" w:sz="8" w:color="852166"/>
            </w:tcBorders>
          </w:tcPr>
          <w:p>
            <w:pPr>
              <w:spacing w:after="0"/>
              <w:rPr>
                <w:sz w:val="10"/>
                <w:szCs w:val="10"/>
                <w:color w:val="auto"/>
              </w:rPr>
            </w:pPr>
          </w:p>
        </w:tc>
        <w:tc>
          <w:tcPr>
            <w:tcW w:w="1160" w:type="dxa"/>
            <w:vAlign w:val="bottom"/>
            <w:tcBorders>
              <w:bottom w:val="single" w:sz="8" w:color="852166"/>
            </w:tcBorders>
          </w:tcPr>
          <w:p>
            <w:pPr>
              <w:spacing w:after="0"/>
              <w:rPr>
                <w:sz w:val="10"/>
                <w:szCs w:val="10"/>
                <w:color w:val="auto"/>
              </w:rPr>
            </w:pPr>
          </w:p>
        </w:tc>
        <w:tc>
          <w:tcPr>
            <w:tcW w:w="940" w:type="dxa"/>
            <w:vAlign w:val="bottom"/>
            <w:tcBorders>
              <w:bottom w:val="single" w:sz="8" w:color="852166"/>
            </w:tcBorders>
          </w:tcPr>
          <w:p>
            <w:pPr>
              <w:spacing w:after="0"/>
              <w:rPr>
                <w:sz w:val="10"/>
                <w:szCs w:val="10"/>
                <w:color w:val="auto"/>
              </w:rPr>
            </w:pPr>
          </w:p>
        </w:tc>
        <w:tc>
          <w:tcPr>
            <w:tcW w:w="980" w:type="dxa"/>
            <w:vAlign w:val="bottom"/>
            <w:tcBorders>
              <w:bottom w:val="single" w:sz="8" w:color="852166"/>
            </w:tcBorders>
          </w:tcPr>
          <w:p>
            <w:pPr>
              <w:spacing w:after="0"/>
              <w:rPr>
                <w:sz w:val="10"/>
                <w:szCs w:val="10"/>
                <w:color w:val="auto"/>
              </w:rPr>
            </w:pPr>
          </w:p>
        </w:tc>
        <w:tc>
          <w:tcPr>
            <w:tcW w:w="2920" w:type="dxa"/>
            <w:vAlign w:val="bottom"/>
            <w:tcBorders>
              <w:bottom w:val="single" w:sz="8" w:color="852166"/>
            </w:tcBorders>
          </w:tcPr>
          <w:p>
            <w:pPr>
              <w:spacing w:after="0"/>
              <w:rPr>
                <w:sz w:val="10"/>
                <w:szCs w:val="10"/>
                <w:color w:val="auto"/>
              </w:rPr>
            </w:pPr>
          </w:p>
        </w:tc>
        <w:tc>
          <w:tcPr>
            <w:tcW w:w="1080" w:type="dxa"/>
            <w:vAlign w:val="bottom"/>
            <w:tcBorders>
              <w:bottom w:val="single" w:sz="8" w:color="852166"/>
            </w:tcBorders>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80" w:type="dxa"/>
            <w:vAlign w:val="bottom"/>
            <w:tcBorders>
              <w:bottom w:val="single" w:sz="8" w:color="852166"/>
            </w:tcBorders>
          </w:tcPr>
          <w:p>
            <w:pPr>
              <w:spacing w:after="0"/>
              <w:rPr>
                <w:sz w:val="18"/>
                <w:szCs w:val="18"/>
                <w:color w:val="auto"/>
              </w:rPr>
            </w:pPr>
          </w:p>
        </w:tc>
        <w:tc>
          <w:tcPr>
            <w:tcW w:w="3980" w:type="dxa"/>
            <w:vAlign w:val="bottom"/>
            <w:tcBorders>
              <w:bottom w:val="single" w:sz="8" w:color="852166"/>
            </w:tcBorders>
            <w:gridSpan w:val="2"/>
          </w:tcPr>
          <w:p>
            <w:pPr>
              <w:ind w:left="20"/>
              <w:spacing w:after="0"/>
              <w:rPr>
                <w:sz w:val="20"/>
                <w:szCs w:val="20"/>
                <w:color w:val="auto"/>
              </w:rPr>
            </w:pPr>
            <w:r>
              <w:rPr>
                <w:rFonts w:ascii="Arial" w:cs="Arial" w:eastAsia="Arial" w:hAnsi="Arial"/>
                <w:sz w:val="14"/>
                <w:szCs w:val="14"/>
                <w:b w:val="1"/>
                <w:bCs w:val="1"/>
                <w:color w:val="852166"/>
              </w:rPr>
              <w:t>Total Operational Results (Weighted)</w:t>
            </w:r>
          </w:p>
        </w:tc>
        <w:tc>
          <w:tcPr>
            <w:tcW w:w="1160" w:type="dxa"/>
            <w:vAlign w:val="bottom"/>
            <w:tcBorders>
              <w:bottom w:val="single" w:sz="8" w:color="852166"/>
            </w:tcBorders>
          </w:tcPr>
          <w:p>
            <w:pPr>
              <w:spacing w:after="0"/>
              <w:rPr>
                <w:sz w:val="18"/>
                <w:szCs w:val="18"/>
                <w:color w:val="auto"/>
              </w:rPr>
            </w:pPr>
          </w:p>
        </w:tc>
        <w:tc>
          <w:tcPr>
            <w:tcW w:w="940" w:type="dxa"/>
            <w:vAlign w:val="bottom"/>
            <w:tcBorders>
              <w:bottom w:val="single" w:sz="8" w:color="852166"/>
            </w:tcBorders>
          </w:tcPr>
          <w:p>
            <w:pPr>
              <w:spacing w:after="0"/>
              <w:rPr>
                <w:sz w:val="18"/>
                <w:szCs w:val="18"/>
                <w:color w:val="auto"/>
              </w:rPr>
            </w:pPr>
          </w:p>
        </w:tc>
        <w:tc>
          <w:tcPr>
            <w:tcW w:w="980" w:type="dxa"/>
            <w:vAlign w:val="bottom"/>
            <w:tcBorders>
              <w:bottom w:val="single" w:sz="8" w:color="852166"/>
            </w:tcBorders>
          </w:tcPr>
          <w:p>
            <w:pPr>
              <w:spacing w:after="0"/>
              <w:rPr>
                <w:sz w:val="18"/>
                <w:szCs w:val="18"/>
                <w:color w:val="auto"/>
              </w:rPr>
            </w:pPr>
          </w:p>
        </w:tc>
        <w:tc>
          <w:tcPr>
            <w:tcW w:w="2920" w:type="dxa"/>
            <w:vAlign w:val="bottom"/>
            <w:tcBorders>
              <w:bottom w:val="single" w:sz="8" w:color="852166"/>
            </w:tcBorders>
          </w:tcPr>
          <w:p>
            <w:pPr>
              <w:spacing w:after="0"/>
              <w:rPr>
                <w:sz w:val="18"/>
                <w:szCs w:val="18"/>
                <w:color w:val="auto"/>
              </w:rPr>
            </w:pPr>
          </w:p>
        </w:tc>
        <w:tc>
          <w:tcPr>
            <w:tcW w:w="1080" w:type="dxa"/>
            <w:vAlign w:val="bottom"/>
            <w:tcBorders>
              <w:bottom w:val="single" w:sz="8" w:color="852166"/>
            </w:tcBorders>
          </w:tcPr>
          <w:p>
            <w:pPr>
              <w:jc w:val="right"/>
              <w:ind w:right="28"/>
              <w:spacing w:after="0"/>
              <w:rPr>
                <w:sz w:val="20"/>
                <w:szCs w:val="20"/>
                <w:color w:val="auto"/>
              </w:rPr>
            </w:pPr>
            <w:r>
              <w:rPr>
                <w:rFonts w:ascii="Arial" w:cs="Arial" w:eastAsia="Arial" w:hAnsi="Arial"/>
                <w:sz w:val="14"/>
                <w:szCs w:val="14"/>
                <w:b w:val="1"/>
                <w:bCs w:val="1"/>
                <w:color w:val="852166"/>
              </w:rPr>
              <w:t>97%</w:t>
            </w:r>
          </w:p>
        </w:tc>
        <w:tc>
          <w:tcPr>
            <w:tcW w:w="0" w:type="dxa"/>
            <w:vAlign w:val="bottom"/>
          </w:tcPr>
          <w:p>
            <w:pPr>
              <w:spacing w:after="0"/>
              <w:rPr>
                <w:sz w:val="1"/>
                <w:szCs w:val="1"/>
                <w:color w:val="auto"/>
              </w:rPr>
            </w:pPr>
          </w:p>
        </w:tc>
      </w:tr>
      <w:tr>
        <w:trPr>
          <w:trHeight w:val="223"/>
        </w:trPr>
        <w:tc>
          <w:tcPr>
            <w:tcW w:w="80" w:type="dxa"/>
            <w:vAlign w:val="bottom"/>
            <w:tcBorders>
              <w:bottom w:val="single" w:sz="8" w:color="F0F0F0"/>
            </w:tcBorders>
            <w:shd w:val="clear" w:color="auto" w:fill="F0F0F0"/>
          </w:tcPr>
          <w:p>
            <w:pPr>
              <w:spacing w:after="0"/>
              <w:rPr>
                <w:sz w:val="19"/>
                <w:szCs w:val="19"/>
                <w:color w:val="auto"/>
              </w:rPr>
            </w:pPr>
          </w:p>
        </w:tc>
        <w:tc>
          <w:tcPr>
            <w:tcW w:w="2360" w:type="dxa"/>
            <w:vAlign w:val="bottom"/>
            <w:tcBorders>
              <w:bottom w:val="single" w:sz="8" w:color="F0F0F0"/>
            </w:tcBorders>
            <w:shd w:val="clear" w:color="auto" w:fill="F0F0F0"/>
          </w:tcPr>
          <w:p>
            <w:pPr>
              <w:spacing w:after="0"/>
              <w:rPr>
                <w:sz w:val="19"/>
                <w:szCs w:val="19"/>
                <w:color w:val="auto"/>
              </w:rPr>
            </w:pPr>
          </w:p>
        </w:tc>
        <w:tc>
          <w:tcPr>
            <w:tcW w:w="1620" w:type="dxa"/>
            <w:vAlign w:val="bottom"/>
            <w:tcBorders>
              <w:bottom w:val="single" w:sz="8" w:color="F0F0F0"/>
              <w:right w:val="single" w:sz="8" w:color="F0F0F0"/>
            </w:tcBorders>
            <w:shd w:val="clear" w:color="auto" w:fill="F0F0F0"/>
          </w:tcPr>
          <w:p>
            <w:pPr>
              <w:spacing w:after="0"/>
              <w:rPr>
                <w:sz w:val="19"/>
                <w:szCs w:val="19"/>
                <w:color w:val="auto"/>
              </w:rPr>
            </w:pPr>
          </w:p>
        </w:tc>
        <w:tc>
          <w:tcPr>
            <w:tcW w:w="1160" w:type="dxa"/>
            <w:vAlign w:val="bottom"/>
            <w:tcBorders>
              <w:bottom w:val="single" w:sz="8" w:color="F0F0F0"/>
            </w:tcBorders>
            <w:shd w:val="clear" w:color="auto" w:fill="F0F0F0"/>
          </w:tcPr>
          <w:p>
            <w:pPr>
              <w:spacing w:after="0"/>
              <w:rPr>
                <w:sz w:val="19"/>
                <w:szCs w:val="19"/>
                <w:color w:val="auto"/>
              </w:rPr>
            </w:pPr>
          </w:p>
        </w:tc>
        <w:tc>
          <w:tcPr>
            <w:tcW w:w="940" w:type="dxa"/>
            <w:vAlign w:val="bottom"/>
            <w:tcBorders>
              <w:bottom w:val="single" w:sz="8" w:color="F0F0F0"/>
            </w:tcBorders>
            <w:shd w:val="clear" w:color="auto" w:fill="F0F0F0"/>
          </w:tcPr>
          <w:p>
            <w:pPr>
              <w:spacing w:after="0"/>
              <w:rPr>
                <w:sz w:val="19"/>
                <w:szCs w:val="19"/>
                <w:color w:val="auto"/>
              </w:rPr>
            </w:pPr>
          </w:p>
        </w:tc>
        <w:tc>
          <w:tcPr>
            <w:tcW w:w="980" w:type="dxa"/>
            <w:vAlign w:val="bottom"/>
            <w:tcBorders>
              <w:bottom w:val="single" w:sz="8" w:color="F0F0F0"/>
              <w:right w:val="single" w:sz="8" w:color="F0F0F0"/>
            </w:tcBorders>
            <w:shd w:val="clear" w:color="auto" w:fill="F0F0F0"/>
          </w:tcPr>
          <w:p>
            <w:pPr>
              <w:spacing w:after="0"/>
              <w:rPr>
                <w:sz w:val="19"/>
                <w:szCs w:val="19"/>
                <w:color w:val="auto"/>
              </w:rPr>
            </w:pPr>
          </w:p>
        </w:tc>
        <w:tc>
          <w:tcPr>
            <w:tcW w:w="2920" w:type="dxa"/>
            <w:vAlign w:val="bottom"/>
            <w:tcBorders>
              <w:bottom w:val="single" w:sz="8" w:color="F0F0F0"/>
            </w:tcBorders>
            <w:shd w:val="clear" w:color="auto" w:fill="F0F0F0"/>
          </w:tcPr>
          <w:p>
            <w:pPr>
              <w:jc w:val="right"/>
              <w:ind w:right="109"/>
              <w:spacing w:after="0"/>
              <w:rPr>
                <w:sz w:val="20"/>
                <w:szCs w:val="20"/>
                <w:color w:val="auto"/>
              </w:rPr>
            </w:pPr>
            <w:r>
              <w:rPr>
                <w:rFonts w:ascii="Arial" w:cs="Arial" w:eastAsia="Arial" w:hAnsi="Arial"/>
                <w:sz w:val="13"/>
                <w:szCs w:val="13"/>
                <w:b w:val="1"/>
                <w:bCs w:val="1"/>
                <w:color w:val="5673B8"/>
              </w:rPr>
              <w:t>ACTUAL PERFORMANCE RESULT</w:t>
            </w:r>
          </w:p>
        </w:tc>
        <w:tc>
          <w:tcPr>
            <w:tcW w:w="1080" w:type="dxa"/>
            <w:vAlign w:val="bottom"/>
            <w:tcBorders>
              <w:bottom w:val="single" w:sz="8" w:color="F0F0F0"/>
            </w:tcBorders>
            <w:shd w:val="clear" w:color="auto" w:fill="F0F0F0"/>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Peer Group Percentile</w:t>
            </w:r>
          </w:p>
        </w:tc>
        <w:tc>
          <w:tcPr>
            <w:tcW w:w="1160" w:type="dxa"/>
            <w:vAlign w:val="bottom"/>
            <w:vMerge w:val="restart"/>
          </w:tcPr>
          <w:p>
            <w:pPr>
              <w:jc w:val="right"/>
              <w:ind w:right="88"/>
              <w:spacing w:after="0"/>
              <w:rPr>
                <w:sz w:val="20"/>
                <w:szCs w:val="20"/>
                <w:color w:val="auto"/>
              </w:rPr>
            </w:pPr>
            <w:r>
              <w:rPr>
                <w:rFonts w:ascii="Arial" w:cs="Arial" w:eastAsia="Arial" w:hAnsi="Arial"/>
                <w:sz w:val="14"/>
                <w:szCs w:val="14"/>
                <w:color w:val="auto"/>
              </w:rPr>
              <w:t>≤ 25th</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50th</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 75th</w:t>
            </w:r>
          </w:p>
        </w:tc>
        <w:tc>
          <w:tcPr>
            <w:tcW w:w="2920" w:type="dxa"/>
            <w:vAlign w:val="bottom"/>
            <w:vMerge w:val="restart"/>
          </w:tcPr>
          <w:p>
            <w:pPr>
              <w:jc w:val="right"/>
              <w:ind w:right="109"/>
              <w:spacing w:after="0"/>
              <w:rPr>
                <w:sz w:val="20"/>
                <w:szCs w:val="20"/>
                <w:color w:val="auto"/>
              </w:rPr>
            </w:pPr>
            <w:r>
              <w:rPr>
                <w:rFonts w:ascii="Arial" w:cs="Arial" w:eastAsia="Arial" w:hAnsi="Arial"/>
                <w:sz w:val="14"/>
                <w:szCs w:val="14"/>
                <w:color w:val="auto"/>
              </w:rPr>
              <w:t>47th</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2360" w:type="dxa"/>
            <w:vAlign w:val="bottom"/>
            <w:vMerge w:val="restart"/>
          </w:tcPr>
          <w:p>
            <w:pPr>
              <w:ind w:left="20"/>
              <w:spacing w:after="0"/>
              <w:rPr>
                <w:sz w:val="20"/>
                <w:szCs w:val="20"/>
                <w:color w:val="auto"/>
              </w:rPr>
            </w:pPr>
            <w:r>
              <w:rPr>
                <w:rFonts w:ascii="Arial" w:cs="Arial" w:eastAsia="Arial" w:hAnsi="Arial"/>
                <w:sz w:val="14"/>
                <w:szCs w:val="14"/>
                <w:b w:val="1"/>
                <w:bCs w:val="1"/>
                <w:color w:val="001C71"/>
              </w:rPr>
              <w:t>Relative TSR Modifier</w:t>
            </w: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Rank</w:t>
            </w:r>
          </w:p>
        </w:tc>
        <w:tc>
          <w:tcPr>
            <w:tcW w:w="11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29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8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1620" w:type="dxa"/>
            <w:vAlign w:val="bottom"/>
            <w:tcBorders>
              <w:bottom w:val="single" w:sz="8" w:color="5673B8"/>
            </w:tcBorders>
          </w:tcPr>
          <w:p>
            <w:pPr>
              <w:spacing w:after="0"/>
              <w:rPr>
                <w:sz w:val="7"/>
                <w:szCs w:val="7"/>
                <w:color w:val="auto"/>
              </w:rPr>
            </w:pPr>
          </w:p>
        </w:tc>
        <w:tc>
          <w:tcPr>
            <w:tcW w:w="1160" w:type="dxa"/>
            <w:vAlign w:val="bottom"/>
            <w:tcBorders>
              <w:bottom w:val="single" w:sz="8" w:color="5673B8"/>
            </w:tcBorders>
          </w:tcPr>
          <w:p>
            <w:pPr>
              <w:spacing w:after="0"/>
              <w:rPr>
                <w:sz w:val="7"/>
                <w:szCs w:val="7"/>
                <w:color w:val="auto"/>
              </w:rPr>
            </w:pPr>
          </w:p>
        </w:tc>
        <w:tc>
          <w:tcPr>
            <w:tcW w:w="940" w:type="dxa"/>
            <w:vAlign w:val="bottom"/>
            <w:tcBorders>
              <w:bottom w:val="single" w:sz="8" w:color="5673B8"/>
            </w:tcBorders>
          </w:tcPr>
          <w:p>
            <w:pPr>
              <w:spacing w:after="0"/>
              <w:rPr>
                <w:sz w:val="7"/>
                <w:szCs w:val="7"/>
                <w:color w:val="auto"/>
              </w:rPr>
            </w:pPr>
          </w:p>
        </w:tc>
        <w:tc>
          <w:tcPr>
            <w:tcW w:w="980" w:type="dxa"/>
            <w:vAlign w:val="bottom"/>
            <w:tcBorders>
              <w:bottom w:val="single" w:sz="8" w:color="5673B8"/>
            </w:tcBorders>
          </w:tcPr>
          <w:p>
            <w:pPr>
              <w:spacing w:after="0"/>
              <w:rPr>
                <w:sz w:val="7"/>
                <w:szCs w:val="7"/>
                <w:color w:val="auto"/>
              </w:rPr>
            </w:pPr>
          </w:p>
        </w:tc>
        <w:tc>
          <w:tcPr>
            <w:tcW w:w="2920" w:type="dxa"/>
            <w:vAlign w:val="bottom"/>
            <w:tcBorders>
              <w:bottom w:val="single" w:sz="8" w:color="5673B8"/>
            </w:tcBorders>
          </w:tcPr>
          <w:p>
            <w:pPr>
              <w:spacing w:after="0"/>
              <w:rPr>
                <w:sz w:val="7"/>
                <w:szCs w:val="7"/>
                <w:color w:val="auto"/>
              </w:rPr>
            </w:pPr>
          </w:p>
        </w:tc>
        <w:tc>
          <w:tcPr>
            <w:tcW w:w="108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Payout Modifier</w:t>
            </w:r>
            <w:r>
              <w:rPr>
                <w:rFonts w:ascii="Arial" w:cs="Arial" w:eastAsia="Arial" w:hAnsi="Arial"/>
                <w:sz w:val="9"/>
                <w:szCs w:val="9"/>
                <w:color w:val="auto"/>
              </w:rPr>
              <w:t>(5)</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75%</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980" w:type="dxa"/>
            <w:vAlign w:val="bottom"/>
          </w:tcPr>
          <w:p>
            <w:pPr>
              <w:jc w:val="right"/>
              <w:spacing w:after="0"/>
              <w:rPr>
                <w:sz w:val="20"/>
                <w:szCs w:val="20"/>
                <w:color w:val="auto"/>
              </w:rPr>
            </w:pPr>
            <w:r>
              <w:rPr>
                <w:rFonts w:ascii="Arial" w:cs="Arial" w:eastAsia="Arial" w:hAnsi="Arial"/>
                <w:sz w:val="14"/>
                <w:szCs w:val="14"/>
                <w:color w:val="auto"/>
              </w:rPr>
              <w:t>125%</w:t>
            </w:r>
          </w:p>
        </w:tc>
        <w:tc>
          <w:tcPr>
            <w:tcW w:w="2920" w:type="dxa"/>
            <w:vAlign w:val="bottom"/>
          </w:tcPr>
          <w:p>
            <w:pPr>
              <w:jc w:val="right"/>
              <w:ind w:right="109"/>
              <w:spacing w:after="0"/>
              <w:rPr>
                <w:sz w:val="20"/>
                <w:szCs w:val="20"/>
                <w:color w:val="auto"/>
              </w:rPr>
            </w:pPr>
            <w:r>
              <w:rPr>
                <w:rFonts w:ascii="Arial" w:cs="Arial" w:eastAsia="Arial" w:hAnsi="Arial"/>
                <w:sz w:val="14"/>
                <w:szCs w:val="14"/>
                <w:color w:val="auto"/>
              </w:rPr>
              <w:t>97%</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852166"/>
            </w:tcBorders>
          </w:tcPr>
          <w:p>
            <w:pPr>
              <w:spacing w:after="0"/>
              <w:rPr>
                <w:sz w:val="5"/>
                <w:szCs w:val="5"/>
                <w:color w:val="auto"/>
              </w:rPr>
            </w:pPr>
          </w:p>
        </w:tc>
        <w:tc>
          <w:tcPr>
            <w:tcW w:w="2360" w:type="dxa"/>
            <w:vAlign w:val="bottom"/>
            <w:tcBorders>
              <w:bottom w:val="single" w:sz="8" w:color="852166"/>
            </w:tcBorders>
          </w:tcPr>
          <w:p>
            <w:pPr>
              <w:spacing w:after="0"/>
              <w:rPr>
                <w:sz w:val="5"/>
                <w:szCs w:val="5"/>
                <w:color w:val="auto"/>
              </w:rPr>
            </w:pPr>
          </w:p>
        </w:tc>
        <w:tc>
          <w:tcPr>
            <w:tcW w:w="1620" w:type="dxa"/>
            <w:vAlign w:val="bottom"/>
            <w:tcBorders>
              <w:bottom w:val="single" w:sz="8" w:color="852166"/>
            </w:tcBorders>
          </w:tcPr>
          <w:p>
            <w:pPr>
              <w:spacing w:after="0"/>
              <w:rPr>
                <w:sz w:val="5"/>
                <w:szCs w:val="5"/>
                <w:color w:val="auto"/>
              </w:rPr>
            </w:pPr>
          </w:p>
        </w:tc>
        <w:tc>
          <w:tcPr>
            <w:tcW w:w="1160" w:type="dxa"/>
            <w:vAlign w:val="bottom"/>
            <w:tcBorders>
              <w:bottom w:val="single" w:sz="8" w:color="852166"/>
            </w:tcBorders>
          </w:tcPr>
          <w:p>
            <w:pPr>
              <w:spacing w:after="0"/>
              <w:rPr>
                <w:sz w:val="5"/>
                <w:szCs w:val="5"/>
                <w:color w:val="auto"/>
              </w:rPr>
            </w:pPr>
          </w:p>
        </w:tc>
        <w:tc>
          <w:tcPr>
            <w:tcW w:w="940" w:type="dxa"/>
            <w:vAlign w:val="bottom"/>
            <w:tcBorders>
              <w:bottom w:val="single" w:sz="8" w:color="852166"/>
            </w:tcBorders>
          </w:tcPr>
          <w:p>
            <w:pPr>
              <w:spacing w:after="0"/>
              <w:rPr>
                <w:sz w:val="5"/>
                <w:szCs w:val="5"/>
                <w:color w:val="auto"/>
              </w:rPr>
            </w:pPr>
          </w:p>
        </w:tc>
        <w:tc>
          <w:tcPr>
            <w:tcW w:w="980" w:type="dxa"/>
            <w:vAlign w:val="bottom"/>
            <w:tcBorders>
              <w:bottom w:val="single" w:sz="8" w:color="852166"/>
            </w:tcBorders>
          </w:tcPr>
          <w:p>
            <w:pPr>
              <w:spacing w:after="0"/>
              <w:rPr>
                <w:sz w:val="5"/>
                <w:szCs w:val="5"/>
                <w:color w:val="auto"/>
              </w:rPr>
            </w:pPr>
          </w:p>
        </w:tc>
        <w:tc>
          <w:tcPr>
            <w:tcW w:w="2920" w:type="dxa"/>
            <w:vAlign w:val="bottom"/>
            <w:tcBorders>
              <w:bottom w:val="single" w:sz="8" w:color="852166"/>
            </w:tcBorders>
          </w:tcPr>
          <w:p>
            <w:pPr>
              <w:spacing w:after="0"/>
              <w:rPr>
                <w:sz w:val="5"/>
                <w:szCs w:val="5"/>
                <w:color w:val="auto"/>
              </w:rPr>
            </w:pPr>
          </w:p>
        </w:tc>
        <w:tc>
          <w:tcPr>
            <w:tcW w:w="1080" w:type="dxa"/>
            <w:vAlign w:val="bottom"/>
            <w:tcBorders>
              <w:bottom w:val="single" w:sz="8" w:color="852166"/>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852166"/>
            </w:tcBorders>
          </w:tcPr>
          <w:p>
            <w:pPr>
              <w:spacing w:after="0"/>
              <w:rPr>
                <w:sz w:val="18"/>
                <w:szCs w:val="18"/>
                <w:color w:val="auto"/>
              </w:rPr>
            </w:pPr>
          </w:p>
        </w:tc>
        <w:tc>
          <w:tcPr>
            <w:tcW w:w="2360" w:type="dxa"/>
            <w:vAlign w:val="bottom"/>
            <w:tcBorders>
              <w:bottom w:val="single" w:sz="8" w:color="852166"/>
            </w:tcBorders>
          </w:tcPr>
          <w:p>
            <w:pPr>
              <w:ind w:left="20"/>
              <w:spacing w:after="0"/>
              <w:rPr>
                <w:sz w:val="20"/>
                <w:szCs w:val="20"/>
                <w:color w:val="auto"/>
              </w:rPr>
            </w:pPr>
            <w:r>
              <w:rPr>
                <w:rFonts w:ascii="Arial" w:cs="Arial" w:eastAsia="Arial" w:hAnsi="Arial"/>
                <w:sz w:val="14"/>
                <w:szCs w:val="14"/>
                <w:b w:val="1"/>
                <w:bCs w:val="1"/>
                <w:color w:val="852166"/>
              </w:rPr>
              <w:t>Final Results (97% x 97%)</w:t>
            </w:r>
          </w:p>
        </w:tc>
        <w:tc>
          <w:tcPr>
            <w:tcW w:w="1620" w:type="dxa"/>
            <w:vAlign w:val="bottom"/>
            <w:tcBorders>
              <w:bottom w:val="single" w:sz="8" w:color="852166"/>
            </w:tcBorders>
          </w:tcPr>
          <w:p>
            <w:pPr>
              <w:spacing w:after="0"/>
              <w:rPr>
                <w:sz w:val="18"/>
                <w:szCs w:val="18"/>
                <w:color w:val="auto"/>
              </w:rPr>
            </w:pPr>
          </w:p>
        </w:tc>
        <w:tc>
          <w:tcPr>
            <w:tcW w:w="1160" w:type="dxa"/>
            <w:vAlign w:val="bottom"/>
            <w:tcBorders>
              <w:bottom w:val="single" w:sz="8" w:color="852166"/>
            </w:tcBorders>
          </w:tcPr>
          <w:p>
            <w:pPr>
              <w:spacing w:after="0"/>
              <w:rPr>
                <w:sz w:val="18"/>
                <w:szCs w:val="18"/>
                <w:color w:val="auto"/>
              </w:rPr>
            </w:pPr>
          </w:p>
        </w:tc>
        <w:tc>
          <w:tcPr>
            <w:tcW w:w="940" w:type="dxa"/>
            <w:vAlign w:val="bottom"/>
            <w:tcBorders>
              <w:bottom w:val="single" w:sz="8" w:color="852166"/>
            </w:tcBorders>
          </w:tcPr>
          <w:p>
            <w:pPr>
              <w:spacing w:after="0"/>
              <w:rPr>
                <w:sz w:val="18"/>
                <w:szCs w:val="18"/>
                <w:color w:val="auto"/>
              </w:rPr>
            </w:pPr>
          </w:p>
        </w:tc>
        <w:tc>
          <w:tcPr>
            <w:tcW w:w="980" w:type="dxa"/>
            <w:vAlign w:val="bottom"/>
            <w:tcBorders>
              <w:bottom w:val="single" w:sz="8" w:color="852166"/>
            </w:tcBorders>
          </w:tcPr>
          <w:p>
            <w:pPr>
              <w:spacing w:after="0"/>
              <w:rPr>
                <w:sz w:val="18"/>
                <w:szCs w:val="18"/>
                <w:color w:val="auto"/>
              </w:rPr>
            </w:pPr>
          </w:p>
        </w:tc>
        <w:tc>
          <w:tcPr>
            <w:tcW w:w="2920" w:type="dxa"/>
            <w:vAlign w:val="bottom"/>
            <w:tcBorders>
              <w:bottom w:val="single" w:sz="8" w:color="852166"/>
            </w:tcBorders>
          </w:tcPr>
          <w:p>
            <w:pPr>
              <w:spacing w:after="0"/>
              <w:rPr>
                <w:sz w:val="18"/>
                <w:szCs w:val="18"/>
                <w:color w:val="auto"/>
              </w:rPr>
            </w:pPr>
          </w:p>
        </w:tc>
        <w:tc>
          <w:tcPr>
            <w:tcW w:w="1080" w:type="dxa"/>
            <w:vAlign w:val="bottom"/>
            <w:tcBorders>
              <w:bottom w:val="single" w:sz="8" w:color="852166"/>
            </w:tcBorders>
          </w:tcPr>
          <w:p>
            <w:pPr>
              <w:jc w:val="right"/>
              <w:ind w:right="28"/>
              <w:spacing w:after="0"/>
              <w:rPr>
                <w:sz w:val="20"/>
                <w:szCs w:val="20"/>
                <w:color w:val="auto"/>
              </w:rPr>
            </w:pPr>
            <w:r>
              <w:rPr>
                <w:rFonts w:ascii="Arial" w:cs="Arial" w:eastAsia="Arial" w:hAnsi="Arial"/>
                <w:sz w:val="14"/>
                <w:szCs w:val="14"/>
                <w:b w:val="1"/>
                <w:bCs w:val="1"/>
                <w:color w:val="852166"/>
              </w:rPr>
              <w:t>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-2005330</wp:posOffset>
            </wp:positionV>
            <wp:extent cx="196278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19"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performance result is calculated by linear interpolation between payout goals.</w:t>
      </w:r>
    </w:p>
    <w:p>
      <w:pPr>
        <w:spacing w:after="0" w:line="95" w:lineRule="exact"/>
        <w:rPr>
          <w:rFonts w:ascii="Arial" w:cs="Arial" w:eastAsia="Arial" w:hAnsi="Arial"/>
          <w:sz w:val="14"/>
          <w:szCs w:val="14"/>
          <w:color w:val="auto"/>
        </w:rPr>
      </w:pPr>
    </w:p>
    <w:p>
      <w:pPr>
        <w:ind w:left="340" w:right="60" w:hanging="332"/>
        <w:spacing w:after="0" w:line="305" w:lineRule="auto"/>
        <w:tabs>
          <w:tab w:leader="none" w:pos="327"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calculation of the performance result for the total revenue metric reflects the pro forma impact of a full twelve months of Sativex revenue, calculated using year-to-date results prior to its divestiture on October 31, 2025.</w:t>
      </w:r>
    </w:p>
    <w:p>
      <w:pPr>
        <w:spacing w:after="0" w:line="9" w:lineRule="exact"/>
        <w:rPr>
          <w:rFonts w:ascii="Arial" w:cs="Arial" w:eastAsia="Arial" w:hAnsi="Arial"/>
          <w:sz w:val="14"/>
          <w:szCs w:val="14"/>
          <w:color w:val="auto"/>
        </w:rPr>
      </w:pPr>
    </w:p>
    <w:p>
      <w:pPr>
        <w:ind w:left="340" w:hanging="332"/>
        <w:spacing w:after="0" w:line="272" w:lineRule="auto"/>
        <w:tabs>
          <w:tab w:leader="none" w:pos="327" w:val="left"/>
        </w:tabs>
        <w:numPr>
          <w:ilvl w:val="0"/>
          <w:numId w:val="64"/>
        </w:numPr>
        <w:rPr>
          <w:rFonts w:ascii="Arial" w:cs="Arial" w:eastAsia="Arial" w:hAnsi="Arial"/>
          <w:sz w:val="14"/>
          <w:szCs w:val="14"/>
          <w:color w:val="auto"/>
        </w:rPr>
      </w:pPr>
      <w:r>
        <w:rPr>
          <w:rFonts w:ascii="Arial" w:cs="Arial" w:eastAsia="Arial" w:hAnsi="Arial"/>
          <w:sz w:val="14"/>
          <w:szCs w:val="14"/>
          <w:color w:val="auto"/>
        </w:rPr>
        <w:t>One point awarded for each successful IND; four points awarded for each successful proof of concept study; and six points awarded for each successful pivotal study and/or regulatory approval of a marketing application occurring during the performance period. During the performance period, we achieved the following: five INDs: JZP541 (cannabinoid), JZP505 (cannabinoid), JZP898 (conditionally activated interferon alpha (IFNα) (2b cytokine pro-drug), JZP253 (CombiPlex preclinical molecule) and JZP047 (absence epilepsy); one proof-of-concept: Epidiolex/Epidyolex (JZP926); two successful pivotal studies: Zepzelca (JZP712) and Ziihera (JZP598); and three product approvals: Enrylaze (JZP458), Ziihera (JZP598) in BTC and Modeyso (JZP503).</w:t>
      </w:r>
    </w:p>
    <w:p>
      <w:pPr>
        <w:spacing w:after="0" w:line="32" w:lineRule="exact"/>
        <w:rPr>
          <w:rFonts w:ascii="Arial" w:cs="Arial" w:eastAsia="Arial" w:hAnsi="Arial"/>
          <w:sz w:val="14"/>
          <w:szCs w:val="14"/>
          <w:color w:val="auto"/>
        </w:rPr>
      </w:pPr>
    </w:p>
    <w:p>
      <w:pPr>
        <w:ind w:left="340" w:right="20" w:hanging="332"/>
        <w:spacing w:after="0" w:line="264" w:lineRule="auto"/>
        <w:tabs>
          <w:tab w:leader="none" w:pos="327" w:val="left"/>
        </w:tabs>
        <w:numPr>
          <w:ilvl w:val="0"/>
          <w:numId w:val="64"/>
        </w:numPr>
        <w:rPr>
          <w:rFonts w:ascii="Arial" w:cs="Arial" w:eastAsia="Arial" w:hAnsi="Arial"/>
          <w:sz w:val="14"/>
          <w:szCs w:val="14"/>
          <w:color w:val="auto"/>
        </w:rPr>
      </w:pPr>
      <w:r>
        <w:rPr>
          <w:rFonts w:ascii="Arial" w:cs="Arial" w:eastAsia="Arial" w:hAnsi="Arial"/>
          <w:sz w:val="14"/>
          <w:szCs w:val="14"/>
          <w:color w:val="auto"/>
        </w:rPr>
        <w:t>Non-GAAP adjusted operating margin is a non-GAAP financial measure that is calculated as (a) total revenues for 2025 less non-GAAP adjusted cost of product sales, SG&amp;A expenses and R&amp;D expenses for 2025 divided by (b) total revenues for 2025. Non-GAAP adjusted cost of product sales, SG&amp;A expenses and R&amp;D expenses exclude from GAAP cost of product sales, SG&amp;A expenses and R&amp;D expenses, as applicable, share-based compensation expense, integration related expenses, acquisition accounting inventory fair value step-up expense, certain material litigation settlement expenses, and other expenses deducted in arriving at non-GAAP adjusted net income. The threshold and stretch non-GAAP adjusted operating margin values set by our Compensation Committee in 2023 are not being disclosed as they represent confidential commercial and financial information, the disclosure of which would result in competitive harm to our Company. Our Compensation Committee believed that it set performance goals at rigorous and challenging levels that would require significant effort and achievement by our executive officers to be attained. Such goals were established in light of our internal forecast at the time as well as macroeconomic and industry environments.</w:t>
      </w:r>
    </w:p>
    <w:p>
      <w:pPr>
        <w:spacing w:after="0" w:line="52" w:lineRule="exact"/>
        <w:rPr>
          <w:rFonts w:ascii="Arial" w:cs="Arial" w:eastAsia="Arial" w:hAnsi="Arial"/>
          <w:sz w:val="14"/>
          <w:szCs w:val="14"/>
          <w:color w:val="auto"/>
        </w:rPr>
      </w:pPr>
    </w:p>
    <w:p>
      <w:pPr>
        <w:ind w:left="340" w:right="180" w:hanging="332"/>
        <w:spacing w:after="0"/>
        <w:tabs>
          <w:tab w:leader="none" w:pos="327" w:val="left"/>
        </w:tabs>
        <w:numPr>
          <w:ilvl w:val="0"/>
          <w:numId w:val="64"/>
        </w:numPr>
        <w:rPr>
          <w:rFonts w:ascii="Arial" w:cs="Arial" w:eastAsia="Arial" w:hAnsi="Arial"/>
          <w:sz w:val="14"/>
          <w:szCs w:val="14"/>
          <w:color w:val="auto"/>
        </w:rPr>
      </w:pPr>
      <w:r>
        <w:rPr>
          <w:rFonts w:ascii="Arial" w:cs="Arial" w:eastAsia="Arial" w:hAnsi="Arial"/>
          <w:sz w:val="14"/>
          <w:szCs w:val="14"/>
          <w:color w:val="auto"/>
        </w:rPr>
        <w:t>For every percentile rank between 50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and 25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the payout modifier is decreased by 1% to a minimum of 75%; for every percentile rank between 50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and 75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the payout modifier is increased by 1% up to a maximum of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254000</wp:posOffset>
            </wp:positionV>
            <wp:extent cx="1242695" cy="2057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64</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72" w:name="page73"/>
    <w:bookmarkEnd w:id="72"/>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7" w:lineRule="exact"/>
        <w:rPr>
          <w:sz w:val="20"/>
          <w:szCs w:val="20"/>
          <w:color w:val="auto"/>
        </w:rPr>
      </w:pPr>
    </w:p>
    <w:p>
      <w:pPr>
        <w:ind w:right="600"/>
        <w:spacing w:after="0" w:line="321" w:lineRule="auto"/>
        <w:rPr>
          <w:sz w:val="20"/>
          <w:szCs w:val="20"/>
          <w:color w:val="auto"/>
        </w:rPr>
      </w:pPr>
      <w:r>
        <w:rPr>
          <w:rFonts w:ascii="Arial" w:cs="Arial" w:eastAsia="Arial" w:hAnsi="Arial"/>
          <w:sz w:val="16"/>
          <w:szCs w:val="16"/>
          <w:color w:val="auto"/>
        </w:rPr>
        <w:t>The table below sets forth the target number of 2023 PSUs granted and the total number of 2023 PSUs that were earned based on performance and subsequently vested for each of the NEOs.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shd w:val="clear" w:color="auto" w:fill="001C71"/>
          </w:tcPr>
          <w:p>
            <w:pPr>
              <w:spacing w:after="0"/>
              <w:rPr>
                <w:sz w:val="17"/>
                <w:szCs w:val="17"/>
                <w:color w:val="auto"/>
              </w:rPr>
            </w:pPr>
          </w:p>
        </w:tc>
        <w:tc>
          <w:tcPr>
            <w:tcW w:w="2900" w:type="dxa"/>
            <w:vAlign w:val="bottom"/>
            <w:shd w:val="clear" w:color="auto" w:fill="001C71"/>
          </w:tcPr>
          <w:p>
            <w:pPr>
              <w:spacing w:after="0"/>
              <w:rPr>
                <w:sz w:val="17"/>
                <w:szCs w:val="17"/>
                <w:color w:val="auto"/>
              </w:rPr>
            </w:pPr>
          </w:p>
        </w:tc>
        <w:tc>
          <w:tcPr>
            <w:tcW w:w="4880" w:type="dxa"/>
            <w:vAlign w:val="bottom"/>
            <w:shd w:val="clear" w:color="auto" w:fill="001C71"/>
          </w:tcPr>
          <w:p>
            <w:pPr>
              <w:jc w:val="right"/>
              <w:ind w:right="948"/>
              <w:spacing w:after="0"/>
              <w:rPr>
                <w:sz w:val="20"/>
                <w:szCs w:val="20"/>
                <w:color w:val="auto"/>
              </w:rPr>
            </w:pPr>
            <w:r>
              <w:rPr>
                <w:rFonts w:ascii="Arial" w:cs="Arial" w:eastAsia="Arial" w:hAnsi="Arial"/>
                <w:sz w:val="14"/>
                <w:szCs w:val="14"/>
                <w:b w:val="1"/>
                <w:bCs w:val="1"/>
                <w:color w:val="FFFFFF"/>
              </w:rPr>
              <w:t>Target Number of PSUs Granted</w:t>
            </w:r>
          </w:p>
        </w:tc>
        <w:tc>
          <w:tcPr>
            <w:tcW w:w="3380" w:type="dxa"/>
            <w:vAlign w:val="bottom"/>
            <w:gridSpan w:val="2"/>
            <w:shd w:val="clear" w:color="auto" w:fill="001C71"/>
          </w:tcPr>
          <w:p>
            <w:pPr>
              <w:ind w:left="1040"/>
              <w:spacing w:after="0"/>
              <w:rPr>
                <w:sz w:val="20"/>
                <w:szCs w:val="20"/>
                <w:color w:val="auto"/>
              </w:rPr>
            </w:pPr>
            <w:r>
              <w:rPr>
                <w:rFonts w:ascii="Arial" w:cs="Arial" w:eastAsia="Arial" w:hAnsi="Arial"/>
                <w:sz w:val="14"/>
                <w:szCs w:val="14"/>
                <w:b w:val="1"/>
                <w:bCs w:val="1"/>
                <w:color w:val="FFFFFF"/>
              </w:rPr>
              <w:t>Actual Number of PSUs Vested</w:t>
            </w:r>
            <w:r>
              <w:rPr>
                <w:rFonts w:ascii="Arial" w:cs="Arial" w:eastAsia="Arial" w:hAnsi="Arial"/>
                <w:sz w:val="18"/>
                <w:szCs w:val="18"/>
                <w:b w:val="1"/>
                <w:bCs w:val="1"/>
                <w:color w:val="FFFFFF"/>
                <w:vertAlign w:val="superscript"/>
              </w:rPr>
              <w:t>(1)</w:t>
            </w:r>
          </w:p>
        </w:tc>
      </w:tr>
      <w:tr>
        <w:trPr>
          <w:trHeight w:val="196"/>
        </w:trPr>
        <w:tc>
          <w:tcPr>
            <w:tcW w:w="80" w:type="dxa"/>
            <w:vAlign w:val="bottom"/>
            <w:shd w:val="clear" w:color="auto" w:fill="001C71"/>
          </w:tcPr>
          <w:p>
            <w:pPr>
              <w:spacing w:after="0"/>
              <w:rPr>
                <w:sz w:val="17"/>
                <w:szCs w:val="17"/>
                <w:color w:val="auto"/>
              </w:rPr>
            </w:pPr>
          </w:p>
        </w:tc>
        <w:tc>
          <w:tcPr>
            <w:tcW w:w="2900" w:type="dxa"/>
            <w:vAlign w:val="bottom"/>
            <w:shd w:val="clear" w:color="auto" w:fill="001C71"/>
          </w:tcPr>
          <w:p>
            <w:pPr>
              <w:ind w:left="20"/>
              <w:spacing w:after="0"/>
              <w:rPr>
                <w:sz w:val="20"/>
                <w:szCs w:val="20"/>
                <w:color w:val="auto"/>
              </w:rPr>
            </w:pPr>
            <w:r>
              <w:rPr>
                <w:rFonts w:ascii="Arial" w:cs="Arial" w:eastAsia="Arial" w:hAnsi="Arial"/>
                <w:sz w:val="14"/>
                <w:szCs w:val="14"/>
                <w:b w:val="1"/>
                <w:bCs w:val="1"/>
                <w:color w:val="FFFFFF"/>
              </w:rPr>
              <w:t>Name</w:t>
            </w:r>
          </w:p>
        </w:tc>
        <w:tc>
          <w:tcPr>
            <w:tcW w:w="4880" w:type="dxa"/>
            <w:vAlign w:val="bottom"/>
            <w:shd w:val="clear" w:color="auto" w:fill="001C71"/>
          </w:tcPr>
          <w:p>
            <w:pPr>
              <w:jc w:val="right"/>
              <w:ind w:right="948"/>
              <w:spacing w:after="0"/>
              <w:rPr>
                <w:sz w:val="20"/>
                <w:szCs w:val="20"/>
                <w:color w:val="auto"/>
              </w:rPr>
            </w:pPr>
            <w:r>
              <w:rPr>
                <w:rFonts w:ascii="Arial" w:cs="Arial" w:eastAsia="Arial" w:hAnsi="Arial"/>
                <w:sz w:val="14"/>
                <w:szCs w:val="14"/>
                <w:b w:val="1"/>
                <w:bCs w:val="1"/>
                <w:color w:val="FFFFFF"/>
              </w:rPr>
              <w:t>(#)</w:t>
            </w:r>
          </w:p>
        </w:tc>
        <w:tc>
          <w:tcPr>
            <w:tcW w:w="3280" w:type="dxa"/>
            <w:vAlign w:val="bottom"/>
            <w:shd w:val="clear" w:color="auto" w:fill="001C7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001C71"/>
          </w:tcPr>
          <w:p>
            <w:pPr>
              <w:spacing w:after="0"/>
              <w:rPr>
                <w:sz w:val="17"/>
                <w:szCs w:val="17"/>
                <w:color w:val="auto"/>
              </w:rPr>
            </w:pPr>
          </w:p>
        </w:tc>
      </w:tr>
      <w:tr>
        <w:trPr>
          <w:trHeight w:val="70"/>
        </w:trPr>
        <w:tc>
          <w:tcPr>
            <w:tcW w:w="80" w:type="dxa"/>
            <w:vAlign w:val="bottom"/>
            <w:shd w:val="clear" w:color="auto" w:fill="001C71"/>
          </w:tcPr>
          <w:p>
            <w:pPr>
              <w:spacing w:after="0"/>
              <w:rPr>
                <w:sz w:val="6"/>
                <w:szCs w:val="6"/>
                <w:color w:val="auto"/>
              </w:rPr>
            </w:pPr>
          </w:p>
        </w:tc>
        <w:tc>
          <w:tcPr>
            <w:tcW w:w="2900" w:type="dxa"/>
            <w:vAlign w:val="bottom"/>
            <w:shd w:val="clear" w:color="auto" w:fill="001C71"/>
          </w:tcPr>
          <w:p>
            <w:pPr>
              <w:spacing w:after="0"/>
              <w:rPr>
                <w:sz w:val="6"/>
                <w:szCs w:val="6"/>
                <w:color w:val="auto"/>
              </w:rPr>
            </w:pPr>
          </w:p>
        </w:tc>
        <w:tc>
          <w:tcPr>
            <w:tcW w:w="4880" w:type="dxa"/>
            <w:vAlign w:val="bottom"/>
            <w:shd w:val="clear" w:color="auto" w:fill="001C71"/>
          </w:tcPr>
          <w:p>
            <w:pPr>
              <w:spacing w:after="0"/>
              <w:rPr>
                <w:sz w:val="6"/>
                <w:szCs w:val="6"/>
                <w:color w:val="auto"/>
              </w:rPr>
            </w:pPr>
          </w:p>
        </w:tc>
        <w:tc>
          <w:tcPr>
            <w:tcW w:w="3280" w:type="dxa"/>
            <w:vAlign w:val="bottom"/>
            <w:shd w:val="clear" w:color="auto" w:fill="001C71"/>
          </w:tcPr>
          <w:p>
            <w:pPr>
              <w:spacing w:after="0"/>
              <w:rPr>
                <w:sz w:val="6"/>
                <w:szCs w:val="6"/>
                <w:color w:val="auto"/>
              </w:rPr>
            </w:pPr>
          </w:p>
        </w:tc>
        <w:tc>
          <w:tcPr>
            <w:tcW w:w="100" w:type="dxa"/>
            <w:vAlign w:val="bottom"/>
            <w:shd w:val="clear" w:color="auto" w:fill="001C71"/>
          </w:tcPr>
          <w:p>
            <w:pPr>
              <w:spacing w:after="0"/>
              <w:rPr>
                <w:sz w:val="6"/>
                <w:szCs w:val="6"/>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9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Renee D. Gala</w:t>
            </w:r>
          </w:p>
        </w:tc>
        <w:tc>
          <w:tcPr>
            <w:tcW w:w="4880" w:type="dxa"/>
            <w:vAlign w:val="bottom"/>
            <w:tcBorders>
              <w:bottom w:val="single" w:sz="8" w:color="5673B8"/>
            </w:tcBorders>
          </w:tcPr>
          <w:p>
            <w:pPr>
              <w:jc w:val="right"/>
              <w:ind w:right="1008"/>
              <w:spacing w:after="0"/>
              <w:rPr>
                <w:sz w:val="20"/>
                <w:szCs w:val="20"/>
                <w:color w:val="auto"/>
              </w:rPr>
            </w:pPr>
            <w:r>
              <w:rPr>
                <w:rFonts w:ascii="Arial" w:cs="Arial" w:eastAsia="Arial" w:hAnsi="Arial"/>
                <w:sz w:val="14"/>
                <w:szCs w:val="14"/>
                <w:color w:val="auto"/>
              </w:rPr>
              <w:t>13,556</w:t>
            </w:r>
          </w:p>
        </w:tc>
        <w:tc>
          <w:tcPr>
            <w:tcW w:w="328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12,741</w:t>
            </w:r>
          </w:p>
        </w:tc>
        <w:tc>
          <w:tcPr>
            <w:tcW w:w="100" w:type="dxa"/>
            <w:vAlign w:val="bottom"/>
            <w:tcBorders>
              <w:bottom w:val="single" w:sz="8" w:color="5673B8"/>
            </w:tcBorders>
          </w:tcPr>
          <w:p>
            <w:pPr>
              <w:spacing w:after="0"/>
              <w:rPr>
                <w:sz w:val="19"/>
                <w:szCs w:val="19"/>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9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Philip L. Johnson</w:t>
            </w:r>
          </w:p>
        </w:tc>
        <w:tc>
          <w:tcPr>
            <w:tcW w:w="4880" w:type="dxa"/>
            <w:vAlign w:val="bottom"/>
            <w:tcBorders>
              <w:bottom w:val="single" w:sz="8" w:color="5673B8"/>
            </w:tcBorders>
          </w:tcPr>
          <w:p>
            <w:pPr>
              <w:jc w:val="right"/>
              <w:ind w:right="1008"/>
              <w:spacing w:after="0"/>
              <w:rPr>
                <w:sz w:val="20"/>
                <w:szCs w:val="20"/>
                <w:color w:val="auto"/>
              </w:rPr>
            </w:pPr>
            <w:r>
              <w:rPr>
                <w:rFonts w:ascii="Arial" w:cs="Arial" w:eastAsia="Arial" w:hAnsi="Arial"/>
                <w:sz w:val="14"/>
                <w:szCs w:val="14"/>
                <w:color w:val="auto"/>
              </w:rPr>
              <w:t>—</w:t>
            </w:r>
          </w:p>
        </w:tc>
        <w:tc>
          <w:tcPr>
            <w:tcW w:w="3380" w:type="dxa"/>
            <w:vAlign w:val="bottom"/>
            <w:tcBorders>
              <w:bottom w:val="single" w:sz="8" w:color="5673B8"/>
            </w:tcBorders>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29"/>
        </w:trPr>
        <w:tc>
          <w:tcPr>
            <w:tcW w:w="80" w:type="dxa"/>
            <w:vAlign w:val="bottom"/>
            <w:tcBorders>
              <w:bottom w:val="single" w:sz="8" w:color="5673B8"/>
            </w:tcBorders>
          </w:tcPr>
          <w:p>
            <w:pPr>
              <w:spacing w:after="0"/>
              <w:rPr>
                <w:sz w:val="19"/>
                <w:szCs w:val="19"/>
                <w:color w:val="auto"/>
              </w:rPr>
            </w:pPr>
          </w:p>
        </w:tc>
        <w:tc>
          <w:tcPr>
            <w:tcW w:w="29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Bruce C. Cozadd</w:t>
            </w:r>
          </w:p>
        </w:tc>
        <w:tc>
          <w:tcPr>
            <w:tcW w:w="4880" w:type="dxa"/>
            <w:vAlign w:val="bottom"/>
            <w:tcBorders>
              <w:bottom w:val="single" w:sz="8" w:color="5673B8"/>
            </w:tcBorders>
          </w:tcPr>
          <w:p>
            <w:pPr>
              <w:jc w:val="right"/>
              <w:ind w:right="1008"/>
              <w:spacing w:after="0"/>
              <w:rPr>
                <w:sz w:val="20"/>
                <w:szCs w:val="20"/>
                <w:color w:val="auto"/>
              </w:rPr>
            </w:pPr>
            <w:r>
              <w:rPr>
                <w:rFonts w:ascii="Arial" w:cs="Arial" w:eastAsia="Arial" w:hAnsi="Arial"/>
                <w:sz w:val="14"/>
                <w:szCs w:val="14"/>
                <w:color w:val="auto"/>
              </w:rPr>
              <w:t>42,388</w:t>
            </w:r>
          </w:p>
        </w:tc>
        <w:tc>
          <w:tcPr>
            <w:tcW w:w="328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35,917</w:t>
            </w:r>
            <w:r>
              <w:rPr>
                <w:rFonts w:ascii="Arial" w:cs="Arial" w:eastAsia="Arial" w:hAnsi="Arial"/>
                <w:sz w:val="18"/>
                <w:szCs w:val="18"/>
                <w:color w:val="auto"/>
                <w:vertAlign w:val="superscript"/>
              </w:rPr>
              <w:t>(2)</w:t>
            </w:r>
          </w:p>
        </w:tc>
        <w:tc>
          <w:tcPr>
            <w:tcW w:w="100" w:type="dxa"/>
            <w:vAlign w:val="bottom"/>
            <w:tcBorders>
              <w:bottom w:val="single" w:sz="8" w:color="5673B8"/>
            </w:tcBorders>
          </w:tcPr>
          <w:p>
            <w:pPr>
              <w:spacing w:after="0"/>
              <w:rPr>
                <w:sz w:val="19"/>
                <w:szCs w:val="19"/>
                <w:color w:val="auto"/>
              </w:rPr>
            </w:pPr>
          </w:p>
        </w:tc>
      </w:tr>
      <w:tr>
        <w:trPr>
          <w:trHeight w:val="217"/>
        </w:trPr>
        <w:tc>
          <w:tcPr>
            <w:tcW w:w="80" w:type="dxa"/>
            <w:vAlign w:val="bottom"/>
            <w:tcBorders>
              <w:bottom w:val="single" w:sz="8" w:color="5673B8"/>
            </w:tcBorders>
          </w:tcPr>
          <w:p>
            <w:pPr>
              <w:spacing w:after="0"/>
              <w:rPr>
                <w:sz w:val="18"/>
                <w:szCs w:val="18"/>
                <w:color w:val="auto"/>
              </w:rPr>
            </w:pPr>
          </w:p>
        </w:tc>
        <w:tc>
          <w:tcPr>
            <w:tcW w:w="29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Robert Iannone</w:t>
            </w:r>
          </w:p>
        </w:tc>
        <w:tc>
          <w:tcPr>
            <w:tcW w:w="4880" w:type="dxa"/>
            <w:vAlign w:val="bottom"/>
            <w:tcBorders>
              <w:bottom w:val="single" w:sz="8" w:color="5673B8"/>
            </w:tcBorders>
          </w:tcPr>
          <w:p>
            <w:pPr>
              <w:jc w:val="right"/>
              <w:ind w:right="1008"/>
              <w:spacing w:after="0"/>
              <w:rPr>
                <w:sz w:val="20"/>
                <w:szCs w:val="20"/>
                <w:color w:val="auto"/>
              </w:rPr>
            </w:pPr>
            <w:r>
              <w:rPr>
                <w:rFonts w:ascii="Arial" w:cs="Arial" w:eastAsia="Arial" w:hAnsi="Arial"/>
                <w:sz w:val="14"/>
                <w:szCs w:val="14"/>
                <w:color w:val="auto"/>
              </w:rPr>
              <w:t>12,447</w:t>
            </w:r>
          </w:p>
        </w:tc>
        <w:tc>
          <w:tcPr>
            <w:tcW w:w="328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11,699</w:t>
            </w:r>
          </w:p>
        </w:tc>
        <w:tc>
          <w:tcPr>
            <w:tcW w:w="100" w:type="dxa"/>
            <w:vAlign w:val="bottom"/>
            <w:tcBorders>
              <w:bottom w:val="single" w:sz="8" w:color="5673B8"/>
            </w:tcBorders>
          </w:tcPr>
          <w:p>
            <w:pPr>
              <w:spacing w:after="0"/>
              <w:rPr>
                <w:sz w:val="18"/>
                <w:szCs w:val="18"/>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290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Neena M. Patil</w:t>
            </w:r>
          </w:p>
        </w:tc>
        <w:tc>
          <w:tcPr>
            <w:tcW w:w="4880" w:type="dxa"/>
            <w:vAlign w:val="bottom"/>
            <w:tcBorders>
              <w:bottom w:val="single" w:sz="8" w:color="5673B8"/>
            </w:tcBorders>
          </w:tcPr>
          <w:p>
            <w:pPr>
              <w:jc w:val="right"/>
              <w:ind w:right="1008"/>
              <w:spacing w:after="0"/>
              <w:rPr>
                <w:sz w:val="20"/>
                <w:szCs w:val="20"/>
                <w:color w:val="auto"/>
              </w:rPr>
            </w:pPr>
            <w:r>
              <w:rPr>
                <w:rFonts w:ascii="Arial" w:cs="Arial" w:eastAsia="Arial" w:hAnsi="Arial"/>
                <w:sz w:val="14"/>
                <w:szCs w:val="14"/>
                <w:color w:val="auto"/>
              </w:rPr>
              <w:t>9,419</w:t>
            </w:r>
          </w:p>
        </w:tc>
        <w:tc>
          <w:tcPr>
            <w:tcW w:w="328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8,852</w:t>
            </w:r>
          </w:p>
        </w:tc>
        <w:tc>
          <w:tcPr>
            <w:tcW w:w="100" w:type="dxa"/>
            <w:vAlign w:val="bottom"/>
            <w:tcBorders>
              <w:bottom w:val="single" w:sz="8" w:color="5673B8"/>
            </w:tcBorders>
          </w:tcPr>
          <w:p>
            <w:pPr>
              <w:spacing w:after="0"/>
              <w:rPr>
                <w:sz w:val="19"/>
                <w:szCs w:val="19"/>
                <w:color w:val="auto"/>
              </w:rPr>
            </w:pPr>
          </w:p>
        </w:tc>
      </w:tr>
      <w:tr>
        <w:trPr>
          <w:trHeight w:val="223"/>
        </w:trPr>
        <w:tc>
          <w:tcPr>
            <w:tcW w:w="80" w:type="dxa"/>
            <w:vAlign w:val="bottom"/>
            <w:tcBorders>
              <w:bottom w:val="single" w:sz="8" w:color="852166"/>
            </w:tcBorders>
          </w:tcPr>
          <w:p>
            <w:pPr>
              <w:spacing w:after="0"/>
              <w:rPr>
                <w:sz w:val="19"/>
                <w:szCs w:val="19"/>
                <w:color w:val="auto"/>
              </w:rPr>
            </w:pPr>
          </w:p>
        </w:tc>
        <w:tc>
          <w:tcPr>
            <w:tcW w:w="2900" w:type="dxa"/>
            <w:vAlign w:val="bottom"/>
            <w:tcBorders>
              <w:bottom w:val="single" w:sz="8" w:color="95427B"/>
            </w:tcBorders>
          </w:tcPr>
          <w:p>
            <w:pPr>
              <w:ind w:left="20"/>
              <w:spacing w:after="0"/>
              <w:rPr>
                <w:sz w:val="20"/>
                <w:szCs w:val="20"/>
                <w:color w:val="auto"/>
              </w:rPr>
            </w:pPr>
            <w:r>
              <w:rPr>
                <w:rFonts w:ascii="Arial" w:cs="Arial" w:eastAsia="Arial" w:hAnsi="Arial"/>
                <w:sz w:val="14"/>
                <w:szCs w:val="14"/>
                <w:b w:val="1"/>
                <w:bCs w:val="1"/>
                <w:color w:val="852166"/>
              </w:rPr>
              <w:t>Samantha Pearce</w:t>
            </w:r>
          </w:p>
        </w:tc>
        <w:tc>
          <w:tcPr>
            <w:tcW w:w="4880" w:type="dxa"/>
            <w:vAlign w:val="bottom"/>
            <w:tcBorders>
              <w:bottom w:val="single" w:sz="8" w:color="95427B"/>
            </w:tcBorders>
          </w:tcPr>
          <w:p>
            <w:pPr>
              <w:jc w:val="right"/>
              <w:ind w:right="1008"/>
              <w:spacing w:after="0"/>
              <w:rPr>
                <w:sz w:val="20"/>
                <w:szCs w:val="20"/>
                <w:color w:val="auto"/>
              </w:rPr>
            </w:pPr>
            <w:r>
              <w:rPr>
                <w:rFonts w:ascii="Arial" w:cs="Arial" w:eastAsia="Arial" w:hAnsi="Arial"/>
                <w:sz w:val="14"/>
                <w:szCs w:val="14"/>
                <w:color w:val="auto"/>
              </w:rPr>
              <w:t>3,870</w:t>
            </w:r>
          </w:p>
        </w:tc>
        <w:tc>
          <w:tcPr>
            <w:tcW w:w="3280" w:type="dxa"/>
            <w:vAlign w:val="bottom"/>
            <w:tcBorders>
              <w:bottom w:val="single" w:sz="8" w:color="95427B"/>
            </w:tcBorders>
          </w:tcPr>
          <w:p>
            <w:pPr>
              <w:jc w:val="right"/>
              <w:spacing w:after="0"/>
              <w:rPr>
                <w:sz w:val="20"/>
                <w:szCs w:val="20"/>
                <w:color w:val="auto"/>
              </w:rPr>
            </w:pPr>
            <w:r>
              <w:rPr>
                <w:rFonts w:ascii="Arial" w:cs="Arial" w:eastAsia="Arial" w:hAnsi="Arial"/>
                <w:sz w:val="14"/>
                <w:szCs w:val="14"/>
                <w:color w:val="auto"/>
              </w:rPr>
              <w:t>3,637</w:t>
            </w:r>
          </w:p>
        </w:tc>
        <w:tc>
          <w:tcPr>
            <w:tcW w:w="100" w:type="dxa"/>
            <w:vAlign w:val="bottom"/>
            <w:tcBorders>
              <w:bottom w:val="single" w:sz="8" w:color="852166"/>
            </w:tcBorders>
          </w:tcPr>
          <w:p>
            <w:pPr>
              <w:spacing w:after="0"/>
              <w:rPr>
                <w:sz w:val="19"/>
                <w:szCs w:val="19"/>
                <w:color w:val="auto"/>
              </w:rPr>
            </w:pPr>
          </w:p>
        </w:tc>
      </w:tr>
    </w:tbl>
    <w:p>
      <w:pPr>
        <w:spacing w:after="0" w:line="139"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PSUs vested on January 16, 2026, the PSU certificate date.</w:t>
      </w:r>
    </w:p>
    <w:p>
      <w:pPr>
        <w:spacing w:after="0" w:line="82" w:lineRule="exact"/>
        <w:rPr>
          <w:rFonts w:ascii="Arial" w:cs="Arial" w:eastAsia="Arial" w:hAnsi="Arial"/>
          <w:sz w:val="14"/>
          <w:szCs w:val="14"/>
          <w:color w:val="auto"/>
        </w:rPr>
      </w:pPr>
    </w:p>
    <w:p>
      <w:pPr>
        <w:ind w:left="340" w:right="400" w:hanging="332"/>
        <w:spacing w:after="0" w:line="305"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number of Mr. Cozadd’s PSUs that actually vested was prorated based on his service during the performance period through September 14, 2025, his last day of employment with our Company.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Special Retention Grants</w:t>
      </w:r>
    </w:p>
    <w:p>
      <w:pPr>
        <w:spacing w:after="0" w:line="185"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In connection with Mr. Cozadd’s planned retirement, which was announced in December 2024, in February 2025, our Compensation Committee approved special one-time RSU grants to each of the NEOs, other than Mr. Cozadd. Our Compensation Committee believed that these grants would help minimize business risk and ensure overall organizational stability and continuity during this period of leadership transition and ultimately ensure that our Company maintained its strong business momentum during 2025 and beyond. These retention grants vest in full on June 30, 2026, provided generally that the executive remains employed with our Company through that date. The amount of each target retention grant was determined by our Compensation Committee based on various factors including the NEO’s annual equity opportunity and criticality to Jazz to ensure it would provide the necessary retentive value.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dollar value of each NEO’s retention grant is set forth in the section below under the heading, “Individual NEO Compensation Decisions.”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Modification of Outstanding Stock Options</w:t>
      </w:r>
    </w:p>
    <w:p>
      <w:pPr>
        <w:spacing w:after="0" w:line="185"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In connection with Mr. Cozadd’s planned retirement, which was announced in December 2024, our Compensation Committee approved an amendment of certain outstanding stock option awards previously granted to him to provide that such stock options will remain exercisable for a period of 12 months following a cessation of his service from the Board. Prior to this amendment, Mr. Cozadd would have had 90 days from the date of his retirement from his positions with our Company to exercise any outstanding options, despite the fact that he continued to provide services to our Company as a member of the Board. The Board approved the amendment to align treatment of Mr. Cozadd’s equity awards to treatment of equity awards for other individuals serving our Company. Under applicable accounting guidance, the amendment of these outstanding stock option awards resulted in a grant modification that caused incremental fair value determined by comparing the aggregate fair value of the outstanding awards immediately before and after the modification. The aggregate incremental fair value resulting from the modification is included in the “Option Awards” column of the Summary Compensation Table and in the Grants of Plan-Based Awards Table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187960</wp:posOffset>
            </wp:positionV>
            <wp:extent cx="1242695" cy="2057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65</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3" w:name="page74"/>
    <w:bookmarkEnd w:id="73"/>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Individual NEO Compensation Decisions</w:t>
      </w:r>
    </w:p>
    <w:p>
      <w:pPr>
        <w:spacing w:after="0" w:line="18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Below are summaries, for each NEO individually, of our Compensation Committee’s (and, as applicable, our Board’s) decisions about 2025 target total direct compensation and the changes from each NEO’s 2024 target total direct compensation (where applicable). As described above, when making the 2025 compensation decisions, our Compensation Committee (and, as applicable, our Board) focused primarily on the target total direct compensation for each NEO while considering the factors set forth in the section titled “</w:t>
      </w:r>
      <w:r>
        <w:rPr>
          <w:rFonts w:ascii="Arial" w:cs="Arial" w:eastAsia="Arial" w:hAnsi="Arial"/>
          <w:sz w:val="16"/>
          <w:szCs w:val="16"/>
          <w:i w:val="1"/>
          <w:iCs w:val="1"/>
          <w:color w:val="auto"/>
        </w:rPr>
        <w:t>How We Determine Executive Compensation—Factors Used in Determining 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and our Compensation Committee’s specific compensation objectives for 2025. The footnotes to the tables also include the actual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bonus paid to each of the NEOs for 2025 and how that actual bonus compared to each NEO’s target bonus. Additionally, for each NEO, the target equity compensation presented in the charts below reflect the target dollar value approved by our Compensation Committee (and, as applicable, our Board), which is different from the grant date fair value as reported in the Summary Compensation Table and Grants of Plan-Based Awards Table, as further described under “</w:t>
      </w:r>
      <w:r>
        <w:rPr>
          <w:rFonts w:ascii="Arial" w:cs="Arial" w:eastAsia="Arial" w:hAnsi="Arial"/>
          <w:sz w:val="16"/>
          <w:szCs w:val="16"/>
          <w:i w:val="1"/>
          <w:iCs w:val="1"/>
          <w:color w:val="auto"/>
        </w:rPr>
        <w:t>Summary of 2025 Compensation Decisions—Long-Term Incentive Program</w:t>
      </w:r>
      <w:r>
        <w:rPr>
          <w:rFonts w:ascii="Arial" w:cs="Arial" w:eastAsia="Arial" w:hAnsi="Arial"/>
          <w:sz w:val="16"/>
          <w:szCs w:val="16"/>
          <w:color w:val="auto"/>
        </w:rPr>
        <w: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187960</wp:posOffset>
            </wp:positionV>
            <wp:extent cx="1242695" cy="2057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8"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66</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74" w:name="page75"/>
    <w:bookmarkEnd w:id="74"/>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Renee D. Gala, President and CEO</w:t>
      </w:r>
      <w:r>
        <w:rPr>
          <w:rFonts w:ascii="Arial" w:cs="Arial" w:eastAsia="Arial" w:hAnsi="Arial"/>
          <w:sz w:val="11"/>
          <w:szCs w:val="11"/>
          <w:b w:val="1"/>
          <w:bCs w:val="1"/>
          <w:color w:val="001C71"/>
        </w:rPr>
        <w:t>(1)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shd w:val="clear" w:color="auto" w:fill="001C71"/>
          </w:tcPr>
          <w:p>
            <w:pPr>
              <w:spacing w:after="0"/>
              <w:rPr>
                <w:sz w:val="20"/>
                <w:szCs w:val="20"/>
                <w:color w:val="auto"/>
              </w:rPr>
            </w:pPr>
          </w:p>
        </w:tc>
        <w:tc>
          <w:tcPr>
            <w:tcW w:w="1780" w:type="dxa"/>
            <w:vAlign w:val="bottom"/>
            <w:shd w:val="clear" w:color="auto" w:fill="001C71"/>
          </w:tcPr>
          <w:p>
            <w:pPr>
              <w:jc w:val="right"/>
              <w:ind w:right="288"/>
              <w:spacing w:after="0"/>
              <w:rPr>
                <w:sz w:val="20"/>
                <w:szCs w:val="20"/>
                <w:color w:val="auto"/>
              </w:rPr>
            </w:pPr>
            <w:r>
              <w:rPr>
                <w:rFonts w:ascii="Arial" w:cs="Arial" w:eastAsia="Arial" w:hAnsi="Arial"/>
                <w:sz w:val="14"/>
                <w:szCs w:val="14"/>
                <w:b w:val="1"/>
                <w:bCs w:val="1"/>
                <w:color w:val="FFFFFF"/>
              </w:rPr>
              <w:t>2024 Pay</w:t>
            </w:r>
          </w:p>
        </w:tc>
        <w:tc>
          <w:tcPr>
            <w:tcW w:w="148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2025 Pay</w:t>
            </w:r>
          </w:p>
        </w:tc>
        <w:tc>
          <w:tcPr>
            <w:tcW w:w="116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Change</w:t>
            </w:r>
            <w:r>
              <w:rPr>
                <w:rFonts w:ascii="Arial" w:cs="Arial" w:eastAsia="Arial" w:hAnsi="Arial"/>
                <w:sz w:val="18"/>
                <w:szCs w:val="18"/>
                <w:b w:val="1"/>
                <w:bCs w:val="1"/>
                <w:color w:val="FFFFFF"/>
                <w:vertAlign w:val="superscript"/>
              </w:rPr>
              <w:t>(8)</w:t>
            </w:r>
          </w:p>
        </w:tc>
      </w:tr>
      <w:tr>
        <w:trPr>
          <w:trHeight w:val="196"/>
        </w:trPr>
        <w:tc>
          <w:tcPr>
            <w:tcW w:w="6820" w:type="dxa"/>
            <w:vAlign w:val="bottom"/>
            <w:shd w:val="clear" w:color="auto" w:fill="001C71"/>
          </w:tcPr>
          <w:p>
            <w:pPr>
              <w:spacing w:after="0"/>
              <w:rPr>
                <w:sz w:val="17"/>
                <w:szCs w:val="17"/>
                <w:color w:val="auto"/>
              </w:rPr>
            </w:pPr>
          </w:p>
        </w:tc>
        <w:tc>
          <w:tcPr>
            <w:tcW w:w="1780" w:type="dxa"/>
            <w:vAlign w:val="bottom"/>
            <w:shd w:val="clear" w:color="auto" w:fill="001C71"/>
          </w:tcPr>
          <w:p>
            <w:pPr>
              <w:jc w:val="right"/>
              <w:ind w:right="288"/>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16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83"/>
        </w:trPr>
        <w:tc>
          <w:tcPr>
            <w:tcW w:w="6820" w:type="dxa"/>
            <w:vAlign w:val="bottom"/>
            <w:shd w:val="clear" w:color="auto" w:fill="001C71"/>
          </w:tcPr>
          <w:p>
            <w:pPr>
              <w:spacing w:after="0"/>
              <w:rPr>
                <w:sz w:val="7"/>
                <w:szCs w:val="7"/>
                <w:color w:val="auto"/>
              </w:rPr>
            </w:pPr>
          </w:p>
        </w:tc>
        <w:tc>
          <w:tcPr>
            <w:tcW w:w="1780" w:type="dxa"/>
            <w:vAlign w:val="bottom"/>
            <w:shd w:val="clear" w:color="auto" w:fill="001C71"/>
          </w:tcPr>
          <w:p>
            <w:pPr>
              <w:spacing w:after="0"/>
              <w:rPr>
                <w:sz w:val="7"/>
                <w:szCs w:val="7"/>
                <w:color w:val="auto"/>
              </w:rPr>
            </w:pPr>
          </w:p>
        </w:tc>
        <w:tc>
          <w:tcPr>
            <w:tcW w:w="1480" w:type="dxa"/>
            <w:vAlign w:val="bottom"/>
            <w:shd w:val="clear" w:color="auto" w:fill="001C71"/>
          </w:tcPr>
          <w:p>
            <w:pPr>
              <w:spacing w:after="0"/>
              <w:rPr>
                <w:sz w:val="7"/>
                <w:szCs w:val="7"/>
                <w:color w:val="auto"/>
              </w:rPr>
            </w:pPr>
          </w:p>
        </w:tc>
        <w:tc>
          <w:tcPr>
            <w:tcW w:w="1160" w:type="dxa"/>
            <w:vAlign w:val="bottom"/>
            <w:shd w:val="clear" w:color="auto" w:fill="001C71"/>
          </w:tcPr>
          <w:p>
            <w:pPr>
              <w:spacing w:after="0"/>
              <w:rPr>
                <w:sz w:val="7"/>
                <w:szCs w:val="7"/>
                <w:color w:val="auto"/>
              </w:rPr>
            </w:pPr>
          </w:p>
        </w:tc>
      </w:tr>
      <w:tr>
        <w:trPr>
          <w:trHeight w:val="223"/>
        </w:trPr>
        <w:tc>
          <w:tcPr>
            <w:tcW w:w="682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001C71"/>
              </w:rPr>
              <w:t>Target Total Cash Compensation</w:t>
            </w:r>
          </w:p>
        </w:tc>
        <w:tc>
          <w:tcPr>
            <w:tcW w:w="1780" w:type="dxa"/>
            <w:vAlign w:val="bottom"/>
            <w:tcBorders>
              <w:bottom w:val="single" w:sz="8" w:color="5673B8"/>
            </w:tcBorders>
          </w:tcPr>
          <w:p>
            <w:pPr>
              <w:jc w:val="right"/>
              <w:ind w:right="288"/>
              <w:spacing w:after="0"/>
              <w:rPr>
                <w:sz w:val="20"/>
                <w:szCs w:val="20"/>
                <w:color w:val="auto"/>
              </w:rPr>
            </w:pPr>
            <w:r>
              <w:rPr>
                <w:rFonts w:ascii="Arial" w:cs="Arial" w:eastAsia="Arial" w:hAnsi="Arial"/>
                <w:sz w:val="14"/>
                <w:szCs w:val="14"/>
                <w:b w:val="1"/>
                <w:bCs w:val="1"/>
                <w:color w:val="001C71"/>
              </w:rPr>
              <w:t>1,452,500</w:t>
            </w:r>
          </w:p>
        </w:tc>
        <w:tc>
          <w:tcPr>
            <w:tcW w:w="148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2,520,000</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73.49</w:t>
            </w:r>
          </w:p>
        </w:tc>
      </w:tr>
      <w:tr>
        <w:trPr>
          <w:trHeight w:val="229"/>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Base Salary</w:t>
            </w:r>
            <w:r>
              <w:rPr>
                <w:rFonts w:ascii="Arial" w:cs="Arial" w:eastAsia="Arial" w:hAnsi="Arial"/>
                <w:sz w:val="18"/>
                <w:szCs w:val="18"/>
                <w:color w:val="auto"/>
                <w:vertAlign w:val="superscript"/>
              </w:rPr>
              <w:t>(2)</w:t>
            </w:r>
          </w:p>
        </w:tc>
        <w:tc>
          <w:tcPr>
            <w:tcW w:w="1780" w:type="dxa"/>
            <w:vAlign w:val="bottom"/>
            <w:tcBorders>
              <w:bottom w:val="single" w:sz="8" w:color="5673B8"/>
            </w:tcBorders>
          </w:tcPr>
          <w:p>
            <w:pPr>
              <w:jc w:val="right"/>
              <w:ind w:right="288"/>
              <w:spacing w:after="0"/>
              <w:rPr>
                <w:sz w:val="20"/>
                <w:szCs w:val="20"/>
                <w:color w:val="auto"/>
              </w:rPr>
            </w:pPr>
            <w:r>
              <w:rPr>
                <w:rFonts w:ascii="Arial" w:cs="Arial" w:eastAsia="Arial" w:hAnsi="Arial"/>
                <w:sz w:val="14"/>
                <w:szCs w:val="14"/>
                <w:color w:val="auto"/>
              </w:rPr>
              <w:t>830,000</w:t>
            </w:r>
          </w:p>
        </w:tc>
        <w:tc>
          <w:tcPr>
            <w:tcW w:w="148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1,200,000</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44.58</w:t>
            </w:r>
          </w:p>
        </w:tc>
      </w:tr>
      <w:tr>
        <w:trPr>
          <w:trHeight w:val="223"/>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Target Performance Bonus</w:t>
            </w:r>
            <w:r>
              <w:rPr>
                <w:rFonts w:ascii="Arial" w:cs="Arial" w:eastAsia="Arial" w:hAnsi="Arial"/>
                <w:sz w:val="18"/>
                <w:szCs w:val="18"/>
                <w:color w:val="auto"/>
                <w:vertAlign w:val="superscript"/>
              </w:rPr>
              <w:t>(3)</w:t>
            </w:r>
          </w:p>
        </w:tc>
        <w:tc>
          <w:tcPr>
            <w:tcW w:w="1780" w:type="dxa"/>
            <w:vAlign w:val="bottom"/>
            <w:tcBorders>
              <w:bottom w:val="single" w:sz="8" w:color="5673B8"/>
            </w:tcBorders>
          </w:tcPr>
          <w:p>
            <w:pPr>
              <w:jc w:val="right"/>
              <w:ind w:right="288"/>
              <w:spacing w:after="0"/>
              <w:rPr>
                <w:sz w:val="20"/>
                <w:szCs w:val="20"/>
                <w:color w:val="auto"/>
              </w:rPr>
            </w:pPr>
            <w:r>
              <w:rPr>
                <w:rFonts w:ascii="Arial" w:cs="Arial" w:eastAsia="Arial" w:hAnsi="Arial"/>
                <w:sz w:val="14"/>
                <w:szCs w:val="14"/>
                <w:color w:val="auto"/>
              </w:rPr>
              <w:t>622,500</w:t>
            </w:r>
          </w:p>
        </w:tc>
        <w:tc>
          <w:tcPr>
            <w:tcW w:w="148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1,320,000</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112.05</w:t>
            </w:r>
          </w:p>
        </w:tc>
      </w:tr>
      <w:tr>
        <w:trPr>
          <w:trHeight w:val="223"/>
        </w:trPr>
        <w:tc>
          <w:tcPr>
            <w:tcW w:w="682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001C71"/>
              </w:rPr>
              <w:t>Target Total Equity Compensation</w:t>
            </w:r>
            <w:r>
              <w:rPr>
                <w:rFonts w:ascii="Arial" w:cs="Arial" w:eastAsia="Arial" w:hAnsi="Arial"/>
                <w:sz w:val="18"/>
                <w:szCs w:val="18"/>
                <w:b w:val="1"/>
                <w:bCs w:val="1"/>
                <w:color w:val="001C71"/>
                <w:vertAlign w:val="superscript"/>
              </w:rPr>
              <w:t>(4)</w:t>
            </w:r>
          </w:p>
        </w:tc>
        <w:tc>
          <w:tcPr>
            <w:tcW w:w="1780" w:type="dxa"/>
            <w:vAlign w:val="bottom"/>
            <w:tcBorders>
              <w:bottom w:val="single" w:sz="8" w:color="5673B8"/>
            </w:tcBorders>
          </w:tcPr>
          <w:p>
            <w:pPr>
              <w:jc w:val="right"/>
              <w:ind w:right="288"/>
              <w:spacing w:after="0"/>
              <w:rPr>
                <w:sz w:val="20"/>
                <w:szCs w:val="20"/>
                <w:color w:val="auto"/>
              </w:rPr>
            </w:pPr>
            <w:r>
              <w:rPr>
                <w:rFonts w:ascii="Arial" w:cs="Arial" w:eastAsia="Arial" w:hAnsi="Arial"/>
                <w:sz w:val="14"/>
                <w:szCs w:val="14"/>
                <w:b w:val="1"/>
                <w:bCs w:val="1"/>
                <w:color w:val="001C71"/>
              </w:rPr>
              <w:t>5,000,000</w:t>
            </w:r>
          </w:p>
        </w:tc>
        <w:tc>
          <w:tcPr>
            <w:tcW w:w="148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14,000,000</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180.00</w:t>
            </w:r>
          </w:p>
        </w:tc>
      </w:tr>
      <w:tr>
        <w:trPr>
          <w:trHeight w:val="202"/>
        </w:trPr>
        <w:tc>
          <w:tcPr>
            <w:tcW w:w="6820" w:type="dxa"/>
            <w:vAlign w:val="bottom"/>
          </w:tcPr>
          <w:p>
            <w:pPr>
              <w:ind w:left="360"/>
              <w:spacing w:after="0"/>
              <w:rPr>
                <w:sz w:val="20"/>
                <w:szCs w:val="20"/>
                <w:color w:val="auto"/>
              </w:rPr>
            </w:pPr>
            <w:r>
              <w:rPr>
                <w:rFonts w:ascii="Arial" w:cs="Arial" w:eastAsia="Arial" w:hAnsi="Arial"/>
                <w:sz w:val="14"/>
                <w:szCs w:val="14"/>
                <w:color w:val="auto"/>
              </w:rPr>
              <w:t>Target Annual Grant</w:t>
            </w:r>
          </w:p>
        </w:tc>
        <w:tc>
          <w:tcPr>
            <w:tcW w:w="1780" w:type="dxa"/>
            <w:vAlign w:val="bottom"/>
          </w:tcPr>
          <w:p>
            <w:pPr>
              <w:jc w:val="right"/>
              <w:ind w:right="288"/>
              <w:spacing w:after="0"/>
              <w:rPr>
                <w:sz w:val="20"/>
                <w:szCs w:val="20"/>
                <w:color w:val="auto"/>
              </w:rPr>
            </w:pPr>
            <w:r>
              <w:rPr>
                <w:rFonts w:ascii="Arial" w:cs="Arial" w:eastAsia="Arial" w:hAnsi="Arial"/>
                <w:sz w:val="14"/>
                <w:szCs w:val="14"/>
                <w:color w:val="auto"/>
              </w:rPr>
              <w:t>5,000,000</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6,000,000</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20.00</w:t>
            </w:r>
          </w:p>
        </w:tc>
      </w:tr>
      <w:tr>
        <w:trPr>
          <w:trHeight w:val="22"/>
        </w:trPr>
        <w:tc>
          <w:tcPr>
            <w:tcW w:w="6820" w:type="dxa"/>
            <w:vAlign w:val="bottom"/>
            <w:tcBorders>
              <w:bottom w:val="single" w:sz="8" w:color="5673B8"/>
            </w:tcBorders>
          </w:tcPr>
          <w:p>
            <w:pPr>
              <w:spacing w:after="0" w:line="20" w:lineRule="exact"/>
              <w:rPr>
                <w:sz w:val="1"/>
                <w:szCs w:val="1"/>
                <w:color w:val="auto"/>
              </w:rPr>
            </w:pPr>
          </w:p>
        </w:tc>
        <w:tc>
          <w:tcPr>
            <w:tcW w:w="1780" w:type="dxa"/>
            <w:vAlign w:val="bottom"/>
            <w:tcBorders>
              <w:bottom w:val="single" w:sz="8" w:color="5673B8"/>
            </w:tcBorders>
          </w:tcPr>
          <w:p>
            <w:pPr>
              <w:spacing w:after="0" w:line="20" w:lineRule="exact"/>
              <w:rPr>
                <w:sz w:val="1"/>
                <w:szCs w:val="1"/>
                <w:color w:val="auto"/>
              </w:rPr>
            </w:pPr>
          </w:p>
        </w:tc>
        <w:tc>
          <w:tcPr>
            <w:tcW w:w="1480" w:type="dxa"/>
            <w:vAlign w:val="bottom"/>
            <w:tcBorders>
              <w:bottom w:val="single" w:sz="8" w:color="5673B8"/>
            </w:tcBorders>
          </w:tcPr>
          <w:p>
            <w:pPr>
              <w:spacing w:after="0" w:line="20" w:lineRule="exact"/>
              <w:rPr>
                <w:sz w:val="1"/>
                <w:szCs w:val="1"/>
                <w:color w:val="auto"/>
              </w:rPr>
            </w:pPr>
          </w:p>
        </w:tc>
        <w:tc>
          <w:tcPr>
            <w:tcW w:w="1160" w:type="dxa"/>
            <w:vAlign w:val="bottom"/>
            <w:tcBorders>
              <w:bottom w:val="single" w:sz="8" w:color="5673B8"/>
            </w:tcBorders>
          </w:tcPr>
          <w:p>
            <w:pPr>
              <w:spacing w:after="0" w:line="20" w:lineRule="exact"/>
              <w:rPr>
                <w:sz w:val="1"/>
                <w:szCs w:val="1"/>
                <w:color w:val="auto"/>
              </w:rPr>
            </w:pPr>
          </w:p>
        </w:tc>
      </w:tr>
      <w:tr>
        <w:trPr>
          <w:trHeight w:val="223"/>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Target Retention Grant</w:t>
            </w:r>
            <w:r>
              <w:rPr>
                <w:rFonts w:ascii="Arial" w:cs="Arial" w:eastAsia="Arial" w:hAnsi="Arial"/>
                <w:sz w:val="18"/>
                <w:szCs w:val="18"/>
                <w:color w:val="auto"/>
                <w:vertAlign w:val="superscript"/>
              </w:rPr>
              <w:t>(5)</w:t>
            </w:r>
          </w:p>
        </w:tc>
        <w:tc>
          <w:tcPr>
            <w:tcW w:w="1780" w:type="dxa"/>
            <w:vAlign w:val="bottom"/>
            <w:tcBorders>
              <w:bottom w:val="single" w:sz="8" w:color="5673B8"/>
            </w:tcBorders>
          </w:tcPr>
          <w:p>
            <w:pPr>
              <w:jc w:val="right"/>
              <w:ind w:right="2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1,500,000</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w:t>
            </w:r>
          </w:p>
        </w:tc>
      </w:tr>
      <w:tr>
        <w:trPr>
          <w:trHeight w:val="223"/>
        </w:trPr>
        <w:tc>
          <w:tcPr>
            <w:tcW w:w="6820" w:type="dxa"/>
            <w:vAlign w:val="bottom"/>
            <w:tcBorders>
              <w:bottom w:val="single" w:sz="8" w:color="852166"/>
            </w:tcBorders>
          </w:tcPr>
          <w:p>
            <w:pPr>
              <w:ind w:left="360"/>
              <w:spacing w:after="0"/>
              <w:rPr>
                <w:sz w:val="20"/>
                <w:szCs w:val="20"/>
                <w:color w:val="auto"/>
              </w:rPr>
            </w:pPr>
            <w:r>
              <w:rPr>
                <w:rFonts w:ascii="Arial" w:cs="Arial" w:eastAsia="Arial" w:hAnsi="Arial"/>
                <w:sz w:val="14"/>
                <w:szCs w:val="14"/>
                <w:color w:val="auto"/>
              </w:rPr>
              <w:t>Target Promotion Grant</w:t>
            </w:r>
            <w:r>
              <w:rPr>
                <w:rFonts w:ascii="Arial" w:cs="Arial" w:eastAsia="Arial" w:hAnsi="Arial"/>
                <w:sz w:val="18"/>
                <w:szCs w:val="18"/>
                <w:color w:val="auto"/>
                <w:vertAlign w:val="superscript"/>
              </w:rPr>
              <w:t>(6)</w:t>
            </w:r>
          </w:p>
        </w:tc>
        <w:tc>
          <w:tcPr>
            <w:tcW w:w="1780" w:type="dxa"/>
            <w:vAlign w:val="bottom"/>
            <w:tcBorders>
              <w:bottom w:val="single" w:sz="8" w:color="852166"/>
            </w:tcBorders>
          </w:tcPr>
          <w:p>
            <w:pPr>
              <w:jc w:val="right"/>
              <w:ind w:right="2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color w:val="auto"/>
              </w:rPr>
              <w:t>6,500,000</w:t>
            </w:r>
          </w:p>
        </w:tc>
        <w:tc>
          <w:tcPr>
            <w:tcW w:w="116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color w:val="auto"/>
              </w:rPr>
              <w:t>—</w:t>
            </w:r>
          </w:p>
        </w:tc>
      </w:tr>
      <w:tr>
        <w:trPr>
          <w:trHeight w:val="223"/>
        </w:trPr>
        <w:tc>
          <w:tcPr>
            <w:tcW w:w="682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852166"/>
              </w:rPr>
              <w:t>Target Total Direct Compensation</w:t>
            </w:r>
            <w:r>
              <w:rPr>
                <w:rFonts w:ascii="Arial" w:cs="Arial" w:eastAsia="Arial" w:hAnsi="Arial"/>
                <w:sz w:val="18"/>
                <w:szCs w:val="18"/>
                <w:b w:val="1"/>
                <w:bCs w:val="1"/>
                <w:color w:val="852166"/>
                <w:vertAlign w:val="superscript"/>
              </w:rPr>
              <w:t>(7)</w:t>
            </w:r>
          </w:p>
        </w:tc>
        <w:tc>
          <w:tcPr>
            <w:tcW w:w="1780" w:type="dxa"/>
            <w:vAlign w:val="bottom"/>
            <w:tcBorders>
              <w:bottom w:val="single" w:sz="8" w:color="852166"/>
            </w:tcBorders>
          </w:tcPr>
          <w:p>
            <w:pPr>
              <w:jc w:val="right"/>
              <w:ind w:right="288"/>
              <w:spacing w:after="0"/>
              <w:rPr>
                <w:sz w:val="20"/>
                <w:szCs w:val="20"/>
                <w:color w:val="auto"/>
              </w:rPr>
            </w:pPr>
            <w:r>
              <w:rPr>
                <w:rFonts w:ascii="Arial" w:cs="Arial" w:eastAsia="Arial" w:hAnsi="Arial"/>
                <w:sz w:val="14"/>
                <w:szCs w:val="14"/>
                <w:b w:val="1"/>
                <w:bCs w:val="1"/>
                <w:color w:val="852166"/>
              </w:rPr>
              <w:t>6,452,500</w:t>
            </w:r>
          </w:p>
        </w:tc>
        <w:tc>
          <w:tcPr>
            <w:tcW w:w="148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b w:val="1"/>
                <w:bCs w:val="1"/>
                <w:color w:val="852166"/>
              </w:rPr>
              <w:t>16,520,000</w:t>
            </w:r>
          </w:p>
        </w:tc>
        <w:tc>
          <w:tcPr>
            <w:tcW w:w="116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852166"/>
              </w:rPr>
              <w:t>156.02</w:t>
            </w:r>
          </w:p>
        </w:tc>
      </w:tr>
    </w:tbl>
    <w:p>
      <w:pPr>
        <w:spacing w:after="0" w:line="126" w:lineRule="exact"/>
        <w:rPr>
          <w:sz w:val="20"/>
          <w:szCs w:val="20"/>
          <w:color w:val="auto"/>
        </w:rPr>
      </w:pPr>
    </w:p>
    <w:p>
      <w:pPr>
        <w:ind w:left="340" w:right="60" w:hanging="332"/>
        <w:spacing w:after="0" w:line="283"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Our Board appointed Ms. Gala as our Company’s President and CEO, effective as of August 11, 2025. Ms. Gala was previously our Company’s President and COO. The amounts listed in the 2025 Pay column reflect Ms. Gala’s pay effective as of her appointment to President and CEO, and the amounts listed in the 2024 Pay column reflect Ms. Gala’s pay in her previous capacity.</w:t>
      </w:r>
    </w:p>
    <w:p>
      <w:pPr>
        <w:spacing w:after="0" w:line="37" w:lineRule="exact"/>
        <w:rPr>
          <w:rFonts w:ascii="Arial" w:cs="Arial" w:eastAsia="Arial" w:hAnsi="Arial"/>
          <w:sz w:val="14"/>
          <w:szCs w:val="14"/>
          <w:color w:val="auto"/>
        </w:rPr>
      </w:pPr>
    </w:p>
    <w:p>
      <w:pPr>
        <w:ind w:left="340" w:right="320" w:hanging="332"/>
        <w:spacing w:after="0" w:line="273"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annual base salary rate for the applicable year. Ms. Gala’s initial 2024 base salary of $830,000 became effective March 2024. Ms. Gala’s initial 2025 base salary of $900,000 became effective March 2025. In connection with her appointment as President and CEO, the Board increased Ms. Gala’s 2025 annual base salary from $900,000 to $1,200,000, effective August 11, 2025.</w:t>
      </w:r>
    </w:p>
    <w:p>
      <w:pPr>
        <w:spacing w:after="0" w:line="44" w:lineRule="exact"/>
        <w:rPr>
          <w:rFonts w:ascii="Arial" w:cs="Arial" w:eastAsia="Arial" w:hAnsi="Arial"/>
          <w:sz w:val="14"/>
          <w:szCs w:val="14"/>
          <w:color w:val="auto"/>
        </w:rPr>
      </w:pPr>
    </w:p>
    <w:p>
      <w:pPr>
        <w:ind w:left="340" w:right="20" w:hanging="332"/>
        <w:spacing w:after="0" w:line="283"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 connection with her appointment as President and CEO, the Board increased Ms. Gala’s target bonus opportunity for 2025 from 75% of her base salary to 110% of her base salary, effective as of August 11, 2025. The 2025 target bonus amount reflects a target performance bonus of 110% of base salary rate as of December 31, 2025. The actual 2025 performance bonus paid was $1,980,000, reflecting 150% overall achievement of the 2025 corporate performance objectives.</w:t>
      </w:r>
    </w:p>
    <w:p>
      <w:pPr>
        <w:spacing w:after="0" w:line="24" w:lineRule="exact"/>
        <w:rPr>
          <w:rFonts w:ascii="Arial" w:cs="Arial" w:eastAsia="Arial" w:hAnsi="Arial"/>
          <w:sz w:val="14"/>
          <w:szCs w:val="14"/>
          <w:color w:val="auto"/>
        </w:rPr>
      </w:pPr>
    </w:p>
    <w:p>
      <w:pPr>
        <w:ind w:left="340" w:right="60" w:hanging="332"/>
        <w:spacing w:after="0" w:line="283"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 xml:space="preserve">The target total equity compensation (and the components thereof) presented in the chart above reflect the target dollar values approved by our Compensation Committee; these values differs from the values required to be shown in the Summary Compensation Table and Grants of Plan-Based Awards in Fiscal 2025 table, as applicable, as further described above in </w:t>
      </w:r>
      <w:r>
        <w:rPr>
          <w:rFonts w:ascii="Arial" w:cs="Arial" w:eastAsia="Arial" w:hAnsi="Arial"/>
          <w:sz w:val="14"/>
          <w:szCs w:val="14"/>
          <w:i w:val="1"/>
          <w:iCs w:val="1"/>
          <w:color w:val="auto"/>
        </w:rPr>
        <w:t>“Summary of 2025 Compensation Decisions—Long-Term Incentive Program.</w:t>
      </w:r>
      <w:r>
        <w:rPr>
          <w:rFonts w:ascii="Arial" w:cs="Arial" w:eastAsia="Arial" w:hAnsi="Arial"/>
          <w:sz w:val="14"/>
          <w:szCs w:val="14"/>
          <w:color w:val="auto"/>
        </w:rPr>
        <w:t>”</w:t>
      </w:r>
    </w:p>
    <w:p>
      <w:pPr>
        <w:spacing w:after="0" w:line="37" w:lineRule="exact"/>
        <w:rPr>
          <w:rFonts w:ascii="Arial" w:cs="Arial" w:eastAsia="Arial" w:hAnsi="Arial"/>
          <w:sz w:val="14"/>
          <w:szCs w:val="14"/>
          <w:color w:val="auto"/>
        </w:rPr>
      </w:pPr>
    </w:p>
    <w:p>
      <w:pPr>
        <w:ind w:left="340" w:right="40" w:hanging="332"/>
        <w:spacing w:after="0" w:line="273"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a one-time target retention RSU grant received by Ms. Gala in February 2025. This retention grant will vest in full on June 30, 2026, provided generally that Ms. Gala remains employed with our Company through that date. See “</w:t>
      </w:r>
      <w:r>
        <w:rPr>
          <w:rFonts w:ascii="Arial" w:cs="Arial" w:eastAsia="Arial" w:hAnsi="Arial"/>
          <w:sz w:val="14"/>
          <w:szCs w:val="14"/>
          <w:i w:val="1"/>
          <w:iCs w:val="1"/>
          <w:color w:val="auto"/>
        </w:rPr>
        <w:t>Summary of 2025 Compensation Decisions—Special Retention Grants</w:t>
      </w:r>
      <w:r>
        <w:rPr>
          <w:rFonts w:ascii="Arial" w:cs="Arial" w:eastAsia="Arial" w:hAnsi="Arial"/>
          <w:sz w:val="14"/>
          <w:szCs w:val="14"/>
          <w:color w:val="auto"/>
        </w:rPr>
        <w:t>” above for more information regarding the retention grants to our NEOs.</w:t>
      </w:r>
    </w:p>
    <w:p>
      <w:pPr>
        <w:spacing w:after="0" w:line="44" w:lineRule="exact"/>
        <w:rPr>
          <w:rFonts w:ascii="Arial" w:cs="Arial" w:eastAsia="Arial" w:hAnsi="Arial"/>
          <w:sz w:val="14"/>
          <w:szCs w:val="14"/>
          <w:color w:val="auto"/>
        </w:rPr>
      </w:pPr>
    </w:p>
    <w:p>
      <w:pPr>
        <w:ind w:left="340" w:right="100" w:hanging="332"/>
        <w:spacing w:after="0" w:line="276"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a one-time target promotion grant Ms. Gala received in connection with her appointment as President and CEO, in August 2025, incremental to her 2025 annual equity grant. The promotion grant consisted of a mix composed of one-third RSUs and two-thirds PSUs. The RSUs will vest in equal annual installments over four years, and the PSUs will vest based on the achievement of the performance conditions previously established by our Compensation Committee in the first quarter of 2025 and described under “</w:t>
      </w:r>
      <w:r>
        <w:rPr>
          <w:rFonts w:ascii="Arial" w:cs="Arial" w:eastAsia="Arial" w:hAnsi="Arial"/>
          <w:sz w:val="14"/>
          <w:szCs w:val="14"/>
          <w:i w:val="1"/>
          <w:iCs w:val="1"/>
          <w:color w:val="auto"/>
        </w:rPr>
        <w:t>Goals for and Achievement of 2025 Performance-Based Compensation—2025-2027 PSU Program.</w:t>
      </w:r>
      <w:r>
        <w:rPr>
          <w:rFonts w:ascii="Arial" w:cs="Arial" w:eastAsia="Arial" w:hAnsi="Arial"/>
          <w:sz w:val="14"/>
          <w:szCs w:val="14"/>
          <w:color w:val="auto"/>
        </w:rPr>
        <w:t>”</w:t>
      </w:r>
    </w:p>
    <w:p>
      <w:pPr>
        <w:spacing w:after="0" w:line="28" w:lineRule="exact"/>
        <w:rPr>
          <w:rFonts w:ascii="Arial" w:cs="Arial" w:eastAsia="Arial" w:hAnsi="Arial"/>
          <w:sz w:val="14"/>
          <w:szCs w:val="14"/>
          <w:color w:val="auto"/>
        </w:rPr>
      </w:pPr>
    </w:p>
    <w:p>
      <w:pPr>
        <w:ind w:left="340" w:right="20" w:hanging="332"/>
        <w:spacing w:after="0" w:line="264"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Our Compensation Committee (and the Board upon her appointment as President and CEO) designed Ms. Gala’s target total direct compensation to be competitive as compared to the market data, as described in more detail above in “</w:t>
      </w:r>
      <w:r>
        <w:rPr>
          <w:rFonts w:ascii="Arial" w:cs="Arial" w:eastAsia="Arial" w:hAnsi="Arial"/>
          <w:sz w:val="14"/>
          <w:szCs w:val="14"/>
          <w:i w:val="1"/>
          <w:iCs w:val="1"/>
          <w:color w:val="auto"/>
        </w:rPr>
        <w:t>How We Determine Executive Compensation—Competitive Assessment of Compensation – Peer</w:t>
      </w:r>
      <w:r>
        <w:rPr>
          <w:rFonts w:ascii="Arial" w:cs="Arial" w:eastAsia="Arial" w:hAnsi="Arial"/>
          <w:sz w:val="14"/>
          <w:szCs w:val="14"/>
          <w:color w:val="auto"/>
        </w:rPr>
        <w:t xml:space="preserve"> </w:t>
      </w:r>
      <w:r>
        <w:rPr>
          <w:rFonts w:ascii="Arial" w:cs="Arial" w:eastAsia="Arial" w:hAnsi="Arial"/>
          <w:sz w:val="14"/>
          <w:szCs w:val="14"/>
          <w:i w:val="1"/>
          <w:iCs w:val="1"/>
          <w:color w:val="auto"/>
        </w:rPr>
        <w:t>Companies and Market Data,</w:t>
      </w:r>
      <w:r>
        <w:rPr>
          <w:rFonts w:ascii="Arial" w:cs="Arial" w:eastAsia="Arial" w:hAnsi="Arial"/>
          <w:sz w:val="14"/>
          <w:szCs w:val="14"/>
          <w:color w:val="auto"/>
        </w:rPr>
        <w:t>” appropriate from an internal equity perspective and more heavily weighted towards equity compensation, in line with our pay-for-performance philosophy. Our Compensation Committee (and the Board upon her appointment as President and CEO) determined it was appropriate to increase Ms. Gala’s base salary and target equity compensation in early 2025 in an amount necessary to reflect her then scope of responsibility and oversight of significant functions within the organization, and subsequently, to reflect her ascension to the President and CEO position in August 2025, as well as to maintain competitive positioning relative to the market data. Based on our Compensation Committee’s and the Boards’ professional experience and judgment, our Compensation Committee and the Board determined Ms. Gala’s target total direct compensation to be competitive and appropriate with respect to both her role in early 2025 as well as her new role as President and CEO commencing in August 2025.</w:t>
      </w:r>
    </w:p>
    <w:p>
      <w:pPr>
        <w:spacing w:after="0" w:line="230" w:lineRule="exact"/>
        <w:rPr>
          <w:rFonts w:ascii="Arial" w:cs="Arial" w:eastAsia="Arial" w:hAnsi="Arial"/>
          <w:sz w:val="14"/>
          <w:szCs w:val="14"/>
          <w:color w:val="auto"/>
        </w:rPr>
      </w:pPr>
    </w:p>
    <w:p>
      <w:pPr>
        <w:ind w:left="340" w:right="60" w:hanging="332"/>
        <w:spacing w:after="0" w:line="285"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in this column include, among others, the changes that were a result of Ms. Gala’s appointment as President and CEO, in August 2025, from her prior role as President and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123190</wp:posOffset>
            </wp:positionV>
            <wp:extent cx="1242695" cy="2057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67</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5" w:name="page76"/>
    <w:bookmarkEnd w:id="75"/>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Philip L. Johnson, Executive Vice President and CFO</w:t>
      </w:r>
      <w:r>
        <w:rPr>
          <w:rFonts w:ascii="Arial" w:cs="Arial" w:eastAsia="Arial" w:hAnsi="Arial"/>
          <w:sz w:val="11"/>
          <w:szCs w:val="11"/>
          <w:b w:val="1"/>
          <w:bCs w:val="1"/>
          <w:color w:val="001C71"/>
        </w:rPr>
        <w:t>(1)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shd w:val="clear" w:color="auto" w:fill="001C71"/>
          </w:tcPr>
          <w:p>
            <w:pPr>
              <w:spacing w:after="0"/>
              <w:rPr>
                <w:sz w:val="20"/>
                <w:szCs w:val="20"/>
                <w:color w:val="auto"/>
              </w:rPr>
            </w:pPr>
          </w:p>
        </w:tc>
        <w:tc>
          <w:tcPr>
            <w:tcW w:w="182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2024 Pay</w:t>
            </w:r>
          </w:p>
        </w:tc>
        <w:tc>
          <w:tcPr>
            <w:tcW w:w="1500" w:type="dxa"/>
            <w:vAlign w:val="bottom"/>
            <w:shd w:val="clear" w:color="auto" w:fill="001C71"/>
          </w:tcPr>
          <w:p>
            <w:pPr>
              <w:jc w:val="right"/>
              <w:ind w:right="388"/>
              <w:spacing w:after="0"/>
              <w:rPr>
                <w:sz w:val="20"/>
                <w:szCs w:val="20"/>
                <w:color w:val="auto"/>
              </w:rPr>
            </w:pPr>
            <w:r>
              <w:rPr>
                <w:rFonts w:ascii="Arial" w:cs="Arial" w:eastAsia="Arial" w:hAnsi="Arial"/>
                <w:sz w:val="14"/>
                <w:szCs w:val="14"/>
                <w:b w:val="1"/>
                <w:bCs w:val="1"/>
                <w:color w:val="FFFFFF"/>
              </w:rPr>
              <w:t>2025 Pay</w:t>
            </w:r>
          </w:p>
        </w:tc>
        <w:tc>
          <w:tcPr>
            <w:tcW w:w="110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Change</w:t>
            </w:r>
          </w:p>
        </w:tc>
      </w:tr>
      <w:tr>
        <w:trPr>
          <w:trHeight w:val="196"/>
        </w:trPr>
        <w:tc>
          <w:tcPr>
            <w:tcW w:w="6820" w:type="dxa"/>
            <w:vAlign w:val="bottom"/>
            <w:shd w:val="clear" w:color="auto" w:fill="001C71"/>
          </w:tcPr>
          <w:p>
            <w:pPr>
              <w:spacing w:after="0"/>
              <w:rPr>
                <w:sz w:val="17"/>
                <w:szCs w:val="17"/>
                <w:color w:val="auto"/>
              </w:rPr>
            </w:pPr>
          </w:p>
        </w:tc>
        <w:tc>
          <w:tcPr>
            <w:tcW w:w="182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001C71"/>
          </w:tcPr>
          <w:p>
            <w:pPr>
              <w:jc w:val="right"/>
              <w:ind w:right="388"/>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83"/>
        </w:trPr>
        <w:tc>
          <w:tcPr>
            <w:tcW w:w="6820" w:type="dxa"/>
            <w:vAlign w:val="bottom"/>
            <w:shd w:val="clear" w:color="auto" w:fill="001C71"/>
          </w:tcPr>
          <w:p>
            <w:pPr>
              <w:spacing w:after="0"/>
              <w:rPr>
                <w:sz w:val="7"/>
                <w:szCs w:val="7"/>
                <w:color w:val="auto"/>
              </w:rPr>
            </w:pPr>
          </w:p>
        </w:tc>
        <w:tc>
          <w:tcPr>
            <w:tcW w:w="1820" w:type="dxa"/>
            <w:vAlign w:val="bottom"/>
            <w:shd w:val="clear" w:color="auto" w:fill="001C71"/>
          </w:tcPr>
          <w:p>
            <w:pPr>
              <w:spacing w:after="0"/>
              <w:rPr>
                <w:sz w:val="7"/>
                <w:szCs w:val="7"/>
                <w:color w:val="auto"/>
              </w:rPr>
            </w:pPr>
          </w:p>
        </w:tc>
        <w:tc>
          <w:tcPr>
            <w:tcW w:w="1500" w:type="dxa"/>
            <w:vAlign w:val="bottom"/>
            <w:shd w:val="clear" w:color="auto" w:fill="001C71"/>
          </w:tcPr>
          <w:p>
            <w:pPr>
              <w:spacing w:after="0"/>
              <w:rPr>
                <w:sz w:val="7"/>
                <w:szCs w:val="7"/>
                <w:color w:val="auto"/>
              </w:rPr>
            </w:pPr>
          </w:p>
        </w:tc>
        <w:tc>
          <w:tcPr>
            <w:tcW w:w="1100" w:type="dxa"/>
            <w:vAlign w:val="bottom"/>
            <w:shd w:val="clear" w:color="auto" w:fill="001C71"/>
          </w:tcPr>
          <w:p>
            <w:pPr>
              <w:spacing w:after="0"/>
              <w:rPr>
                <w:sz w:val="7"/>
                <w:szCs w:val="7"/>
                <w:color w:val="auto"/>
              </w:rPr>
            </w:pPr>
          </w:p>
        </w:tc>
      </w:tr>
      <w:tr>
        <w:trPr>
          <w:trHeight w:val="223"/>
        </w:trPr>
        <w:tc>
          <w:tcPr>
            <w:tcW w:w="682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001C71"/>
              </w:rPr>
              <w:t>Target Total Cash Compensation</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1,305,000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b w:val="1"/>
                <w:bCs w:val="1"/>
                <w:color w:val="001C71"/>
              </w:rPr>
              <w:t>1,237,500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-5.17</w:t>
            </w:r>
          </w:p>
        </w:tc>
      </w:tr>
      <w:tr>
        <w:trPr>
          <w:trHeight w:val="229"/>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Base Salary</w:t>
            </w:r>
            <w:r>
              <w:rPr>
                <w:rFonts w:ascii="Arial" w:cs="Arial" w:eastAsia="Arial" w:hAnsi="Arial"/>
                <w:sz w:val="18"/>
                <w:szCs w:val="18"/>
                <w:color w:val="auto"/>
                <w:vertAlign w:val="superscript"/>
              </w:rPr>
              <w:t>(2)</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700,000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color w:val="auto"/>
              </w:rPr>
              <w:t>750,000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7.14</w:t>
            </w:r>
          </w:p>
        </w:tc>
      </w:tr>
      <w:tr>
        <w:trPr>
          <w:trHeight w:val="223"/>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Target Performance Bonus</w:t>
            </w:r>
            <w:r>
              <w:rPr>
                <w:rFonts w:ascii="Arial" w:cs="Arial" w:eastAsia="Arial" w:hAnsi="Arial"/>
                <w:sz w:val="18"/>
                <w:szCs w:val="18"/>
                <w:color w:val="auto"/>
                <w:vertAlign w:val="superscript"/>
              </w:rPr>
              <w:t>(3)</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455,000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color w:val="auto"/>
              </w:rPr>
              <w:t>487,500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7.14</w:t>
            </w:r>
          </w:p>
        </w:tc>
      </w:tr>
      <w:tr>
        <w:trPr>
          <w:trHeight w:val="223"/>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Signing Bonus</w:t>
            </w:r>
            <w:r>
              <w:rPr>
                <w:rFonts w:ascii="Arial" w:cs="Arial" w:eastAsia="Arial" w:hAnsi="Arial"/>
                <w:sz w:val="18"/>
                <w:szCs w:val="18"/>
                <w:color w:val="auto"/>
                <w:vertAlign w:val="superscript"/>
              </w:rPr>
              <w:t>(4)</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150,000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w:t>
            </w:r>
          </w:p>
        </w:tc>
      </w:tr>
      <w:tr>
        <w:trPr>
          <w:trHeight w:val="223"/>
        </w:trPr>
        <w:tc>
          <w:tcPr>
            <w:tcW w:w="682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001C71"/>
              </w:rPr>
              <w:t>Target Total Equity Compensation</w:t>
            </w:r>
            <w:r>
              <w:rPr>
                <w:rFonts w:ascii="Arial" w:cs="Arial" w:eastAsia="Arial" w:hAnsi="Arial"/>
                <w:sz w:val="18"/>
                <w:szCs w:val="18"/>
                <w:b w:val="1"/>
                <w:bCs w:val="1"/>
                <w:color w:val="001C71"/>
                <w:vertAlign w:val="superscript"/>
              </w:rPr>
              <w:t>(5)</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4,000,000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b w:val="1"/>
                <w:bCs w:val="1"/>
                <w:color w:val="001C71"/>
              </w:rPr>
              <w:t>5,000,000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25.00</w:t>
            </w:r>
          </w:p>
        </w:tc>
      </w:tr>
      <w:tr>
        <w:trPr>
          <w:trHeight w:val="201"/>
        </w:trPr>
        <w:tc>
          <w:tcPr>
            <w:tcW w:w="6820" w:type="dxa"/>
            <w:vAlign w:val="bottom"/>
          </w:tcPr>
          <w:p>
            <w:pPr>
              <w:ind w:left="360"/>
              <w:spacing w:after="0"/>
              <w:rPr>
                <w:sz w:val="20"/>
                <w:szCs w:val="20"/>
                <w:color w:val="auto"/>
              </w:rPr>
            </w:pPr>
            <w:r>
              <w:rPr>
                <w:rFonts w:ascii="Arial" w:cs="Arial" w:eastAsia="Arial" w:hAnsi="Arial"/>
                <w:sz w:val="14"/>
                <w:szCs w:val="14"/>
                <w:color w:val="auto"/>
              </w:rPr>
              <w:t>Target Annual Grant</w:t>
            </w:r>
          </w:p>
        </w:tc>
        <w:tc>
          <w:tcPr>
            <w:tcW w:w="1820" w:type="dxa"/>
            <w:vAlign w:val="bottom"/>
          </w:tcPr>
          <w:p>
            <w:pPr>
              <w:jc w:val="right"/>
              <w:ind w:right="328"/>
              <w:spacing w:after="0"/>
              <w:rPr>
                <w:sz w:val="20"/>
                <w:szCs w:val="20"/>
                <w:color w:val="auto"/>
              </w:rPr>
            </w:pPr>
            <w:r>
              <w:rPr>
                <w:rFonts w:ascii="Arial" w:cs="Arial" w:eastAsia="Arial" w:hAnsi="Arial"/>
                <w:sz w:val="14"/>
                <w:szCs w:val="14"/>
                <w:color w:val="auto"/>
              </w:rPr>
              <w:t>4,000,000</w:t>
            </w:r>
          </w:p>
        </w:tc>
        <w:tc>
          <w:tcPr>
            <w:tcW w:w="1500" w:type="dxa"/>
            <w:vAlign w:val="bottom"/>
          </w:tcPr>
          <w:p>
            <w:pPr>
              <w:jc w:val="right"/>
              <w:ind w:right="388"/>
              <w:spacing w:after="0"/>
              <w:rPr>
                <w:sz w:val="20"/>
                <w:szCs w:val="20"/>
                <w:color w:val="auto"/>
              </w:rPr>
            </w:pPr>
            <w:r>
              <w:rPr>
                <w:rFonts w:ascii="Arial" w:cs="Arial" w:eastAsia="Arial" w:hAnsi="Arial"/>
                <w:sz w:val="14"/>
                <w:szCs w:val="14"/>
                <w:color w:val="auto"/>
              </w:rPr>
              <w:t>4,000,000</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2"/>
        </w:trPr>
        <w:tc>
          <w:tcPr>
            <w:tcW w:w="6820" w:type="dxa"/>
            <w:vAlign w:val="bottom"/>
            <w:tcBorders>
              <w:bottom w:val="single" w:sz="8" w:color="5673B8"/>
            </w:tcBorders>
          </w:tcPr>
          <w:p>
            <w:pPr>
              <w:spacing w:after="0" w:line="20" w:lineRule="exact"/>
              <w:rPr>
                <w:sz w:val="1"/>
                <w:szCs w:val="1"/>
                <w:color w:val="auto"/>
              </w:rPr>
            </w:pPr>
          </w:p>
        </w:tc>
        <w:tc>
          <w:tcPr>
            <w:tcW w:w="1820" w:type="dxa"/>
            <w:vAlign w:val="bottom"/>
            <w:tcBorders>
              <w:bottom w:val="single" w:sz="8" w:color="5673B8"/>
            </w:tcBorders>
          </w:tcPr>
          <w:p>
            <w:pPr>
              <w:spacing w:after="0" w:line="20" w:lineRule="exact"/>
              <w:rPr>
                <w:sz w:val="1"/>
                <w:szCs w:val="1"/>
                <w:color w:val="auto"/>
              </w:rPr>
            </w:pPr>
          </w:p>
        </w:tc>
        <w:tc>
          <w:tcPr>
            <w:tcW w:w="1500" w:type="dxa"/>
            <w:vAlign w:val="bottom"/>
            <w:tcBorders>
              <w:bottom w:val="single" w:sz="8" w:color="5673B8"/>
            </w:tcBorders>
          </w:tcPr>
          <w:p>
            <w:pPr>
              <w:spacing w:after="0" w:line="20" w:lineRule="exact"/>
              <w:rPr>
                <w:sz w:val="1"/>
                <w:szCs w:val="1"/>
                <w:color w:val="auto"/>
              </w:rPr>
            </w:pPr>
          </w:p>
        </w:tc>
        <w:tc>
          <w:tcPr>
            <w:tcW w:w="1100" w:type="dxa"/>
            <w:vAlign w:val="bottom"/>
            <w:tcBorders>
              <w:bottom w:val="single" w:sz="8" w:color="5673B8"/>
            </w:tcBorders>
          </w:tcPr>
          <w:p>
            <w:pPr>
              <w:spacing w:after="0" w:line="20" w:lineRule="exact"/>
              <w:rPr>
                <w:sz w:val="1"/>
                <w:szCs w:val="1"/>
                <w:color w:val="auto"/>
              </w:rPr>
            </w:pPr>
          </w:p>
        </w:tc>
      </w:tr>
      <w:tr>
        <w:trPr>
          <w:trHeight w:val="223"/>
        </w:trPr>
        <w:tc>
          <w:tcPr>
            <w:tcW w:w="6820" w:type="dxa"/>
            <w:vAlign w:val="bottom"/>
            <w:tcBorders>
              <w:bottom w:val="single" w:sz="8" w:color="852166"/>
            </w:tcBorders>
          </w:tcPr>
          <w:p>
            <w:pPr>
              <w:ind w:left="360"/>
              <w:spacing w:after="0"/>
              <w:rPr>
                <w:sz w:val="20"/>
                <w:szCs w:val="20"/>
                <w:color w:val="auto"/>
              </w:rPr>
            </w:pPr>
            <w:r>
              <w:rPr>
                <w:rFonts w:ascii="Arial" w:cs="Arial" w:eastAsia="Arial" w:hAnsi="Arial"/>
                <w:sz w:val="14"/>
                <w:szCs w:val="14"/>
                <w:color w:val="auto"/>
              </w:rPr>
              <w:t>Target Retention Grant</w:t>
            </w:r>
            <w:r>
              <w:rPr>
                <w:rFonts w:ascii="Arial" w:cs="Arial" w:eastAsia="Arial" w:hAnsi="Arial"/>
                <w:sz w:val="18"/>
                <w:szCs w:val="18"/>
                <w:color w:val="auto"/>
                <w:vertAlign w:val="superscript"/>
              </w:rPr>
              <w:t>(6)</w:t>
            </w:r>
          </w:p>
        </w:tc>
        <w:tc>
          <w:tcPr>
            <w:tcW w:w="182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852166"/>
            </w:tcBorders>
          </w:tcPr>
          <w:p>
            <w:pPr>
              <w:jc w:val="right"/>
              <w:ind w:right="388"/>
              <w:spacing w:after="0"/>
              <w:rPr>
                <w:sz w:val="20"/>
                <w:szCs w:val="20"/>
                <w:color w:val="auto"/>
              </w:rPr>
            </w:pPr>
            <w:r>
              <w:rPr>
                <w:rFonts w:ascii="Arial" w:cs="Arial" w:eastAsia="Arial" w:hAnsi="Arial"/>
                <w:sz w:val="14"/>
                <w:szCs w:val="14"/>
                <w:color w:val="auto"/>
              </w:rPr>
              <w:t>1,000,000</w:t>
            </w:r>
          </w:p>
        </w:tc>
        <w:tc>
          <w:tcPr>
            <w:tcW w:w="110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color w:val="auto"/>
              </w:rPr>
              <w:t>—</w:t>
            </w:r>
          </w:p>
        </w:tc>
      </w:tr>
      <w:tr>
        <w:trPr>
          <w:trHeight w:val="223"/>
        </w:trPr>
        <w:tc>
          <w:tcPr>
            <w:tcW w:w="682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852166"/>
              </w:rPr>
              <w:t>Target Total Direct Compensation</w:t>
            </w:r>
            <w:r>
              <w:rPr>
                <w:rFonts w:ascii="Arial" w:cs="Arial" w:eastAsia="Arial" w:hAnsi="Arial"/>
                <w:sz w:val="18"/>
                <w:szCs w:val="18"/>
                <w:b w:val="1"/>
                <w:bCs w:val="1"/>
                <w:color w:val="852166"/>
                <w:vertAlign w:val="superscript"/>
              </w:rPr>
              <w:t>(7)</w:t>
            </w:r>
          </w:p>
        </w:tc>
        <w:tc>
          <w:tcPr>
            <w:tcW w:w="182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b w:val="1"/>
                <w:bCs w:val="1"/>
                <w:color w:val="852166"/>
              </w:rPr>
              <w:t>5,305,000</w:t>
            </w:r>
          </w:p>
        </w:tc>
        <w:tc>
          <w:tcPr>
            <w:tcW w:w="1500" w:type="dxa"/>
            <w:vAlign w:val="bottom"/>
            <w:tcBorders>
              <w:bottom w:val="single" w:sz="8" w:color="852166"/>
            </w:tcBorders>
          </w:tcPr>
          <w:p>
            <w:pPr>
              <w:jc w:val="right"/>
              <w:ind w:right="388"/>
              <w:spacing w:after="0"/>
              <w:rPr>
                <w:sz w:val="20"/>
                <w:szCs w:val="20"/>
                <w:color w:val="auto"/>
              </w:rPr>
            </w:pPr>
            <w:r>
              <w:rPr>
                <w:rFonts w:ascii="Arial" w:cs="Arial" w:eastAsia="Arial" w:hAnsi="Arial"/>
                <w:sz w:val="14"/>
                <w:szCs w:val="14"/>
                <w:b w:val="1"/>
                <w:bCs w:val="1"/>
                <w:color w:val="852166"/>
              </w:rPr>
              <w:t>6,237,500</w:t>
            </w:r>
          </w:p>
        </w:tc>
        <w:tc>
          <w:tcPr>
            <w:tcW w:w="110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852166"/>
              </w:rPr>
              <w:t>17.58</w:t>
            </w:r>
          </w:p>
        </w:tc>
      </w:tr>
    </w:tbl>
    <w:p>
      <w:pPr>
        <w:spacing w:after="0" w:line="126"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Mr. Johnson was appointed Executive Vice President and CFO effective March 1, 2024.</w:t>
      </w:r>
    </w:p>
    <w:p>
      <w:pPr>
        <w:spacing w:after="0" w:line="95" w:lineRule="exact"/>
        <w:rPr>
          <w:rFonts w:ascii="Arial" w:cs="Arial" w:eastAsia="Arial" w:hAnsi="Arial"/>
          <w:sz w:val="14"/>
          <w:szCs w:val="14"/>
          <w:color w:val="auto"/>
        </w:rPr>
      </w:pPr>
    </w:p>
    <w:p>
      <w:pPr>
        <w:ind w:left="340" w:right="60" w:hanging="332"/>
        <w:spacing w:after="0" w:line="305"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annual base salary rate for the applicable year. Mr. Johnson’s 2025 base salary became effective March 2025. Mr. Johnson’s actual salary earned in 2024 was lower due to his joining our Company in March 2024.</w:t>
      </w:r>
    </w:p>
    <w:p>
      <w:pPr>
        <w:spacing w:after="0" w:line="22" w:lineRule="exact"/>
        <w:rPr>
          <w:rFonts w:ascii="Arial" w:cs="Arial" w:eastAsia="Arial" w:hAnsi="Arial"/>
          <w:sz w:val="14"/>
          <w:szCs w:val="14"/>
          <w:color w:val="auto"/>
        </w:rPr>
      </w:pPr>
    </w:p>
    <w:p>
      <w:pPr>
        <w:ind w:left="340" w:right="20" w:hanging="332"/>
        <w:spacing w:after="0" w:line="273"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Reflects the target percentage of 65% of the annual base salary rate for 2024 and 2025. The actual 2025 performance bonus paid was $730,000 reflecting 150% of target performance bonus, based on the 150% overall achievement of the 2025 corporate performance objectives and Mr. Johnson’s individual contributions and leadership of the financial organization during 2025.</w:t>
      </w:r>
    </w:p>
    <w:p>
      <w:pPr>
        <w:spacing w:after="0" w:line="44" w:lineRule="exact"/>
        <w:rPr>
          <w:rFonts w:ascii="Arial" w:cs="Arial" w:eastAsia="Arial" w:hAnsi="Arial"/>
          <w:sz w:val="14"/>
          <w:szCs w:val="14"/>
          <w:color w:val="auto"/>
        </w:rPr>
      </w:pPr>
    </w:p>
    <w:p>
      <w:pPr>
        <w:ind w:left="340" w:hanging="332"/>
        <w:spacing w:after="0" w:line="267"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the cash signing bonus received by Mr. Johnson in 2024 in connection with his appointment as Executive Vice President and CFO. In determining the amount of the bonus, our Compensation Committee considered the inducement value in recruiting Mr. Johnson from his prior employer and the compensatory value of cash and equity forfeited by Mr. Johnson in leaving his prior employer. In February 2024, we entered into a sign-on bonus repayment agreement with Mr. Johnson which provided that to the extent Mr. Johnson voluntarily resigned or was terminated for cause by our Company within twenty-four months of his employment start date, he would be required to repay to full amount of the signing bonus if the end date was prior to his first anniversary and 50% of the bonus amount if the end date was between his first and second anniversary.</w:t>
      </w:r>
    </w:p>
    <w:p>
      <w:pPr>
        <w:spacing w:after="0" w:line="224" w:lineRule="exact"/>
        <w:rPr>
          <w:rFonts w:ascii="Arial" w:cs="Arial" w:eastAsia="Arial" w:hAnsi="Arial"/>
          <w:sz w:val="14"/>
          <w:szCs w:val="14"/>
          <w:color w:val="auto"/>
        </w:rPr>
      </w:pPr>
    </w:p>
    <w:p>
      <w:pPr>
        <w:ind w:left="340" w:right="60" w:hanging="332"/>
        <w:spacing w:after="0" w:line="273"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target total equity compensation (and the components thereof) presented in the chart above reflect the target dollar values approved by our Compensation Committee; these values differs from the values required to be shown in the Summary Compensation Table and Grants of Plan-Based Awards in Fiscal 2025 table, as applicable, as further described above in “</w:t>
      </w:r>
      <w:r>
        <w:rPr>
          <w:rFonts w:ascii="Arial" w:cs="Arial" w:eastAsia="Arial" w:hAnsi="Arial"/>
          <w:sz w:val="14"/>
          <w:szCs w:val="14"/>
          <w:i w:val="1"/>
          <w:iCs w:val="1"/>
          <w:color w:val="auto"/>
        </w:rPr>
        <w:t>Summary of 2025 Compensation Decisions—Long-Term Incentive Program</w:t>
      </w:r>
      <w:r>
        <w:rPr>
          <w:rFonts w:ascii="Arial" w:cs="Arial" w:eastAsia="Arial" w:hAnsi="Arial"/>
          <w:sz w:val="14"/>
          <w:szCs w:val="14"/>
          <w:color w:val="auto"/>
        </w:rPr>
        <w:t>.”</w:t>
      </w:r>
    </w:p>
    <w:p>
      <w:pPr>
        <w:spacing w:after="0" w:line="44" w:lineRule="exact"/>
        <w:rPr>
          <w:rFonts w:ascii="Arial" w:cs="Arial" w:eastAsia="Arial" w:hAnsi="Arial"/>
          <w:sz w:val="14"/>
          <w:szCs w:val="14"/>
          <w:color w:val="auto"/>
        </w:rPr>
      </w:pPr>
    </w:p>
    <w:p>
      <w:pPr>
        <w:ind w:left="340" w:right="100" w:hanging="332"/>
        <w:spacing w:after="0" w:line="283"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a one-time target retention RSU grant received by Mr. Johnson in February 2025. This retention grant will vest in full on June 30, 2026, provided generally that Mr. Johnson remains employed with our Company through that date. See “</w:t>
      </w:r>
      <w:r>
        <w:rPr>
          <w:rFonts w:ascii="Arial" w:cs="Arial" w:eastAsia="Arial" w:hAnsi="Arial"/>
          <w:sz w:val="14"/>
          <w:szCs w:val="14"/>
          <w:i w:val="1"/>
          <w:iCs w:val="1"/>
          <w:color w:val="auto"/>
        </w:rPr>
        <w:t>Summary of 2025 Compensation Decisions—Special Retention Grants</w:t>
      </w:r>
      <w:r>
        <w:rPr>
          <w:rFonts w:ascii="Arial" w:cs="Arial" w:eastAsia="Arial" w:hAnsi="Arial"/>
          <w:sz w:val="14"/>
          <w:szCs w:val="14"/>
          <w:color w:val="auto"/>
        </w:rPr>
        <w:t>” above for more information regarding the retention grants to our NEOs.</w:t>
      </w:r>
    </w:p>
    <w:p>
      <w:pPr>
        <w:spacing w:after="0" w:line="37" w:lineRule="exact"/>
        <w:rPr>
          <w:rFonts w:ascii="Arial" w:cs="Arial" w:eastAsia="Arial" w:hAnsi="Arial"/>
          <w:sz w:val="14"/>
          <w:szCs w:val="14"/>
          <w:color w:val="auto"/>
        </w:rPr>
      </w:pPr>
    </w:p>
    <w:p>
      <w:pPr>
        <w:ind w:left="340" w:right="40" w:hanging="332"/>
        <w:spacing w:after="0" w:line="266"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Our Compensation Committee designed Mr. Johnson’s target total direct compensation to be competitive as compared to market data, as described in more detail above in “</w:t>
      </w:r>
      <w:r>
        <w:rPr>
          <w:rFonts w:ascii="Arial" w:cs="Arial" w:eastAsia="Arial" w:hAnsi="Arial"/>
          <w:sz w:val="14"/>
          <w:szCs w:val="14"/>
          <w:i w:val="1"/>
          <w:iCs w:val="1"/>
          <w:color w:val="auto"/>
        </w:rPr>
        <w:t>How We Determine Executive Compensation—Competitive Assessment of Compensation – Peer Companies and Market Data,”</w:t>
      </w:r>
      <w:r>
        <w:rPr>
          <w:rFonts w:ascii="Arial" w:cs="Arial" w:eastAsia="Arial" w:hAnsi="Arial"/>
          <w:sz w:val="14"/>
          <w:szCs w:val="14"/>
          <w:color w:val="auto"/>
        </w:rPr>
        <w:t xml:space="preserve"> appropriate from an internal equity perspective and more heavily weighted towards equity compensation, in line with our pay-for-performance philosophy. Our Compensation Committee determined it was appropriate to increase Mr. Johnson’s target total direct compensation in an amount necessary to reflect his scope of responsibility and oversight of significant functions within the organization, as well as to maintain competitive positioning relative to the market data and the other NEOs. Based on our Compensation Committee’s professional experience and judgment, our Compensation Committee determined Mr. Johnson’s target total direct compensation to be competitive and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346075</wp:posOffset>
            </wp:positionV>
            <wp:extent cx="1242695" cy="2057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68</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6" w:name="page77"/>
    <w:bookmarkEnd w:id="76"/>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Bruce C. Cozadd, Chairperson and Former CEO</w:t>
      </w:r>
      <w:r>
        <w:rPr>
          <w:rFonts w:ascii="Arial" w:cs="Arial" w:eastAsia="Arial" w:hAnsi="Arial"/>
          <w:sz w:val="11"/>
          <w:szCs w:val="11"/>
          <w:b w:val="1"/>
          <w:bCs w:val="1"/>
          <w:color w:val="001C71"/>
        </w:rPr>
        <w:t>(1)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shd w:val="clear" w:color="auto" w:fill="001C71"/>
          </w:tcPr>
          <w:p>
            <w:pPr>
              <w:spacing w:after="0"/>
              <w:rPr>
                <w:sz w:val="20"/>
                <w:szCs w:val="20"/>
                <w:color w:val="auto"/>
              </w:rPr>
            </w:pPr>
          </w:p>
        </w:tc>
        <w:tc>
          <w:tcPr>
            <w:tcW w:w="182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2024 Pay</w:t>
            </w:r>
          </w:p>
        </w:tc>
        <w:tc>
          <w:tcPr>
            <w:tcW w:w="1500" w:type="dxa"/>
            <w:vAlign w:val="bottom"/>
            <w:shd w:val="clear" w:color="auto" w:fill="001C71"/>
          </w:tcPr>
          <w:p>
            <w:pPr>
              <w:jc w:val="right"/>
              <w:ind w:right="388"/>
              <w:spacing w:after="0"/>
              <w:rPr>
                <w:sz w:val="20"/>
                <w:szCs w:val="20"/>
                <w:color w:val="auto"/>
              </w:rPr>
            </w:pPr>
            <w:r>
              <w:rPr>
                <w:rFonts w:ascii="Arial" w:cs="Arial" w:eastAsia="Arial" w:hAnsi="Arial"/>
                <w:sz w:val="14"/>
                <w:szCs w:val="14"/>
                <w:b w:val="1"/>
                <w:bCs w:val="1"/>
                <w:color w:val="FFFFFF"/>
              </w:rPr>
              <w:t>2025 Pay</w:t>
            </w:r>
          </w:p>
        </w:tc>
        <w:tc>
          <w:tcPr>
            <w:tcW w:w="110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Change</w:t>
            </w:r>
          </w:p>
        </w:tc>
      </w:tr>
      <w:tr>
        <w:trPr>
          <w:trHeight w:val="196"/>
        </w:trPr>
        <w:tc>
          <w:tcPr>
            <w:tcW w:w="6820" w:type="dxa"/>
            <w:vAlign w:val="bottom"/>
            <w:shd w:val="clear" w:color="auto" w:fill="001C71"/>
          </w:tcPr>
          <w:p>
            <w:pPr>
              <w:spacing w:after="0"/>
              <w:rPr>
                <w:sz w:val="17"/>
                <w:szCs w:val="17"/>
                <w:color w:val="auto"/>
              </w:rPr>
            </w:pPr>
          </w:p>
        </w:tc>
        <w:tc>
          <w:tcPr>
            <w:tcW w:w="182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001C71"/>
          </w:tcPr>
          <w:p>
            <w:pPr>
              <w:jc w:val="right"/>
              <w:ind w:right="388"/>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83"/>
        </w:trPr>
        <w:tc>
          <w:tcPr>
            <w:tcW w:w="6820" w:type="dxa"/>
            <w:vAlign w:val="bottom"/>
            <w:shd w:val="clear" w:color="auto" w:fill="001C71"/>
          </w:tcPr>
          <w:p>
            <w:pPr>
              <w:spacing w:after="0"/>
              <w:rPr>
                <w:sz w:val="7"/>
                <w:szCs w:val="7"/>
                <w:color w:val="auto"/>
              </w:rPr>
            </w:pPr>
          </w:p>
        </w:tc>
        <w:tc>
          <w:tcPr>
            <w:tcW w:w="1820" w:type="dxa"/>
            <w:vAlign w:val="bottom"/>
            <w:shd w:val="clear" w:color="auto" w:fill="001C71"/>
          </w:tcPr>
          <w:p>
            <w:pPr>
              <w:spacing w:after="0"/>
              <w:rPr>
                <w:sz w:val="7"/>
                <w:szCs w:val="7"/>
                <w:color w:val="auto"/>
              </w:rPr>
            </w:pPr>
          </w:p>
        </w:tc>
        <w:tc>
          <w:tcPr>
            <w:tcW w:w="1500" w:type="dxa"/>
            <w:vAlign w:val="bottom"/>
            <w:shd w:val="clear" w:color="auto" w:fill="001C71"/>
          </w:tcPr>
          <w:p>
            <w:pPr>
              <w:spacing w:after="0"/>
              <w:rPr>
                <w:sz w:val="7"/>
                <w:szCs w:val="7"/>
                <w:color w:val="auto"/>
              </w:rPr>
            </w:pPr>
          </w:p>
        </w:tc>
        <w:tc>
          <w:tcPr>
            <w:tcW w:w="1100" w:type="dxa"/>
            <w:vAlign w:val="bottom"/>
            <w:shd w:val="clear" w:color="auto" w:fill="001C71"/>
          </w:tcPr>
          <w:p>
            <w:pPr>
              <w:spacing w:after="0"/>
              <w:rPr>
                <w:sz w:val="7"/>
                <w:szCs w:val="7"/>
                <w:color w:val="auto"/>
              </w:rPr>
            </w:pPr>
          </w:p>
        </w:tc>
      </w:tr>
      <w:tr>
        <w:trPr>
          <w:trHeight w:val="223"/>
        </w:trPr>
        <w:tc>
          <w:tcPr>
            <w:tcW w:w="682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001C71"/>
              </w:rPr>
              <w:t>Target Total Cash Compensation</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2,543,940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b w:val="1"/>
                <w:bCs w:val="1"/>
                <w:color w:val="001C71"/>
              </w:rPr>
              <w:t>2,632,980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3.50</w:t>
            </w:r>
          </w:p>
        </w:tc>
      </w:tr>
      <w:tr>
        <w:trPr>
          <w:trHeight w:val="229"/>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Base Salary</w:t>
            </w:r>
            <w:r>
              <w:rPr>
                <w:rFonts w:ascii="Arial" w:cs="Arial" w:eastAsia="Arial" w:hAnsi="Arial"/>
                <w:sz w:val="18"/>
                <w:szCs w:val="18"/>
                <w:color w:val="auto"/>
                <w:vertAlign w:val="superscript"/>
              </w:rPr>
              <w:t>(2)</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1,211,400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color w:val="auto"/>
              </w:rPr>
              <w:t>1,253,800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3.50</w:t>
            </w:r>
          </w:p>
        </w:tc>
      </w:tr>
      <w:tr>
        <w:trPr>
          <w:trHeight w:val="223"/>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Target Performance Bonus</w:t>
            </w:r>
            <w:r>
              <w:rPr>
                <w:rFonts w:ascii="Arial" w:cs="Arial" w:eastAsia="Arial" w:hAnsi="Arial"/>
                <w:sz w:val="18"/>
                <w:szCs w:val="18"/>
                <w:color w:val="auto"/>
                <w:vertAlign w:val="superscript"/>
              </w:rPr>
              <w:t>(3)</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1,332,540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color w:val="auto"/>
              </w:rPr>
              <w:t>1,379,180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3.50</w:t>
            </w:r>
          </w:p>
        </w:tc>
      </w:tr>
      <w:tr>
        <w:trPr>
          <w:trHeight w:val="223"/>
        </w:trPr>
        <w:tc>
          <w:tcPr>
            <w:tcW w:w="682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001C71"/>
              </w:rPr>
              <w:t>Target Equity Compensation</w:t>
            </w:r>
            <w:r>
              <w:rPr>
                <w:rFonts w:ascii="Arial" w:cs="Arial" w:eastAsia="Arial" w:hAnsi="Arial"/>
                <w:sz w:val="18"/>
                <w:szCs w:val="18"/>
                <w:b w:val="1"/>
                <w:bCs w:val="1"/>
                <w:color w:val="001C71"/>
                <w:vertAlign w:val="superscript"/>
              </w:rPr>
              <w:t>(4)</w:t>
            </w:r>
          </w:p>
        </w:tc>
        <w:tc>
          <w:tcPr>
            <w:tcW w:w="182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b w:val="1"/>
                <w:bCs w:val="1"/>
                <w:color w:val="001C71"/>
              </w:rPr>
              <w:t>12,600,000</w:t>
            </w:r>
          </w:p>
        </w:tc>
        <w:tc>
          <w:tcPr>
            <w:tcW w:w="1500" w:type="dxa"/>
            <w:vAlign w:val="bottom"/>
            <w:tcBorders>
              <w:bottom w:val="single" w:sz="8" w:color="852166"/>
            </w:tcBorders>
          </w:tcPr>
          <w:p>
            <w:pPr>
              <w:jc w:val="right"/>
              <w:ind w:right="388"/>
              <w:spacing w:after="0"/>
              <w:rPr>
                <w:sz w:val="20"/>
                <w:szCs w:val="20"/>
                <w:color w:val="auto"/>
              </w:rPr>
            </w:pPr>
            <w:r>
              <w:rPr>
                <w:rFonts w:ascii="Arial" w:cs="Arial" w:eastAsia="Arial" w:hAnsi="Arial"/>
                <w:sz w:val="14"/>
                <w:szCs w:val="14"/>
                <w:b w:val="1"/>
                <w:bCs w:val="1"/>
                <w:color w:val="001C71"/>
              </w:rPr>
              <w:t>4,000,000</w:t>
            </w:r>
          </w:p>
        </w:tc>
        <w:tc>
          <w:tcPr>
            <w:tcW w:w="110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001C71"/>
              </w:rPr>
              <w:t>-68.25</w:t>
            </w:r>
          </w:p>
        </w:tc>
      </w:tr>
      <w:tr>
        <w:trPr>
          <w:trHeight w:val="223"/>
        </w:trPr>
        <w:tc>
          <w:tcPr>
            <w:tcW w:w="682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852166"/>
              </w:rPr>
              <w:t>Target Total Direct Compensation</w:t>
            </w:r>
            <w:r>
              <w:rPr>
                <w:rFonts w:ascii="Arial" w:cs="Arial" w:eastAsia="Arial" w:hAnsi="Arial"/>
                <w:sz w:val="18"/>
                <w:szCs w:val="18"/>
                <w:b w:val="1"/>
                <w:bCs w:val="1"/>
                <w:color w:val="852166"/>
                <w:vertAlign w:val="superscript"/>
              </w:rPr>
              <w:t>(5)</w:t>
            </w:r>
          </w:p>
        </w:tc>
        <w:tc>
          <w:tcPr>
            <w:tcW w:w="182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b w:val="1"/>
                <w:bCs w:val="1"/>
                <w:color w:val="852166"/>
              </w:rPr>
              <w:t>15,143,940</w:t>
            </w:r>
          </w:p>
        </w:tc>
        <w:tc>
          <w:tcPr>
            <w:tcW w:w="1500" w:type="dxa"/>
            <w:vAlign w:val="bottom"/>
            <w:tcBorders>
              <w:bottom w:val="single" w:sz="8" w:color="852166"/>
            </w:tcBorders>
          </w:tcPr>
          <w:p>
            <w:pPr>
              <w:jc w:val="right"/>
              <w:ind w:right="388"/>
              <w:spacing w:after="0"/>
              <w:rPr>
                <w:sz w:val="20"/>
                <w:szCs w:val="20"/>
                <w:color w:val="auto"/>
              </w:rPr>
            </w:pPr>
            <w:r>
              <w:rPr>
                <w:rFonts w:ascii="Arial" w:cs="Arial" w:eastAsia="Arial" w:hAnsi="Arial"/>
                <w:sz w:val="14"/>
                <w:szCs w:val="14"/>
                <w:b w:val="1"/>
                <w:bCs w:val="1"/>
                <w:color w:val="852166"/>
              </w:rPr>
              <w:t>6,632,980</w:t>
            </w:r>
          </w:p>
        </w:tc>
        <w:tc>
          <w:tcPr>
            <w:tcW w:w="110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852166"/>
              </w:rPr>
              <w:t>-56.20</w:t>
            </w:r>
          </w:p>
        </w:tc>
      </w:tr>
    </w:tbl>
    <w:p>
      <w:pPr>
        <w:spacing w:after="0" w:line="126"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Mr. Cozadd served as CEO until August 11, 2025, following which he served in a transition role through September 14, 2025 and subsequently retired.</w:t>
      </w:r>
    </w:p>
    <w:p>
      <w:pPr>
        <w:spacing w:after="0" w:line="95" w:lineRule="exact"/>
        <w:rPr>
          <w:rFonts w:ascii="Arial" w:cs="Arial" w:eastAsia="Arial" w:hAnsi="Arial"/>
          <w:sz w:val="14"/>
          <w:szCs w:val="14"/>
          <w:color w:val="auto"/>
        </w:rPr>
      </w:pPr>
    </w:p>
    <w:p>
      <w:pPr>
        <w:ind w:left="340" w:right="220" w:hanging="332"/>
        <w:spacing w:after="0" w:line="305"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annual base salary rate for the applicable year. Mr. Cozadd’s base salary became effective March 2025. Mr. Cozadd’s actual salary earned in 2025 was pro-rated and lower due to his retirement as CEO in September 2025.</w:t>
      </w:r>
    </w:p>
    <w:p>
      <w:pPr>
        <w:spacing w:after="0" w:line="22" w:lineRule="exact"/>
        <w:rPr>
          <w:rFonts w:ascii="Arial" w:cs="Arial" w:eastAsia="Arial" w:hAnsi="Arial"/>
          <w:sz w:val="14"/>
          <w:szCs w:val="14"/>
          <w:color w:val="auto"/>
        </w:rPr>
      </w:pPr>
    </w:p>
    <w:p>
      <w:pPr>
        <w:ind w:left="340" w:right="20" w:hanging="332"/>
        <w:spacing w:after="0" w:line="267"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2025 amount reflects a target performance bonus of 110% of base salary rate as of December 31, 2025. Pursuant to the retirement provision of our annual bonus plan, which provides that a participant is eligible to receive a prorated bonus provided the recipient is at least 55 years of age with at least five years of service at the time of retirement, provides at least four months’ notice, retires on or after July 1 of the applicable year and executes and delivers a non-solicitation agreement that will apply for a period of twelve months after the employment termination date, Mr. Cozadd received a pro-rated bonus at target of $971,094 for the 2025 performance year, reflecting his retirement in September 2025.</w:t>
      </w:r>
    </w:p>
    <w:p>
      <w:pPr>
        <w:spacing w:after="0" w:line="49" w:lineRule="exact"/>
        <w:rPr>
          <w:rFonts w:ascii="Arial" w:cs="Arial" w:eastAsia="Arial" w:hAnsi="Arial"/>
          <w:sz w:val="14"/>
          <w:szCs w:val="14"/>
          <w:color w:val="auto"/>
        </w:rPr>
      </w:pPr>
    </w:p>
    <w:p>
      <w:pPr>
        <w:ind w:left="340" w:hanging="332"/>
        <w:spacing w:after="0" w:line="262"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target equity compensation presented in the chart above reflects the target dollar value recommended by our Compensation Committee and approved by the Board; this value differs from the values required to be shown in the Summary Compensation Table and Grants of Plan-Based Awards in Fiscal 2025 table, as applicable as further described above in “</w:t>
      </w:r>
      <w:r>
        <w:rPr>
          <w:rFonts w:ascii="Arial" w:cs="Arial" w:eastAsia="Arial" w:hAnsi="Arial"/>
          <w:sz w:val="14"/>
          <w:szCs w:val="14"/>
          <w:i w:val="1"/>
          <w:iCs w:val="1"/>
          <w:color w:val="auto"/>
        </w:rPr>
        <w:t>Summary of 2025 Compensation Decisions—Long-Term Incentive Program</w:t>
      </w:r>
      <w:r>
        <w:rPr>
          <w:rFonts w:ascii="Arial" w:cs="Arial" w:eastAsia="Arial" w:hAnsi="Arial"/>
          <w:sz w:val="14"/>
          <w:szCs w:val="14"/>
          <w:color w:val="auto"/>
        </w:rPr>
        <w:t>.” Mr. Cozadd’s target equity compensation was significantly lower in 2025 and comprised solely of RSUs due to his announced expected retirement in December 2024. This amount does not include a pro-rated annual RSU award Mr. Cozadd received for his service on our Board following his retirement, which award had a grant date fair value of $440,404, or the fees he received for his service as a director. In addition, as described under “</w:t>
      </w:r>
      <w:r>
        <w:rPr>
          <w:rFonts w:ascii="Arial" w:cs="Arial" w:eastAsia="Arial" w:hAnsi="Arial"/>
          <w:sz w:val="14"/>
          <w:szCs w:val="14"/>
          <w:i w:val="1"/>
          <w:iCs w:val="1"/>
          <w:color w:val="auto"/>
        </w:rPr>
        <w:t>Summary of 2025 Compensation Decisions―Modification of Outstanding Stock Options,</w:t>
      </w:r>
      <w:r>
        <w:rPr>
          <w:rFonts w:ascii="Arial" w:cs="Arial" w:eastAsia="Arial" w:hAnsi="Arial"/>
          <w:sz w:val="14"/>
          <w:szCs w:val="14"/>
          <w:color w:val="auto"/>
        </w:rPr>
        <w:t>” in connection with his retirement, our Board determined to amend certain stock option awards previously granted to Mr. Cozadd. The $12,041,389 in incremental fair value of Mr. Cozadd’s stock option awards in connection with this modification is not reflected in the chart above.</w:t>
      </w:r>
    </w:p>
    <w:p>
      <w:pPr>
        <w:spacing w:after="0" w:line="51" w:lineRule="exact"/>
        <w:rPr>
          <w:rFonts w:ascii="Arial" w:cs="Arial" w:eastAsia="Arial" w:hAnsi="Arial"/>
          <w:sz w:val="14"/>
          <w:szCs w:val="14"/>
          <w:color w:val="auto"/>
        </w:rPr>
      </w:pPr>
    </w:p>
    <w:p>
      <w:pPr>
        <w:ind w:left="340" w:right="20" w:hanging="332"/>
        <w:spacing w:after="0" w:line="266"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Our Compensation Committee and our Board designed Mr. Cozadd’s target total direct compensation to be competitive as compared to the market data, as described in more detail above in “</w:t>
      </w:r>
      <w:r>
        <w:rPr>
          <w:rFonts w:ascii="Arial" w:cs="Arial" w:eastAsia="Arial" w:hAnsi="Arial"/>
          <w:sz w:val="14"/>
          <w:szCs w:val="14"/>
          <w:i w:val="1"/>
          <w:iCs w:val="1"/>
          <w:color w:val="auto"/>
        </w:rPr>
        <w:t>How We Determine Executive Compensation—Competitive Assessment of Compensation – Peer Companies and Market Data,”</w:t>
      </w:r>
      <w:r>
        <w:rPr>
          <w:rFonts w:ascii="Arial" w:cs="Arial" w:eastAsia="Arial" w:hAnsi="Arial"/>
          <w:sz w:val="14"/>
          <w:szCs w:val="14"/>
          <w:color w:val="auto"/>
        </w:rPr>
        <w:t xml:space="preserve"> appropriate from an internal equity perspective and more heavily weighted towards equity compensation, in line with our pay-for-performance philosophy. Our Compensation Committee and the Board believed it was appropriate to provide a modest increase to his base salary in 2025 in recognition of his individual performance, the performance of our Company under his leadership and to remain in line with general market increases. Based on our Compensation Committee’s and Board’s professional experience and judgment, our Compensation Committee and Board determined Mr. Cozadd’s target total direct compensation to be competitive and appropriate.</w:t>
      </w:r>
    </w:p>
    <w:p>
      <w:pPr>
        <w:spacing w:after="0" w:line="18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As noted above under “</w:t>
      </w:r>
      <w:r>
        <w:rPr>
          <w:rFonts w:ascii="Arial" w:cs="Arial" w:eastAsia="Arial" w:hAnsi="Arial"/>
          <w:sz w:val="16"/>
          <w:szCs w:val="16"/>
          <w:i w:val="1"/>
          <w:iCs w:val="1"/>
          <w:color w:val="auto"/>
        </w:rPr>
        <w:t>Special Compensation Considerations for Mr. Cozadd</w:t>
      </w:r>
      <w:r>
        <w:rPr>
          <w:rFonts w:ascii="Arial" w:cs="Arial" w:eastAsia="Arial" w:hAnsi="Arial"/>
          <w:sz w:val="16"/>
          <w:szCs w:val="16"/>
          <w:color w:val="auto"/>
        </w:rPr>
        <w:t>,” Mr. Cozadd did not participate in our Company’s 2025 executive compensation program on the same basis as other NEOs and instead participated in several special compensation arrangements in light of the transitional nature of his 2025 employment with us. Accordingly, comparison of his 2024 and 2025 compensation may not be meaningful in these circumstances. In connection with Mr. Cozadd’s retirement as CEO and transition to a non-employee director role as Chairperson in September 2025, Mr. Cozadd received an initial pro-rated annual non-employee director RSU grant value equal to $440,404 on November 20, 2025, which amount is included in the “Stock Awards” column of the Summary Compensation Table. Mr. Cozadd also received $51,827 in director fees paid in cash, which amount is included in the “All Other Compensation” column of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176530</wp:posOffset>
            </wp:positionV>
            <wp:extent cx="1242695" cy="2057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69</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7" w:name="page78"/>
    <w:bookmarkEnd w:id="77"/>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Robert Iannone, Executive Vice President, Global Head of R&amp;D, Chief Medical Officer</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shd w:val="clear" w:color="auto" w:fill="001C71"/>
          </w:tcPr>
          <w:p>
            <w:pPr>
              <w:spacing w:after="0"/>
              <w:rPr>
                <w:sz w:val="20"/>
                <w:szCs w:val="20"/>
                <w:color w:val="auto"/>
              </w:rPr>
            </w:pPr>
          </w:p>
        </w:tc>
        <w:tc>
          <w:tcPr>
            <w:tcW w:w="182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2024 Pay</w:t>
            </w:r>
          </w:p>
        </w:tc>
        <w:tc>
          <w:tcPr>
            <w:tcW w:w="1500" w:type="dxa"/>
            <w:vAlign w:val="bottom"/>
            <w:shd w:val="clear" w:color="auto" w:fill="001C71"/>
          </w:tcPr>
          <w:p>
            <w:pPr>
              <w:jc w:val="right"/>
              <w:ind w:right="388"/>
              <w:spacing w:after="0"/>
              <w:rPr>
                <w:sz w:val="20"/>
                <w:szCs w:val="20"/>
                <w:color w:val="auto"/>
              </w:rPr>
            </w:pPr>
            <w:r>
              <w:rPr>
                <w:rFonts w:ascii="Arial" w:cs="Arial" w:eastAsia="Arial" w:hAnsi="Arial"/>
                <w:sz w:val="14"/>
                <w:szCs w:val="14"/>
                <w:b w:val="1"/>
                <w:bCs w:val="1"/>
                <w:color w:val="FFFFFF"/>
              </w:rPr>
              <w:t>2025 Pay</w:t>
            </w:r>
          </w:p>
        </w:tc>
        <w:tc>
          <w:tcPr>
            <w:tcW w:w="110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Change</w:t>
            </w:r>
          </w:p>
        </w:tc>
      </w:tr>
      <w:tr>
        <w:trPr>
          <w:trHeight w:val="196"/>
        </w:trPr>
        <w:tc>
          <w:tcPr>
            <w:tcW w:w="6820" w:type="dxa"/>
            <w:vAlign w:val="bottom"/>
            <w:shd w:val="clear" w:color="auto" w:fill="001C71"/>
          </w:tcPr>
          <w:p>
            <w:pPr>
              <w:spacing w:after="0"/>
              <w:rPr>
                <w:sz w:val="17"/>
                <w:szCs w:val="17"/>
                <w:color w:val="auto"/>
              </w:rPr>
            </w:pPr>
          </w:p>
        </w:tc>
        <w:tc>
          <w:tcPr>
            <w:tcW w:w="182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001C71"/>
          </w:tcPr>
          <w:p>
            <w:pPr>
              <w:jc w:val="right"/>
              <w:ind w:right="388"/>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83"/>
        </w:trPr>
        <w:tc>
          <w:tcPr>
            <w:tcW w:w="6820" w:type="dxa"/>
            <w:vAlign w:val="bottom"/>
            <w:shd w:val="clear" w:color="auto" w:fill="001C71"/>
          </w:tcPr>
          <w:p>
            <w:pPr>
              <w:spacing w:after="0"/>
              <w:rPr>
                <w:sz w:val="7"/>
                <w:szCs w:val="7"/>
                <w:color w:val="auto"/>
              </w:rPr>
            </w:pPr>
          </w:p>
        </w:tc>
        <w:tc>
          <w:tcPr>
            <w:tcW w:w="1820" w:type="dxa"/>
            <w:vAlign w:val="bottom"/>
            <w:shd w:val="clear" w:color="auto" w:fill="001C71"/>
          </w:tcPr>
          <w:p>
            <w:pPr>
              <w:spacing w:after="0"/>
              <w:rPr>
                <w:sz w:val="7"/>
                <w:szCs w:val="7"/>
                <w:color w:val="auto"/>
              </w:rPr>
            </w:pPr>
          </w:p>
        </w:tc>
        <w:tc>
          <w:tcPr>
            <w:tcW w:w="1500" w:type="dxa"/>
            <w:vAlign w:val="bottom"/>
            <w:shd w:val="clear" w:color="auto" w:fill="001C71"/>
          </w:tcPr>
          <w:p>
            <w:pPr>
              <w:spacing w:after="0"/>
              <w:rPr>
                <w:sz w:val="7"/>
                <w:szCs w:val="7"/>
                <w:color w:val="auto"/>
              </w:rPr>
            </w:pPr>
          </w:p>
        </w:tc>
        <w:tc>
          <w:tcPr>
            <w:tcW w:w="1100" w:type="dxa"/>
            <w:vAlign w:val="bottom"/>
            <w:shd w:val="clear" w:color="auto" w:fill="001C71"/>
          </w:tcPr>
          <w:p>
            <w:pPr>
              <w:spacing w:after="0"/>
              <w:rPr>
                <w:sz w:val="7"/>
                <w:szCs w:val="7"/>
                <w:color w:val="auto"/>
              </w:rPr>
            </w:pPr>
          </w:p>
        </w:tc>
      </w:tr>
      <w:tr>
        <w:trPr>
          <w:trHeight w:val="223"/>
        </w:trPr>
        <w:tc>
          <w:tcPr>
            <w:tcW w:w="682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001C71"/>
              </w:rPr>
              <w:t>Target Total Cash Compensation</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1,254,000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b w:val="1"/>
                <w:bCs w:val="1"/>
                <w:color w:val="001C71"/>
              </w:rPr>
              <w:t>1,320,000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5.26</w:t>
            </w:r>
          </w:p>
        </w:tc>
      </w:tr>
      <w:tr>
        <w:trPr>
          <w:trHeight w:val="229"/>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Base Salary</w:t>
            </w:r>
            <w:r>
              <w:rPr>
                <w:rFonts w:ascii="Arial" w:cs="Arial" w:eastAsia="Arial" w:hAnsi="Arial"/>
                <w:sz w:val="18"/>
                <w:szCs w:val="18"/>
                <w:color w:val="auto"/>
                <w:vertAlign w:val="superscript"/>
              </w:rPr>
              <w:t>(1)</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760,000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color w:val="auto"/>
              </w:rPr>
              <w:t>800,000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5.26</w:t>
            </w:r>
          </w:p>
        </w:tc>
      </w:tr>
      <w:tr>
        <w:trPr>
          <w:trHeight w:val="223"/>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Target Performance Bonus</w:t>
            </w:r>
            <w:r>
              <w:rPr>
                <w:rFonts w:ascii="Arial" w:cs="Arial" w:eastAsia="Arial" w:hAnsi="Arial"/>
                <w:sz w:val="18"/>
                <w:szCs w:val="18"/>
                <w:color w:val="auto"/>
                <w:vertAlign w:val="superscript"/>
              </w:rPr>
              <w:t>(2)</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494,000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color w:val="auto"/>
              </w:rPr>
              <w:t>520,000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5.26</w:t>
            </w:r>
          </w:p>
        </w:tc>
      </w:tr>
      <w:tr>
        <w:trPr>
          <w:trHeight w:val="223"/>
        </w:trPr>
        <w:tc>
          <w:tcPr>
            <w:tcW w:w="682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001C71"/>
              </w:rPr>
              <w:t>Target Total Equity Compensation</w:t>
            </w:r>
            <w:r>
              <w:rPr>
                <w:rFonts w:ascii="Arial" w:cs="Arial" w:eastAsia="Arial" w:hAnsi="Arial"/>
                <w:sz w:val="18"/>
                <w:szCs w:val="18"/>
                <w:b w:val="1"/>
                <w:bCs w:val="1"/>
                <w:color w:val="001C71"/>
                <w:vertAlign w:val="superscript"/>
              </w:rPr>
              <w:t>(3)</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4,250,000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b w:val="1"/>
                <w:bCs w:val="1"/>
                <w:color w:val="001C71"/>
              </w:rPr>
              <w:t>5,750,000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35.29</w:t>
            </w:r>
          </w:p>
        </w:tc>
      </w:tr>
      <w:tr>
        <w:trPr>
          <w:trHeight w:val="202"/>
        </w:trPr>
        <w:tc>
          <w:tcPr>
            <w:tcW w:w="6820" w:type="dxa"/>
            <w:vAlign w:val="bottom"/>
          </w:tcPr>
          <w:p>
            <w:pPr>
              <w:ind w:left="360"/>
              <w:spacing w:after="0"/>
              <w:rPr>
                <w:sz w:val="20"/>
                <w:szCs w:val="20"/>
                <w:color w:val="auto"/>
              </w:rPr>
            </w:pPr>
            <w:r>
              <w:rPr>
                <w:rFonts w:ascii="Arial" w:cs="Arial" w:eastAsia="Arial" w:hAnsi="Arial"/>
                <w:sz w:val="14"/>
                <w:szCs w:val="14"/>
                <w:color w:val="auto"/>
              </w:rPr>
              <w:t>Target Annual Grant</w:t>
            </w:r>
          </w:p>
        </w:tc>
        <w:tc>
          <w:tcPr>
            <w:tcW w:w="1820" w:type="dxa"/>
            <w:vAlign w:val="bottom"/>
          </w:tcPr>
          <w:p>
            <w:pPr>
              <w:jc w:val="right"/>
              <w:ind w:right="328"/>
              <w:spacing w:after="0"/>
              <w:rPr>
                <w:sz w:val="20"/>
                <w:szCs w:val="20"/>
                <w:color w:val="auto"/>
              </w:rPr>
            </w:pPr>
            <w:r>
              <w:rPr>
                <w:rFonts w:ascii="Arial" w:cs="Arial" w:eastAsia="Arial" w:hAnsi="Arial"/>
                <w:sz w:val="14"/>
                <w:szCs w:val="14"/>
                <w:color w:val="auto"/>
              </w:rPr>
              <w:t>4,250,000</w:t>
            </w:r>
          </w:p>
        </w:tc>
        <w:tc>
          <w:tcPr>
            <w:tcW w:w="1500" w:type="dxa"/>
            <w:vAlign w:val="bottom"/>
          </w:tcPr>
          <w:p>
            <w:pPr>
              <w:jc w:val="right"/>
              <w:ind w:right="388"/>
              <w:spacing w:after="0"/>
              <w:rPr>
                <w:sz w:val="20"/>
                <w:szCs w:val="20"/>
                <w:color w:val="auto"/>
              </w:rPr>
            </w:pPr>
            <w:r>
              <w:rPr>
                <w:rFonts w:ascii="Arial" w:cs="Arial" w:eastAsia="Arial" w:hAnsi="Arial"/>
                <w:sz w:val="14"/>
                <w:szCs w:val="14"/>
                <w:color w:val="auto"/>
              </w:rPr>
              <w:t>4,600,000</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8.24</w:t>
            </w:r>
          </w:p>
        </w:tc>
      </w:tr>
      <w:tr>
        <w:trPr>
          <w:trHeight w:val="22"/>
        </w:trPr>
        <w:tc>
          <w:tcPr>
            <w:tcW w:w="6820" w:type="dxa"/>
            <w:vAlign w:val="bottom"/>
            <w:tcBorders>
              <w:bottom w:val="single" w:sz="8" w:color="5673B8"/>
            </w:tcBorders>
          </w:tcPr>
          <w:p>
            <w:pPr>
              <w:spacing w:after="0" w:line="20" w:lineRule="exact"/>
              <w:rPr>
                <w:sz w:val="1"/>
                <w:szCs w:val="1"/>
                <w:color w:val="auto"/>
              </w:rPr>
            </w:pPr>
          </w:p>
        </w:tc>
        <w:tc>
          <w:tcPr>
            <w:tcW w:w="1820" w:type="dxa"/>
            <w:vAlign w:val="bottom"/>
            <w:tcBorders>
              <w:bottom w:val="single" w:sz="8" w:color="5673B8"/>
            </w:tcBorders>
          </w:tcPr>
          <w:p>
            <w:pPr>
              <w:spacing w:after="0" w:line="20" w:lineRule="exact"/>
              <w:rPr>
                <w:sz w:val="1"/>
                <w:szCs w:val="1"/>
                <w:color w:val="auto"/>
              </w:rPr>
            </w:pPr>
          </w:p>
        </w:tc>
        <w:tc>
          <w:tcPr>
            <w:tcW w:w="1500" w:type="dxa"/>
            <w:vAlign w:val="bottom"/>
            <w:tcBorders>
              <w:bottom w:val="single" w:sz="8" w:color="5673B8"/>
            </w:tcBorders>
          </w:tcPr>
          <w:p>
            <w:pPr>
              <w:spacing w:after="0" w:line="20" w:lineRule="exact"/>
              <w:rPr>
                <w:sz w:val="1"/>
                <w:szCs w:val="1"/>
                <w:color w:val="auto"/>
              </w:rPr>
            </w:pPr>
          </w:p>
        </w:tc>
        <w:tc>
          <w:tcPr>
            <w:tcW w:w="1100" w:type="dxa"/>
            <w:vAlign w:val="bottom"/>
            <w:tcBorders>
              <w:bottom w:val="single" w:sz="8" w:color="5673B8"/>
            </w:tcBorders>
          </w:tcPr>
          <w:p>
            <w:pPr>
              <w:spacing w:after="0" w:line="20" w:lineRule="exact"/>
              <w:rPr>
                <w:sz w:val="1"/>
                <w:szCs w:val="1"/>
                <w:color w:val="auto"/>
              </w:rPr>
            </w:pPr>
          </w:p>
        </w:tc>
      </w:tr>
      <w:tr>
        <w:trPr>
          <w:trHeight w:val="223"/>
        </w:trPr>
        <w:tc>
          <w:tcPr>
            <w:tcW w:w="6820" w:type="dxa"/>
            <w:vAlign w:val="bottom"/>
            <w:tcBorders>
              <w:bottom w:val="single" w:sz="8" w:color="852166"/>
            </w:tcBorders>
          </w:tcPr>
          <w:p>
            <w:pPr>
              <w:ind w:left="360"/>
              <w:spacing w:after="0"/>
              <w:rPr>
                <w:sz w:val="20"/>
                <w:szCs w:val="20"/>
                <w:color w:val="auto"/>
              </w:rPr>
            </w:pPr>
            <w:r>
              <w:rPr>
                <w:rFonts w:ascii="Arial" w:cs="Arial" w:eastAsia="Arial" w:hAnsi="Arial"/>
                <w:sz w:val="14"/>
                <w:szCs w:val="14"/>
                <w:color w:val="auto"/>
              </w:rPr>
              <w:t>Target Retention Grant</w:t>
            </w:r>
            <w:r>
              <w:rPr>
                <w:rFonts w:ascii="Arial" w:cs="Arial" w:eastAsia="Arial" w:hAnsi="Arial"/>
                <w:sz w:val="18"/>
                <w:szCs w:val="18"/>
                <w:color w:val="auto"/>
                <w:vertAlign w:val="superscript"/>
              </w:rPr>
              <w:t>(4)</w:t>
            </w:r>
          </w:p>
        </w:tc>
        <w:tc>
          <w:tcPr>
            <w:tcW w:w="182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852166"/>
            </w:tcBorders>
          </w:tcPr>
          <w:p>
            <w:pPr>
              <w:jc w:val="right"/>
              <w:ind w:right="388"/>
              <w:spacing w:after="0"/>
              <w:rPr>
                <w:sz w:val="20"/>
                <w:szCs w:val="20"/>
                <w:color w:val="auto"/>
              </w:rPr>
            </w:pPr>
            <w:r>
              <w:rPr>
                <w:rFonts w:ascii="Arial" w:cs="Arial" w:eastAsia="Arial" w:hAnsi="Arial"/>
                <w:sz w:val="14"/>
                <w:szCs w:val="14"/>
                <w:color w:val="auto"/>
              </w:rPr>
              <w:t>1,150,000</w:t>
            </w:r>
          </w:p>
        </w:tc>
        <w:tc>
          <w:tcPr>
            <w:tcW w:w="110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color w:val="auto"/>
              </w:rPr>
              <w:t>—</w:t>
            </w:r>
          </w:p>
        </w:tc>
      </w:tr>
      <w:tr>
        <w:trPr>
          <w:trHeight w:val="223"/>
        </w:trPr>
        <w:tc>
          <w:tcPr>
            <w:tcW w:w="682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852166"/>
              </w:rPr>
              <w:t>Target Total Direct Compensation</w:t>
            </w:r>
            <w:r>
              <w:rPr>
                <w:rFonts w:ascii="Arial" w:cs="Arial" w:eastAsia="Arial" w:hAnsi="Arial"/>
                <w:sz w:val="18"/>
                <w:szCs w:val="18"/>
                <w:b w:val="1"/>
                <w:bCs w:val="1"/>
                <w:color w:val="852166"/>
                <w:vertAlign w:val="superscript"/>
              </w:rPr>
              <w:t>(5)</w:t>
            </w:r>
          </w:p>
        </w:tc>
        <w:tc>
          <w:tcPr>
            <w:tcW w:w="182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b w:val="1"/>
                <w:bCs w:val="1"/>
                <w:color w:val="852166"/>
              </w:rPr>
              <w:t>5,504,000</w:t>
            </w:r>
          </w:p>
        </w:tc>
        <w:tc>
          <w:tcPr>
            <w:tcW w:w="1500" w:type="dxa"/>
            <w:vAlign w:val="bottom"/>
            <w:tcBorders>
              <w:bottom w:val="single" w:sz="8" w:color="852166"/>
            </w:tcBorders>
          </w:tcPr>
          <w:p>
            <w:pPr>
              <w:jc w:val="right"/>
              <w:ind w:right="388"/>
              <w:spacing w:after="0"/>
              <w:rPr>
                <w:sz w:val="20"/>
                <w:szCs w:val="20"/>
                <w:color w:val="auto"/>
              </w:rPr>
            </w:pPr>
            <w:r>
              <w:rPr>
                <w:rFonts w:ascii="Arial" w:cs="Arial" w:eastAsia="Arial" w:hAnsi="Arial"/>
                <w:sz w:val="14"/>
                <w:szCs w:val="14"/>
                <w:b w:val="1"/>
                <w:bCs w:val="1"/>
                <w:color w:val="852166"/>
              </w:rPr>
              <w:t>7,070,000</w:t>
            </w:r>
          </w:p>
        </w:tc>
        <w:tc>
          <w:tcPr>
            <w:tcW w:w="110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852166"/>
              </w:rPr>
              <w:t>28.45</w:t>
            </w:r>
          </w:p>
        </w:tc>
      </w:tr>
    </w:tbl>
    <w:p>
      <w:pPr>
        <w:spacing w:after="0" w:line="126"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Represents annual base salary rate for the applicable year. Dr. Iannone’s 2025 base salary became effective March 2025.</w:t>
      </w:r>
    </w:p>
    <w:p>
      <w:pPr>
        <w:spacing w:after="0" w:line="95" w:lineRule="exact"/>
        <w:rPr>
          <w:rFonts w:ascii="Arial" w:cs="Arial" w:eastAsia="Arial" w:hAnsi="Arial"/>
          <w:sz w:val="14"/>
          <w:szCs w:val="14"/>
          <w:color w:val="auto"/>
        </w:rPr>
      </w:pPr>
    </w:p>
    <w:p>
      <w:pPr>
        <w:ind w:left="340" w:right="480" w:hanging="332"/>
        <w:spacing w:after="0" w:line="283"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2025 amount reflects a target performance bonus of 65% of base salary rate as of December 31, 2025. The actual 2025 performance bonus paid was $840,000 reflecting 162% of target performance bonus, based on the 150% overall achievement of the 2025 corporate performance objectives and Dr. Iannone’s individual contributions and leadership of the R&amp;D organization during 2025.</w:t>
      </w:r>
    </w:p>
    <w:p>
      <w:pPr>
        <w:spacing w:after="0" w:line="24" w:lineRule="exact"/>
        <w:rPr>
          <w:rFonts w:ascii="Arial" w:cs="Arial" w:eastAsia="Arial" w:hAnsi="Arial"/>
          <w:sz w:val="14"/>
          <w:szCs w:val="14"/>
          <w:color w:val="auto"/>
        </w:rPr>
      </w:pPr>
    </w:p>
    <w:p>
      <w:pPr>
        <w:ind w:left="340" w:right="60" w:hanging="332"/>
        <w:spacing w:after="0" w:line="283"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target total equity compensation (and the components thereof) presented in the chart above reflect the target dollar values approved by our Compensation Committee; these values differs from the values required to be shown in the Summary Compensation Table and Grants of Plan-Based Awards in Fiscal 2025 table, as applicable, as further described above in “</w:t>
      </w:r>
      <w:r>
        <w:rPr>
          <w:rFonts w:ascii="Arial" w:cs="Arial" w:eastAsia="Arial" w:hAnsi="Arial"/>
          <w:sz w:val="14"/>
          <w:szCs w:val="14"/>
          <w:i w:val="1"/>
          <w:iCs w:val="1"/>
          <w:color w:val="auto"/>
        </w:rPr>
        <w:t>Summary of 2025 Compensation Decisions—Long-Term Incentive Program</w:t>
      </w:r>
      <w:r>
        <w:rPr>
          <w:rFonts w:ascii="Arial" w:cs="Arial" w:eastAsia="Arial" w:hAnsi="Arial"/>
          <w:sz w:val="14"/>
          <w:szCs w:val="14"/>
          <w:color w:val="auto"/>
        </w:rPr>
        <w:t>.”</w:t>
      </w:r>
    </w:p>
    <w:p>
      <w:pPr>
        <w:spacing w:after="0" w:line="37" w:lineRule="exact"/>
        <w:rPr>
          <w:rFonts w:ascii="Arial" w:cs="Arial" w:eastAsia="Arial" w:hAnsi="Arial"/>
          <w:sz w:val="14"/>
          <w:szCs w:val="14"/>
          <w:color w:val="auto"/>
        </w:rPr>
      </w:pPr>
    </w:p>
    <w:p>
      <w:pPr>
        <w:ind w:left="340" w:right="140" w:hanging="332"/>
        <w:spacing w:after="0" w:line="273"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Represents a one-time target retention RSU grant received by Dr. Iannone in February 2025. This retention grant will vest in full on June 30, 2026, provided generally that Dr. Iannone remains employed with our Company through that date. See “</w:t>
      </w:r>
      <w:r>
        <w:rPr>
          <w:rFonts w:ascii="Arial" w:cs="Arial" w:eastAsia="Arial" w:hAnsi="Arial"/>
          <w:sz w:val="14"/>
          <w:szCs w:val="14"/>
          <w:i w:val="1"/>
          <w:iCs w:val="1"/>
          <w:color w:val="auto"/>
        </w:rPr>
        <w:t>Summary of 2025 Compensation Decisions—Special Retention Grants</w:t>
      </w:r>
      <w:r>
        <w:rPr>
          <w:rFonts w:ascii="Arial" w:cs="Arial" w:eastAsia="Arial" w:hAnsi="Arial"/>
          <w:sz w:val="14"/>
          <w:szCs w:val="14"/>
          <w:color w:val="auto"/>
        </w:rPr>
        <w:t>” above for more information regarding the retention grants to our NEOs.</w:t>
      </w:r>
    </w:p>
    <w:p>
      <w:pPr>
        <w:spacing w:after="0" w:line="44" w:lineRule="exact"/>
        <w:rPr>
          <w:rFonts w:ascii="Arial" w:cs="Arial" w:eastAsia="Arial" w:hAnsi="Arial"/>
          <w:sz w:val="14"/>
          <w:szCs w:val="14"/>
          <w:color w:val="auto"/>
        </w:rPr>
      </w:pPr>
    </w:p>
    <w:p>
      <w:pPr>
        <w:ind w:left="340" w:right="80" w:hanging="332"/>
        <w:spacing w:after="0" w:line="266"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Our Compensation Committee designed Dr. Iannone’s target total direct compensation to be competitive as compared to market data, as described in more detail above in “</w:t>
      </w:r>
      <w:r>
        <w:rPr>
          <w:rFonts w:ascii="Arial" w:cs="Arial" w:eastAsia="Arial" w:hAnsi="Arial"/>
          <w:sz w:val="14"/>
          <w:szCs w:val="14"/>
          <w:i w:val="1"/>
          <w:iCs w:val="1"/>
          <w:color w:val="auto"/>
        </w:rPr>
        <w:t>How We Determine Executive Compensation—Competitive Assessment of Compensation – Peer Companies and Market Data,”</w:t>
      </w:r>
      <w:r>
        <w:rPr>
          <w:rFonts w:ascii="Arial" w:cs="Arial" w:eastAsia="Arial" w:hAnsi="Arial"/>
          <w:sz w:val="14"/>
          <w:szCs w:val="14"/>
          <w:color w:val="auto"/>
        </w:rPr>
        <w:t xml:space="preserve"> appropriate from an internal equity perspective and more heavily weighted towards equity compensation, in line with our pay-for-performance philosophy. Our Compensation Committee determined it was appropriate to increase Dr. Iannone’s target total direct compensation in an amount necessary to reflect his scope of responsibility and oversight of significant functions within the organization, as well as to maintain competitive positioning relative to the market data and the other NEOs. Based on our Compensation Committee’s professional experience and judgment, our Compensation Committee determined Dr. Iannone’s target total direct compensation to be competitive and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123190</wp:posOffset>
            </wp:positionV>
            <wp:extent cx="1242695" cy="2057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70</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8" w:name="page79"/>
    <w:bookmarkEnd w:id="78"/>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Neena M. Patil, Executive Vice President and Chief Legal Officer</w:t>
      </w:r>
      <w:r>
        <w:rPr>
          <w:rFonts w:ascii="Arial" w:cs="Arial" w:eastAsia="Arial" w:hAnsi="Arial"/>
          <w:sz w:val="11"/>
          <w:szCs w:val="11"/>
          <w:b w:val="1"/>
          <w:bCs w:val="1"/>
          <w:color w:val="001C71"/>
        </w:rPr>
        <w:t>(1)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shd w:val="clear" w:color="auto" w:fill="001C71"/>
          </w:tcPr>
          <w:p>
            <w:pPr>
              <w:spacing w:after="0"/>
              <w:rPr>
                <w:sz w:val="20"/>
                <w:szCs w:val="20"/>
                <w:color w:val="auto"/>
              </w:rPr>
            </w:pPr>
          </w:p>
        </w:tc>
        <w:tc>
          <w:tcPr>
            <w:tcW w:w="182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2024 Pay</w:t>
            </w:r>
          </w:p>
        </w:tc>
        <w:tc>
          <w:tcPr>
            <w:tcW w:w="1500" w:type="dxa"/>
            <w:vAlign w:val="bottom"/>
            <w:shd w:val="clear" w:color="auto" w:fill="001C71"/>
          </w:tcPr>
          <w:p>
            <w:pPr>
              <w:jc w:val="right"/>
              <w:ind w:right="388"/>
              <w:spacing w:after="0"/>
              <w:rPr>
                <w:sz w:val="20"/>
                <w:szCs w:val="20"/>
                <w:color w:val="auto"/>
              </w:rPr>
            </w:pPr>
            <w:r>
              <w:rPr>
                <w:rFonts w:ascii="Arial" w:cs="Arial" w:eastAsia="Arial" w:hAnsi="Arial"/>
                <w:sz w:val="14"/>
                <w:szCs w:val="14"/>
                <w:b w:val="1"/>
                <w:bCs w:val="1"/>
                <w:color w:val="FFFFFF"/>
              </w:rPr>
              <w:t>2025 Pay</w:t>
            </w:r>
          </w:p>
        </w:tc>
        <w:tc>
          <w:tcPr>
            <w:tcW w:w="110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Change</w:t>
            </w:r>
          </w:p>
        </w:tc>
      </w:tr>
      <w:tr>
        <w:trPr>
          <w:trHeight w:val="196"/>
        </w:trPr>
        <w:tc>
          <w:tcPr>
            <w:tcW w:w="6820" w:type="dxa"/>
            <w:vAlign w:val="bottom"/>
            <w:shd w:val="clear" w:color="auto" w:fill="001C71"/>
          </w:tcPr>
          <w:p>
            <w:pPr>
              <w:spacing w:after="0"/>
              <w:rPr>
                <w:sz w:val="17"/>
                <w:szCs w:val="17"/>
                <w:color w:val="auto"/>
              </w:rPr>
            </w:pPr>
          </w:p>
        </w:tc>
        <w:tc>
          <w:tcPr>
            <w:tcW w:w="182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001C71"/>
          </w:tcPr>
          <w:p>
            <w:pPr>
              <w:jc w:val="right"/>
              <w:ind w:right="388"/>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83"/>
        </w:trPr>
        <w:tc>
          <w:tcPr>
            <w:tcW w:w="6820" w:type="dxa"/>
            <w:vAlign w:val="bottom"/>
            <w:shd w:val="clear" w:color="auto" w:fill="001C71"/>
          </w:tcPr>
          <w:p>
            <w:pPr>
              <w:spacing w:after="0"/>
              <w:rPr>
                <w:sz w:val="7"/>
                <w:szCs w:val="7"/>
                <w:color w:val="auto"/>
              </w:rPr>
            </w:pPr>
          </w:p>
        </w:tc>
        <w:tc>
          <w:tcPr>
            <w:tcW w:w="1820" w:type="dxa"/>
            <w:vAlign w:val="bottom"/>
            <w:shd w:val="clear" w:color="auto" w:fill="001C71"/>
          </w:tcPr>
          <w:p>
            <w:pPr>
              <w:spacing w:after="0"/>
              <w:rPr>
                <w:sz w:val="7"/>
                <w:szCs w:val="7"/>
                <w:color w:val="auto"/>
              </w:rPr>
            </w:pPr>
          </w:p>
        </w:tc>
        <w:tc>
          <w:tcPr>
            <w:tcW w:w="1500" w:type="dxa"/>
            <w:vAlign w:val="bottom"/>
            <w:shd w:val="clear" w:color="auto" w:fill="001C71"/>
          </w:tcPr>
          <w:p>
            <w:pPr>
              <w:spacing w:after="0"/>
              <w:rPr>
                <w:sz w:val="7"/>
                <w:szCs w:val="7"/>
                <w:color w:val="auto"/>
              </w:rPr>
            </w:pPr>
          </w:p>
        </w:tc>
        <w:tc>
          <w:tcPr>
            <w:tcW w:w="1100" w:type="dxa"/>
            <w:vAlign w:val="bottom"/>
            <w:shd w:val="clear" w:color="auto" w:fill="001C71"/>
          </w:tcPr>
          <w:p>
            <w:pPr>
              <w:spacing w:after="0"/>
              <w:rPr>
                <w:sz w:val="7"/>
                <w:szCs w:val="7"/>
                <w:color w:val="auto"/>
              </w:rPr>
            </w:pPr>
          </w:p>
        </w:tc>
      </w:tr>
      <w:tr>
        <w:trPr>
          <w:trHeight w:val="223"/>
        </w:trPr>
        <w:tc>
          <w:tcPr>
            <w:tcW w:w="682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001C71"/>
              </w:rPr>
              <w:t>Target Total Cash Compensation</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1,072,000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b w:val="1"/>
                <w:bCs w:val="1"/>
                <w:color w:val="001C71"/>
              </w:rPr>
              <w:t>1,196,250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11.59</w:t>
            </w:r>
          </w:p>
        </w:tc>
      </w:tr>
      <w:tr>
        <w:trPr>
          <w:trHeight w:val="229"/>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Base Salary</w:t>
            </w:r>
            <w:r>
              <w:rPr>
                <w:rFonts w:ascii="Arial" w:cs="Arial" w:eastAsia="Arial" w:hAnsi="Arial"/>
                <w:sz w:val="18"/>
                <w:szCs w:val="18"/>
                <w:color w:val="auto"/>
                <w:vertAlign w:val="superscript"/>
              </w:rPr>
              <w:t>(1)</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670,000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color w:val="auto"/>
              </w:rPr>
              <w:t>725,000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8.21</w:t>
            </w:r>
          </w:p>
        </w:tc>
      </w:tr>
      <w:tr>
        <w:trPr>
          <w:trHeight w:val="223"/>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Target Performance Bonus</w:t>
            </w:r>
            <w:r>
              <w:rPr>
                <w:rFonts w:ascii="Arial" w:cs="Arial" w:eastAsia="Arial" w:hAnsi="Arial"/>
                <w:sz w:val="18"/>
                <w:szCs w:val="18"/>
                <w:color w:val="auto"/>
                <w:vertAlign w:val="superscript"/>
              </w:rPr>
              <w:t>(2)</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402,000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color w:val="auto"/>
              </w:rPr>
              <w:t>471,250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17.23</w:t>
            </w:r>
          </w:p>
        </w:tc>
      </w:tr>
      <w:tr>
        <w:trPr>
          <w:trHeight w:val="223"/>
        </w:trPr>
        <w:tc>
          <w:tcPr>
            <w:tcW w:w="682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001C71"/>
              </w:rPr>
              <w:t>Target Total Equity Compensation</w:t>
            </w:r>
            <w:r>
              <w:rPr>
                <w:rFonts w:ascii="Arial" w:cs="Arial" w:eastAsia="Arial" w:hAnsi="Arial"/>
                <w:sz w:val="18"/>
                <w:szCs w:val="18"/>
                <w:b w:val="1"/>
                <w:bCs w:val="1"/>
                <w:color w:val="001C71"/>
                <w:vertAlign w:val="superscript"/>
              </w:rPr>
              <w:t>(3)</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3,100,000</w:t>
            </w:r>
          </w:p>
        </w:tc>
        <w:tc>
          <w:tcPr>
            <w:tcW w:w="1500" w:type="dxa"/>
            <w:vAlign w:val="bottom"/>
            <w:tcBorders>
              <w:bottom w:val="single" w:sz="8" w:color="5673B8"/>
            </w:tcBorders>
          </w:tcPr>
          <w:p>
            <w:pPr>
              <w:jc w:val="right"/>
              <w:ind w:right="388"/>
              <w:spacing w:after="0"/>
              <w:rPr>
                <w:sz w:val="20"/>
                <w:szCs w:val="20"/>
                <w:color w:val="auto"/>
              </w:rPr>
            </w:pPr>
            <w:r>
              <w:rPr>
                <w:rFonts w:ascii="Arial" w:cs="Arial" w:eastAsia="Arial" w:hAnsi="Arial"/>
                <w:sz w:val="14"/>
                <w:szCs w:val="14"/>
                <w:b w:val="1"/>
                <w:bCs w:val="1"/>
                <w:color w:val="001C71"/>
              </w:rPr>
              <w:t>4,000,000</w:t>
            </w:r>
          </w:p>
        </w:tc>
        <w:tc>
          <w:tcPr>
            <w:tcW w:w="110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29.03</w:t>
            </w:r>
          </w:p>
        </w:tc>
      </w:tr>
      <w:tr>
        <w:trPr>
          <w:trHeight w:val="202"/>
        </w:trPr>
        <w:tc>
          <w:tcPr>
            <w:tcW w:w="6820" w:type="dxa"/>
            <w:vAlign w:val="bottom"/>
          </w:tcPr>
          <w:p>
            <w:pPr>
              <w:ind w:left="360"/>
              <w:spacing w:after="0"/>
              <w:rPr>
                <w:sz w:val="20"/>
                <w:szCs w:val="20"/>
                <w:color w:val="auto"/>
              </w:rPr>
            </w:pPr>
            <w:r>
              <w:rPr>
                <w:rFonts w:ascii="Arial" w:cs="Arial" w:eastAsia="Arial" w:hAnsi="Arial"/>
                <w:sz w:val="14"/>
                <w:szCs w:val="14"/>
                <w:color w:val="auto"/>
              </w:rPr>
              <w:t>Target Annual Grant</w:t>
            </w:r>
          </w:p>
        </w:tc>
        <w:tc>
          <w:tcPr>
            <w:tcW w:w="1820" w:type="dxa"/>
            <w:vAlign w:val="bottom"/>
          </w:tcPr>
          <w:p>
            <w:pPr>
              <w:jc w:val="right"/>
              <w:ind w:right="328"/>
              <w:spacing w:after="0"/>
              <w:rPr>
                <w:sz w:val="20"/>
                <w:szCs w:val="20"/>
                <w:color w:val="auto"/>
              </w:rPr>
            </w:pPr>
            <w:r>
              <w:rPr>
                <w:rFonts w:ascii="Arial" w:cs="Arial" w:eastAsia="Arial" w:hAnsi="Arial"/>
                <w:sz w:val="14"/>
                <w:szCs w:val="14"/>
                <w:color w:val="auto"/>
              </w:rPr>
              <w:t>3,100,000</w:t>
            </w:r>
          </w:p>
        </w:tc>
        <w:tc>
          <w:tcPr>
            <w:tcW w:w="1500" w:type="dxa"/>
            <w:vAlign w:val="bottom"/>
          </w:tcPr>
          <w:p>
            <w:pPr>
              <w:jc w:val="right"/>
              <w:ind w:right="388"/>
              <w:spacing w:after="0"/>
              <w:rPr>
                <w:sz w:val="20"/>
                <w:szCs w:val="20"/>
                <w:color w:val="auto"/>
              </w:rPr>
            </w:pPr>
            <w:r>
              <w:rPr>
                <w:rFonts w:ascii="Arial" w:cs="Arial" w:eastAsia="Arial" w:hAnsi="Arial"/>
                <w:sz w:val="14"/>
                <w:szCs w:val="14"/>
                <w:color w:val="auto"/>
              </w:rPr>
              <w:t>3,250,000</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4.84</w:t>
            </w:r>
          </w:p>
        </w:tc>
      </w:tr>
      <w:tr>
        <w:trPr>
          <w:trHeight w:val="22"/>
        </w:trPr>
        <w:tc>
          <w:tcPr>
            <w:tcW w:w="6820" w:type="dxa"/>
            <w:vAlign w:val="bottom"/>
            <w:tcBorders>
              <w:bottom w:val="single" w:sz="8" w:color="5673B8"/>
            </w:tcBorders>
          </w:tcPr>
          <w:p>
            <w:pPr>
              <w:spacing w:after="0" w:line="20" w:lineRule="exact"/>
              <w:rPr>
                <w:sz w:val="1"/>
                <w:szCs w:val="1"/>
                <w:color w:val="auto"/>
              </w:rPr>
            </w:pPr>
          </w:p>
        </w:tc>
        <w:tc>
          <w:tcPr>
            <w:tcW w:w="1820" w:type="dxa"/>
            <w:vAlign w:val="bottom"/>
            <w:tcBorders>
              <w:bottom w:val="single" w:sz="8" w:color="5673B8"/>
            </w:tcBorders>
          </w:tcPr>
          <w:p>
            <w:pPr>
              <w:spacing w:after="0" w:line="20" w:lineRule="exact"/>
              <w:rPr>
                <w:sz w:val="1"/>
                <w:szCs w:val="1"/>
                <w:color w:val="auto"/>
              </w:rPr>
            </w:pPr>
          </w:p>
        </w:tc>
        <w:tc>
          <w:tcPr>
            <w:tcW w:w="1500" w:type="dxa"/>
            <w:vAlign w:val="bottom"/>
            <w:tcBorders>
              <w:bottom w:val="single" w:sz="8" w:color="5673B8"/>
            </w:tcBorders>
          </w:tcPr>
          <w:p>
            <w:pPr>
              <w:spacing w:after="0" w:line="20" w:lineRule="exact"/>
              <w:rPr>
                <w:sz w:val="1"/>
                <w:szCs w:val="1"/>
                <w:color w:val="auto"/>
              </w:rPr>
            </w:pPr>
          </w:p>
        </w:tc>
        <w:tc>
          <w:tcPr>
            <w:tcW w:w="1100" w:type="dxa"/>
            <w:vAlign w:val="bottom"/>
            <w:tcBorders>
              <w:bottom w:val="single" w:sz="8" w:color="5673B8"/>
            </w:tcBorders>
          </w:tcPr>
          <w:p>
            <w:pPr>
              <w:spacing w:after="0" w:line="20" w:lineRule="exact"/>
              <w:rPr>
                <w:sz w:val="1"/>
                <w:szCs w:val="1"/>
                <w:color w:val="auto"/>
              </w:rPr>
            </w:pPr>
          </w:p>
        </w:tc>
      </w:tr>
      <w:tr>
        <w:trPr>
          <w:trHeight w:val="223"/>
        </w:trPr>
        <w:tc>
          <w:tcPr>
            <w:tcW w:w="6820" w:type="dxa"/>
            <w:vAlign w:val="bottom"/>
            <w:tcBorders>
              <w:bottom w:val="single" w:sz="8" w:color="852166"/>
            </w:tcBorders>
          </w:tcPr>
          <w:p>
            <w:pPr>
              <w:ind w:left="360"/>
              <w:spacing w:after="0"/>
              <w:rPr>
                <w:sz w:val="20"/>
                <w:szCs w:val="20"/>
                <w:color w:val="auto"/>
              </w:rPr>
            </w:pPr>
            <w:r>
              <w:rPr>
                <w:rFonts w:ascii="Arial" w:cs="Arial" w:eastAsia="Arial" w:hAnsi="Arial"/>
                <w:sz w:val="14"/>
                <w:szCs w:val="14"/>
                <w:color w:val="auto"/>
              </w:rPr>
              <w:t>Target Retention Grant</w:t>
            </w:r>
            <w:r>
              <w:rPr>
                <w:rFonts w:ascii="Arial" w:cs="Arial" w:eastAsia="Arial" w:hAnsi="Arial"/>
                <w:sz w:val="18"/>
                <w:szCs w:val="18"/>
                <w:color w:val="auto"/>
                <w:vertAlign w:val="superscript"/>
              </w:rPr>
              <w:t>(4)</w:t>
            </w:r>
          </w:p>
        </w:tc>
        <w:tc>
          <w:tcPr>
            <w:tcW w:w="182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852166"/>
            </w:tcBorders>
          </w:tcPr>
          <w:p>
            <w:pPr>
              <w:jc w:val="right"/>
              <w:ind w:right="388"/>
              <w:spacing w:after="0"/>
              <w:rPr>
                <w:sz w:val="20"/>
                <w:szCs w:val="20"/>
                <w:color w:val="auto"/>
              </w:rPr>
            </w:pPr>
            <w:r>
              <w:rPr>
                <w:rFonts w:ascii="Arial" w:cs="Arial" w:eastAsia="Arial" w:hAnsi="Arial"/>
                <w:sz w:val="14"/>
                <w:szCs w:val="14"/>
                <w:color w:val="auto"/>
              </w:rPr>
              <w:t>750,000</w:t>
            </w:r>
          </w:p>
        </w:tc>
        <w:tc>
          <w:tcPr>
            <w:tcW w:w="110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color w:val="auto"/>
              </w:rPr>
              <w:t>—</w:t>
            </w:r>
          </w:p>
        </w:tc>
      </w:tr>
      <w:tr>
        <w:trPr>
          <w:trHeight w:val="223"/>
        </w:trPr>
        <w:tc>
          <w:tcPr>
            <w:tcW w:w="682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852166"/>
              </w:rPr>
              <w:t>Target Total Direct Compensation</w:t>
            </w:r>
            <w:r>
              <w:rPr>
                <w:rFonts w:ascii="Arial" w:cs="Arial" w:eastAsia="Arial" w:hAnsi="Arial"/>
                <w:sz w:val="18"/>
                <w:szCs w:val="18"/>
                <w:b w:val="1"/>
                <w:bCs w:val="1"/>
                <w:color w:val="852166"/>
                <w:vertAlign w:val="superscript"/>
              </w:rPr>
              <w:t>(5)</w:t>
            </w:r>
          </w:p>
        </w:tc>
        <w:tc>
          <w:tcPr>
            <w:tcW w:w="182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b w:val="1"/>
                <w:bCs w:val="1"/>
                <w:color w:val="852166"/>
              </w:rPr>
              <w:t>4,172,000</w:t>
            </w:r>
          </w:p>
        </w:tc>
        <w:tc>
          <w:tcPr>
            <w:tcW w:w="1500" w:type="dxa"/>
            <w:vAlign w:val="bottom"/>
            <w:tcBorders>
              <w:bottom w:val="single" w:sz="8" w:color="852166"/>
            </w:tcBorders>
          </w:tcPr>
          <w:p>
            <w:pPr>
              <w:jc w:val="right"/>
              <w:ind w:right="388"/>
              <w:spacing w:after="0"/>
              <w:rPr>
                <w:sz w:val="20"/>
                <w:szCs w:val="20"/>
                <w:color w:val="auto"/>
              </w:rPr>
            </w:pPr>
            <w:r>
              <w:rPr>
                <w:rFonts w:ascii="Arial" w:cs="Arial" w:eastAsia="Arial" w:hAnsi="Arial"/>
                <w:sz w:val="14"/>
                <w:szCs w:val="14"/>
                <w:b w:val="1"/>
                <w:bCs w:val="1"/>
                <w:color w:val="852166"/>
              </w:rPr>
              <w:t>5,196,250</w:t>
            </w:r>
          </w:p>
        </w:tc>
        <w:tc>
          <w:tcPr>
            <w:tcW w:w="110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852166"/>
              </w:rPr>
              <w:t>24.55</w:t>
            </w:r>
          </w:p>
        </w:tc>
      </w:tr>
    </w:tbl>
    <w:p>
      <w:pPr>
        <w:spacing w:after="0" w:line="126" w:lineRule="exact"/>
        <w:rPr>
          <w:sz w:val="20"/>
          <w:szCs w:val="20"/>
          <w:color w:val="auto"/>
        </w:rPr>
      </w:pPr>
    </w:p>
    <w:p>
      <w:pPr>
        <w:ind w:left="320" w:hanging="312"/>
        <w:spacing w:after="0"/>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annual base salary rate for the applicable year. Ms. Patil’s 2025 base salary became effective March 2025.</w:t>
      </w:r>
    </w:p>
    <w:p>
      <w:pPr>
        <w:spacing w:after="0" w:line="95" w:lineRule="exact"/>
        <w:rPr>
          <w:rFonts w:ascii="Arial" w:cs="Arial" w:eastAsia="Arial" w:hAnsi="Arial"/>
          <w:sz w:val="14"/>
          <w:szCs w:val="14"/>
          <w:color w:val="auto"/>
        </w:rPr>
      </w:pPr>
    </w:p>
    <w:p>
      <w:pPr>
        <w:ind w:left="340" w:right="160" w:hanging="332"/>
        <w:spacing w:after="0" w:line="283" w:lineRule="auto"/>
        <w:tabs>
          <w:tab w:leader="none" w:pos="3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2025 amount reflects a target performance bonus of 65% of base salary rate as of December 31, 2025, an increase from 60% in 2024. The actual 2025 performance bonus paid was $720,000 reflecting 153% of target performance bonus, based on the 150% overall achievement of the 2025 corporate performance objectives and Ms. Patil’s individual contributions and leadership of the legal organization during 2025.</w:t>
      </w:r>
    </w:p>
    <w:p>
      <w:pPr>
        <w:spacing w:after="0" w:line="24" w:lineRule="exact"/>
        <w:rPr>
          <w:rFonts w:ascii="Arial" w:cs="Arial" w:eastAsia="Arial" w:hAnsi="Arial"/>
          <w:sz w:val="14"/>
          <w:szCs w:val="14"/>
          <w:color w:val="auto"/>
        </w:rPr>
      </w:pPr>
    </w:p>
    <w:p>
      <w:pPr>
        <w:ind w:left="340" w:right="60" w:hanging="332"/>
        <w:spacing w:after="0" w:line="283" w:lineRule="auto"/>
        <w:tabs>
          <w:tab w:leader="none" w:pos="3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 xml:space="preserve">The target total equity compensation (and the components thereof) presented in the chart above reflect the target dollar values approved by our Compensation Committee; these values differs from the values required to be shown in the Summary Compensation Table and Grants of Plan-Based Awards in Fiscal 2025 table, as applicable, as further described above in </w:t>
      </w:r>
      <w:r>
        <w:rPr>
          <w:rFonts w:ascii="Arial" w:cs="Arial" w:eastAsia="Arial" w:hAnsi="Arial"/>
          <w:sz w:val="14"/>
          <w:szCs w:val="14"/>
          <w:i w:val="1"/>
          <w:iCs w:val="1"/>
          <w:color w:val="auto"/>
        </w:rPr>
        <w:t>“Summary of 2025 Compensation Decisions—Long-Term Incentive Program.</w:t>
      </w:r>
      <w:r>
        <w:rPr>
          <w:rFonts w:ascii="Arial" w:cs="Arial" w:eastAsia="Arial" w:hAnsi="Arial"/>
          <w:sz w:val="14"/>
          <w:szCs w:val="14"/>
          <w:color w:val="auto"/>
        </w:rPr>
        <w:t>”</w:t>
      </w:r>
    </w:p>
    <w:p>
      <w:pPr>
        <w:spacing w:after="0" w:line="37" w:lineRule="exact"/>
        <w:rPr>
          <w:rFonts w:ascii="Arial" w:cs="Arial" w:eastAsia="Arial" w:hAnsi="Arial"/>
          <w:sz w:val="14"/>
          <w:szCs w:val="14"/>
          <w:color w:val="auto"/>
        </w:rPr>
      </w:pPr>
    </w:p>
    <w:p>
      <w:pPr>
        <w:ind w:left="340" w:right="60" w:hanging="332"/>
        <w:spacing w:after="0" w:line="273" w:lineRule="auto"/>
        <w:tabs>
          <w:tab w:leader="none" w:pos="3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a one-time target retention RSU grant received by Ms. Patil in February 2025. This retention grant will vest in full on June 30, 2026, provided generally that Ms. Patil remains employed with our Company through that date. See “</w:t>
      </w:r>
      <w:r>
        <w:rPr>
          <w:rFonts w:ascii="Arial" w:cs="Arial" w:eastAsia="Arial" w:hAnsi="Arial"/>
          <w:sz w:val="14"/>
          <w:szCs w:val="14"/>
          <w:i w:val="1"/>
          <w:iCs w:val="1"/>
          <w:color w:val="auto"/>
        </w:rPr>
        <w:t>Summary of 2025 Compensation Decisions—Special Retention Grants</w:t>
      </w:r>
      <w:r>
        <w:rPr>
          <w:rFonts w:ascii="Arial" w:cs="Arial" w:eastAsia="Arial" w:hAnsi="Arial"/>
          <w:sz w:val="14"/>
          <w:szCs w:val="14"/>
          <w:color w:val="auto"/>
        </w:rPr>
        <w:t>” above for more information regarding the retention grants to our NEOs.</w:t>
      </w:r>
    </w:p>
    <w:p>
      <w:pPr>
        <w:spacing w:after="0" w:line="44" w:lineRule="exact"/>
        <w:rPr>
          <w:rFonts w:ascii="Arial" w:cs="Arial" w:eastAsia="Arial" w:hAnsi="Arial"/>
          <w:sz w:val="14"/>
          <w:szCs w:val="14"/>
          <w:color w:val="auto"/>
        </w:rPr>
      </w:pPr>
    </w:p>
    <w:p>
      <w:pPr>
        <w:ind w:left="340" w:right="60" w:hanging="332"/>
        <w:spacing w:after="0" w:line="266" w:lineRule="auto"/>
        <w:tabs>
          <w:tab w:leader="none" w:pos="3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Our Compensation Committee designed Ms. Patil’s target total direct compensation to be competitive as compared to market data, as described in more detail above in “</w:t>
      </w:r>
      <w:r>
        <w:rPr>
          <w:rFonts w:ascii="Arial" w:cs="Arial" w:eastAsia="Arial" w:hAnsi="Arial"/>
          <w:sz w:val="14"/>
          <w:szCs w:val="14"/>
          <w:i w:val="1"/>
          <w:iCs w:val="1"/>
          <w:color w:val="auto"/>
        </w:rPr>
        <w:t>How We Determine Executive Compensation—Competitive Assessment of Compensation – Peer Companies and Market Data,”</w:t>
      </w:r>
      <w:r>
        <w:rPr>
          <w:rFonts w:ascii="Arial" w:cs="Arial" w:eastAsia="Arial" w:hAnsi="Arial"/>
          <w:sz w:val="14"/>
          <w:szCs w:val="14"/>
          <w:color w:val="auto"/>
        </w:rPr>
        <w:t xml:space="preserve"> appropriate from an internal equity perspective and more heavily weighted towards equity compensation, in line with our pay-for-performance philosophy. Our Compensation Committee determined it was appropriate to increase Ms. Patil’s target total direct compensation in an amount necessary to reflect her scope of responsibility and oversight of significant functions within the organization, as well as to maintain competitive positioning relative to the market data and the other NEOs. Based on our Compensation Committee’s professional experience and judgment, our Compensation Committee determined Ms. Patil’s target total direct compensation to be competitive and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328930</wp:posOffset>
            </wp:positionV>
            <wp:extent cx="1242695" cy="2057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71</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9" w:name="page80"/>
    <w:bookmarkEnd w:id="79"/>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Samantha Pearce, Executive Vice President, Chief Commercial Officer</w:t>
      </w:r>
      <w:r>
        <w:rPr>
          <w:rFonts w:ascii="Arial" w:cs="Arial" w:eastAsia="Arial" w:hAnsi="Arial"/>
          <w:sz w:val="11"/>
          <w:szCs w:val="11"/>
          <w:b w:val="1"/>
          <w:bCs w:val="1"/>
          <w:color w:val="001C71"/>
        </w:rPr>
        <w:t>(1)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shd w:val="clear" w:color="auto" w:fill="001C71"/>
          </w:tcPr>
          <w:p>
            <w:pPr>
              <w:spacing w:after="0"/>
              <w:rPr>
                <w:sz w:val="20"/>
                <w:szCs w:val="20"/>
                <w:color w:val="auto"/>
              </w:rPr>
            </w:pPr>
          </w:p>
        </w:tc>
        <w:tc>
          <w:tcPr>
            <w:tcW w:w="182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2024 Pay</w:t>
            </w:r>
          </w:p>
        </w:tc>
        <w:tc>
          <w:tcPr>
            <w:tcW w:w="144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2025 Pay</w:t>
            </w:r>
          </w:p>
        </w:tc>
        <w:tc>
          <w:tcPr>
            <w:tcW w:w="116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Change</w:t>
            </w:r>
            <w:r>
              <w:rPr>
                <w:rFonts w:ascii="Arial" w:cs="Arial" w:eastAsia="Arial" w:hAnsi="Arial"/>
                <w:sz w:val="18"/>
                <w:szCs w:val="18"/>
                <w:b w:val="1"/>
                <w:bCs w:val="1"/>
                <w:color w:val="FFFFFF"/>
                <w:vertAlign w:val="superscript"/>
              </w:rPr>
              <w:t>(9)</w:t>
            </w:r>
          </w:p>
        </w:tc>
      </w:tr>
      <w:tr>
        <w:trPr>
          <w:trHeight w:val="196"/>
        </w:trPr>
        <w:tc>
          <w:tcPr>
            <w:tcW w:w="6820" w:type="dxa"/>
            <w:vAlign w:val="bottom"/>
            <w:shd w:val="clear" w:color="auto" w:fill="001C71"/>
          </w:tcPr>
          <w:p>
            <w:pPr>
              <w:spacing w:after="0"/>
              <w:rPr>
                <w:sz w:val="17"/>
                <w:szCs w:val="17"/>
                <w:color w:val="auto"/>
              </w:rPr>
            </w:pPr>
          </w:p>
        </w:tc>
        <w:tc>
          <w:tcPr>
            <w:tcW w:w="182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001C71"/>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160" w:type="dxa"/>
            <w:vAlign w:val="bottom"/>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83"/>
        </w:trPr>
        <w:tc>
          <w:tcPr>
            <w:tcW w:w="6820" w:type="dxa"/>
            <w:vAlign w:val="bottom"/>
            <w:shd w:val="clear" w:color="auto" w:fill="001C71"/>
          </w:tcPr>
          <w:p>
            <w:pPr>
              <w:spacing w:after="0"/>
              <w:rPr>
                <w:sz w:val="7"/>
                <w:szCs w:val="7"/>
                <w:color w:val="auto"/>
              </w:rPr>
            </w:pPr>
          </w:p>
        </w:tc>
        <w:tc>
          <w:tcPr>
            <w:tcW w:w="1820" w:type="dxa"/>
            <w:vAlign w:val="bottom"/>
            <w:shd w:val="clear" w:color="auto" w:fill="001C71"/>
          </w:tcPr>
          <w:p>
            <w:pPr>
              <w:spacing w:after="0"/>
              <w:rPr>
                <w:sz w:val="7"/>
                <w:szCs w:val="7"/>
                <w:color w:val="auto"/>
              </w:rPr>
            </w:pPr>
          </w:p>
        </w:tc>
        <w:tc>
          <w:tcPr>
            <w:tcW w:w="1440" w:type="dxa"/>
            <w:vAlign w:val="bottom"/>
            <w:shd w:val="clear" w:color="auto" w:fill="001C71"/>
          </w:tcPr>
          <w:p>
            <w:pPr>
              <w:spacing w:after="0"/>
              <w:rPr>
                <w:sz w:val="7"/>
                <w:szCs w:val="7"/>
                <w:color w:val="auto"/>
              </w:rPr>
            </w:pPr>
          </w:p>
        </w:tc>
        <w:tc>
          <w:tcPr>
            <w:tcW w:w="1160" w:type="dxa"/>
            <w:vAlign w:val="bottom"/>
            <w:shd w:val="clear" w:color="auto" w:fill="001C71"/>
          </w:tcPr>
          <w:p>
            <w:pPr>
              <w:spacing w:after="0"/>
              <w:rPr>
                <w:sz w:val="7"/>
                <w:szCs w:val="7"/>
                <w:color w:val="auto"/>
              </w:rPr>
            </w:pPr>
          </w:p>
        </w:tc>
      </w:tr>
      <w:tr>
        <w:trPr>
          <w:trHeight w:val="223"/>
        </w:trPr>
        <w:tc>
          <w:tcPr>
            <w:tcW w:w="682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001C71"/>
              </w:rPr>
              <w:t>Target Total Cash Compensation</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1,413,750</w:t>
            </w:r>
          </w:p>
        </w:tc>
        <w:tc>
          <w:tcPr>
            <w:tcW w:w="144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1,155,000</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-18.30</w:t>
            </w:r>
          </w:p>
        </w:tc>
      </w:tr>
      <w:tr>
        <w:trPr>
          <w:trHeight w:val="229"/>
        </w:trPr>
        <w:tc>
          <w:tcPr>
            <w:tcW w:w="6820" w:type="dxa"/>
            <w:vAlign w:val="bottom"/>
            <w:tcBorders>
              <w:bottom w:val="single" w:sz="8" w:color="5673B8"/>
            </w:tcBorders>
          </w:tcPr>
          <w:p>
            <w:pPr>
              <w:ind w:left="440"/>
              <w:spacing w:after="0"/>
              <w:rPr>
                <w:sz w:val="20"/>
                <w:szCs w:val="20"/>
                <w:color w:val="auto"/>
              </w:rPr>
            </w:pPr>
            <w:r>
              <w:rPr>
                <w:rFonts w:ascii="Arial" w:cs="Arial" w:eastAsia="Arial" w:hAnsi="Arial"/>
                <w:sz w:val="14"/>
                <w:szCs w:val="14"/>
                <w:color w:val="auto"/>
              </w:rPr>
              <w:t>Base Salary</w:t>
            </w:r>
            <w:r>
              <w:rPr>
                <w:rFonts w:ascii="Arial" w:cs="Arial" w:eastAsia="Arial" w:hAnsi="Arial"/>
                <w:sz w:val="18"/>
                <w:szCs w:val="18"/>
                <w:color w:val="auto"/>
                <w:vertAlign w:val="superscript"/>
              </w:rPr>
              <w:t>(2)</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675,000</w:t>
            </w:r>
          </w:p>
        </w:tc>
        <w:tc>
          <w:tcPr>
            <w:tcW w:w="144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700,000</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3.70</w:t>
            </w:r>
          </w:p>
        </w:tc>
      </w:tr>
      <w:tr>
        <w:trPr>
          <w:trHeight w:val="223"/>
        </w:trPr>
        <w:tc>
          <w:tcPr>
            <w:tcW w:w="6820" w:type="dxa"/>
            <w:vAlign w:val="bottom"/>
            <w:tcBorders>
              <w:bottom w:val="single" w:sz="8" w:color="5673B8"/>
            </w:tcBorders>
          </w:tcPr>
          <w:p>
            <w:pPr>
              <w:ind w:left="440"/>
              <w:spacing w:after="0"/>
              <w:rPr>
                <w:sz w:val="20"/>
                <w:szCs w:val="20"/>
                <w:color w:val="auto"/>
              </w:rPr>
            </w:pPr>
            <w:r>
              <w:rPr>
                <w:rFonts w:ascii="Arial" w:cs="Arial" w:eastAsia="Arial" w:hAnsi="Arial"/>
                <w:sz w:val="14"/>
                <w:szCs w:val="14"/>
                <w:color w:val="auto"/>
              </w:rPr>
              <w:t>Target Performance Bonus</w:t>
            </w:r>
            <w:r>
              <w:rPr>
                <w:rFonts w:ascii="Arial" w:cs="Arial" w:eastAsia="Arial" w:hAnsi="Arial"/>
                <w:sz w:val="18"/>
                <w:szCs w:val="18"/>
                <w:color w:val="auto"/>
                <w:vertAlign w:val="superscript"/>
              </w:rPr>
              <w:t>(3)</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438,750</w:t>
            </w:r>
          </w:p>
        </w:tc>
        <w:tc>
          <w:tcPr>
            <w:tcW w:w="144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455,000</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3.70</w:t>
            </w:r>
          </w:p>
        </w:tc>
      </w:tr>
      <w:tr>
        <w:trPr>
          <w:trHeight w:val="223"/>
        </w:trPr>
        <w:tc>
          <w:tcPr>
            <w:tcW w:w="6820" w:type="dxa"/>
            <w:vAlign w:val="bottom"/>
            <w:tcBorders>
              <w:bottom w:val="single" w:sz="8" w:color="5673B8"/>
            </w:tcBorders>
          </w:tcPr>
          <w:p>
            <w:pPr>
              <w:ind w:left="440"/>
              <w:spacing w:after="0"/>
              <w:rPr>
                <w:sz w:val="20"/>
                <w:szCs w:val="20"/>
                <w:color w:val="auto"/>
              </w:rPr>
            </w:pPr>
            <w:r>
              <w:rPr>
                <w:rFonts w:ascii="Arial" w:cs="Arial" w:eastAsia="Arial" w:hAnsi="Arial"/>
                <w:sz w:val="14"/>
                <w:szCs w:val="14"/>
                <w:color w:val="auto"/>
              </w:rPr>
              <w:t>Promotion Bonus</w:t>
            </w:r>
            <w:r>
              <w:rPr>
                <w:rFonts w:ascii="Arial" w:cs="Arial" w:eastAsia="Arial" w:hAnsi="Arial"/>
                <w:sz w:val="18"/>
                <w:szCs w:val="18"/>
                <w:color w:val="auto"/>
                <w:vertAlign w:val="superscript"/>
              </w:rPr>
              <w:t>(4)</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300,000</w:t>
            </w:r>
          </w:p>
        </w:tc>
        <w:tc>
          <w:tcPr>
            <w:tcW w:w="144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w:t>
            </w:r>
          </w:p>
        </w:tc>
      </w:tr>
      <w:tr>
        <w:trPr>
          <w:trHeight w:val="223"/>
        </w:trPr>
        <w:tc>
          <w:tcPr>
            <w:tcW w:w="6820" w:type="dxa"/>
            <w:vAlign w:val="bottom"/>
            <w:tcBorders>
              <w:bottom w:val="single" w:sz="8" w:color="5673B8"/>
            </w:tcBorders>
          </w:tcPr>
          <w:p>
            <w:pPr>
              <w:ind w:left="100"/>
              <w:spacing w:after="0"/>
              <w:rPr>
                <w:sz w:val="20"/>
                <w:szCs w:val="20"/>
                <w:color w:val="auto"/>
              </w:rPr>
            </w:pPr>
            <w:r>
              <w:rPr>
                <w:rFonts w:ascii="Arial" w:cs="Arial" w:eastAsia="Arial" w:hAnsi="Arial"/>
                <w:sz w:val="14"/>
                <w:szCs w:val="14"/>
                <w:b w:val="1"/>
                <w:bCs w:val="1"/>
                <w:color w:val="001C71"/>
              </w:rPr>
              <w:t>Target Total Equity Compensation</w:t>
            </w:r>
            <w:r>
              <w:rPr>
                <w:rFonts w:ascii="Arial" w:cs="Arial" w:eastAsia="Arial" w:hAnsi="Arial"/>
                <w:sz w:val="18"/>
                <w:szCs w:val="18"/>
                <w:b w:val="1"/>
                <w:bCs w:val="1"/>
                <w:color w:val="001C71"/>
                <w:vertAlign w:val="superscript"/>
              </w:rPr>
              <w:t>(5)</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2,771,500</w:t>
            </w:r>
          </w:p>
        </w:tc>
        <w:tc>
          <w:tcPr>
            <w:tcW w:w="144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b w:val="1"/>
                <w:bCs w:val="1"/>
                <w:color w:val="001C71"/>
              </w:rPr>
              <w:t>3,850,000</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b w:val="1"/>
                <w:bCs w:val="1"/>
                <w:color w:val="001C71"/>
              </w:rPr>
              <w:t>38.91</w:t>
            </w:r>
          </w:p>
        </w:tc>
      </w:tr>
      <w:tr>
        <w:trPr>
          <w:trHeight w:val="223"/>
        </w:trPr>
        <w:tc>
          <w:tcPr>
            <w:tcW w:w="6820" w:type="dxa"/>
            <w:vAlign w:val="bottom"/>
            <w:tcBorders>
              <w:bottom w:val="single" w:sz="8" w:color="5673B8"/>
            </w:tcBorders>
          </w:tcPr>
          <w:p>
            <w:pPr>
              <w:ind w:left="360"/>
              <w:spacing w:after="0"/>
              <w:rPr>
                <w:sz w:val="20"/>
                <w:szCs w:val="20"/>
                <w:color w:val="auto"/>
              </w:rPr>
            </w:pPr>
            <w:r>
              <w:rPr>
                <w:rFonts w:ascii="Arial" w:cs="Arial" w:eastAsia="Arial" w:hAnsi="Arial"/>
                <w:sz w:val="14"/>
                <w:szCs w:val="14"/>
                <w:color w:val="auto"/>
              </w:rPr>
              <w:t>Target Annual Grant</w:t>
            </w:r>
            <w:r>
              <w:rPr>
                <w:rFonts w:ascii="Arial" w:cs="Arial" w:eastAsia="Arial" w:hAnsi="Arial"/>
                <w:sz w:val="18"/>
                <w:szCs w:val="18"/>
                <w:color w:val="auto"/>
                <w:vertAlign w:val="superscript"/>
              </w:rPr>
              <w:t>(6)</w:t>
            </w:r>
          </w:p>
        </w:tc>
        <w:tc>
          <w:tcPr>
            <w:tcW w:w="182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2,771,500</w:t>
            </w:r>
          </w:p>
        </w:tc>
        <w:tc>
          <w:tcPr>
            <w:tcW w:w="1440" w:type="dxa"/>
            <w:vAlign w:val="bottom"/>
            <w:tcBorders>
              <w:bottom w:val="single" w:sz="8" w:color="5673B8"/>
            </w:tcBorders>
          </w:tcPr>
          <w:p>
            <w:pPr>
              <w:jc w:val="right"/>
              <w:ind w:right="328"/>
              <w:spacing w:after="0"/>
              <w:rPr>
                <w:sz w:val="20"/>
                <w:szCs w:val="20"/>
                <w:color w:val="auto"/>
              </w:rPr>
            </w:pPr>
            <w:r>
              <w:rPr>
                <w:rFonts w:ascii="Arial" w:cs="Arial" w:eastAsia="Arial" w:hAnsi="Arial"/>
                <w:sz w:val="14"/>
                <w:szCs w:val="14"/>
                <w:color w:val="auto"/>
              </w:rPr>
              <w:t>3,100,000</w:t>
            </w:r>
          </w:p>
        </w:tc>
        <w:tc>
          <w:tcPr>
            <w:tcW w:w="1160" w:type="dxa"/>
            <w:vAlign w:val="bottom"/>
            <w:tcBorders>
              <w:bottom w:val="single" w:sz="8" w:color="5673B8"/>
            </w:tcBorders>
          </w:tcPr>
          <w:p>
            <w:pPr>
              <w:jc w:val="right"/>
              <w:ind w:right="48"/>
              <w:spacing w:after="0"/>
              <w:rPr>
                <w:sz w:val="20"/>
                <w:szCs w:val="20"/>
                <w:color w:val="auto"/>
              </w:rPr>
            </w:pPr>
            <w:r>
              <w:rPr>
                <w:rFonts w:ascii="Arial" w:cs="Arial" w:eastAsia="Arial" w:hAnsi="Arial"/>
                <w:sz w:val="14"/>
                <w:szCs w:val="14"/>
                <w:color w:val="auto"/>
              </w:rPr>
              <w:t>11.85</w:t>
            </w:r>
          </w:p>
        </w:tc>
      </w:tr>
      <w:tr>
        <w:trPr>
          <w:trHeight w:val="223"/>
        </w:trPr>
        <w:tc>
          <w:tcPr>
            <w:tcW w:w="6820" w:type="dxa"/>
            <w:vAlign w:val="bottom"/>
            <w:tcBorders>
              <w:bottom w:val="single" w:sz="8" w:color="852166"/>
            </w:tcBorders>
          </w:tcPr>
          <w:p>
            <w:pPr>
              <w:ind w:left="360"/>
              <w:spacing w:after="0"/>
              <w:rPr>
                <w:sz w:val="20"/>
                <w:szCs w:val="20"/>
                <w:color w:val="auto"/>
              </w:rPr>
            </w:pPr>
            <w:r>
              <w:rPr>
                <w:rFonts w:ascii="Arial" w:cs="Arial" w:eastAsia="Arial" w:hAnsi="Arial"/>
                <w:sz w:val="14"/>
                <w:szCs w:val="14"/>
                <w:color w:val="auto"/>
              </w:rPr>
              <w:t>Target Retention Grant</w:t>
            </w:r>
            <w:r>
              <w:rPr>
                <w:rFonts w:ascii="Arial" w:cs="Arial" w:eastAsia="Arial" w:hAnsi="Arial"/>
                <w:sz w:val="18"/>
                <w:szCs w:val="18"/>
                <w:color w:val="auto"/>
                <w:vertAlign w:val="superscript"/>
              </w:rPr>
              <w:t>(7)</w:t>
            </w:r>
          </w:p>
        </w:tc>
        <w:tc>
          <w:tcPr>
            <w:tcW w:w="182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color w:val="auto"/>
              </w:rPr>
              <w:t>750,000</w:t>
            </w:r>
          </w:p>
        </w:tc>
        <w:tc>
          <w:tcPr>
            <w:tcW w:w="116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color w:val="auto"/>
              </w:rPr>
              <w:t>—</w:t>
            </w:r>
          </w:p>
        </w:tc>
      </w:tr>
      <w:tr>
        <w:trPr>
          <w:trHeight w:val="223"/>
        </w:trPr>
        <w:tc>
          <w:tcPr>
            <w:tcW w:w="682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852166"/>
              </w:rPr>
              <w:t>Target Total Direct Compensation</w:t>
            </w:r>
            <w:r>
              <w:rPr>
                <w:rFonts w:ascii="Arial" w:cs="Arial" w:eastAsia="Arial" w:hAnsi="Arial"/>
                <w:sz w:val="18"/>
                <w:szCs w:val="18"/>
                <w:b w:val="1"/>
                <w:bCs w:val="1"/>
                <w:color w:val="852166"/>
                <w:vertAlign w:val="superscript"/>
              </w:rPr>
              <w:t>(8)</w:t>
            </w:r>
          </w:p>
        </w:tc>
        <w:tc>
          <w:tcPr>
            <w:tcW w:w="182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b w:val="1"/>
                <w:bCs w:val="1"/>
                <w:color w:val="852166"/>
              </w:rPr>
              <w:t>4,185,250</w:t>
            </w:r>
          </w:p>
        </w:tc>
        <w:tc>
          <w:tcPr>
            <w:tcW w:w="1440" w:type="dxa"/>
            <w:vAlign w:val="bottom"/>
            <w:tcBorders>
              <w:bottom w:val="single" w:sz="8" w:color="852166"/>
            </w:tcBorders>
          </w:tcPr>
          <w:p>
            <w:pPr>
              <w:jc w:val="right"/>
              <w:ind w:right="328"/>
              <w:spacing w:after="0"/>
              <w:rPr>
                <w:sz w:val="20"/>
                <w:szCs w:val="20"/>
                <w:color w:val="auto"/>
              </w:rPr>
            </w:pPr>
            <w:r>
              <w:rPr>
                <w:rFonts w:ascii="Arial" w:cs="Arial" w:eastAsia="Arial" w:hAnsi="Arial"/>
                <w:sz w:val="14"/>
                <w:szCs w:val="14"/>
                <w:b w:val="1"/>
                <w:bCs w:val="1"/>
                <w:color w:val="852166"/>
              </w:rPr>
              <w:t>5,005,000</w:t>
            </w:r>
          </w:p>
        </w:tc>
        <w:tc>
          <w:tcPr>
            <w:tcW w:w="116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852166"/>
              </w:rPr>
              <w:t>19.59</w:t>
            </w:r>
          </w:p>
        </w:tc>
      </w:tr>
    </w:tbl>
    <w:p>
      <w:pPr>
        <w:spacing w:after="0" w:line="126" w:lineRule="exact"/>
        <w:rPr>
          <w:sz w:val="20"/>
          <w:szCs w:val="20"/>
          <w:color w:val="auto"/>
        </w:rPr>
      </w:pPr>
    </w:p>
    <w:p>
      <w:pPr>
        <w:ind w:left="340" w:right="200" w:hanging="332"/>
        <w:spacing w:after="0" w:line="283"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Ms. Pearce was promoted to Executive Vice President, Chief Commercial Officer effective August 1, 2024. Ms. Pearce was previously our Senior Vice President, Europe and International. The amounts listed in the 2024 Pay column reflect Ms. Pearce’s pay effective as of her appointment to Executive Vice President, Chief Commercial Officer.</w:t>
      </w:r>
    </w:p>
    <w:p>
      <w:pPr>
        <w:spacing w:after="0" w:line="37" w:lineRule="exact"/>
        <w:rPr>
          <w:rFonts w:ascii="Arial" w:cs="Arial" w:eastAsia="Arial" w:hAnsi="Arial"/>
          <w:sz w:val="14"/>
          <w:szCs w:val="14"/>
          <w:color w:val="auto"/>
        </w:rPr>
      </w:pPr>
    </w:p>
    <w:p>
      <w:pPr>
        <w:ind w:left="340" w:right="40" w:hanging="332"/>
        <w:spacing w:after="0" w:line="269"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annual base salary rate for the applicable year. Ms. Pearce’s 2025 base salary became effective March 2025. Ms. Pearce’s initial base salary rate for 2024 was £465,000, or $595,516, converted to USD using a conversion rate of 1.2807 which is the average foreign exchange rate from January 1, 2024 to December 31, 2024. In connection with her appointment as Executive Vice President, Chief Commercial Officer, the Board increased Ms. Pearce’s annual base salary to $675,000, effective August 1, 2024.</w:t>
      </w:r>
    </w:p>
    <w:p>
      <w:pPr>
        <w:spacing w:after="0" w:line="47" w:lineRule="exact"/>
        <w:rPr>
          <w:rFonts w:ascii="Arial" w:cs="Arial" w:eastAsia="Arial" w:hAnsi="Arial"/>
          <w:sz w:val="14"/>
          <w:szCs w:val="14"/>
          <w:color w:val="auto"/>
        </w:rPr>
      </w:pPr>
    </w:p>
    <w:p>
      <w:pPr>
        <w:jc w:val="both"/>
        <w:ind w:left="340" w:right="160" w:hanging="332"/>
        <w:spacing w:after="0" w:line="273"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2025 amount reflects a target performance bonus of 65% as of December 31, 2025. The actual 2025 performance bonus paid was $690,000, reflecting 152% of Ms. Pearce’s target performance bonus, based on the 150% overall achievement of the 2025 corporate performance objectives and Ms. Pearce’s individual contributions and leadership of the commercial organization during 2025.</w:t>
      </w:r>
    </w:p>
    <w:p>
      <w:pPr>
        <w:spacing w:after="0" w:line="44" w:lineRule="exact"/>
        <w:rPr>
          <w:rFonts w:ascii="Arial" w:cs="Arial" w:eastAsia="Arial" w:hAnsi="Arial"/>
          <w:sz w:val="14"/>
          <w:szCs w:val="14"/>
          <w:color w:val="auto"/>
        </w:rPr>
      </w:pPr>
    </w:p>
    <w:p>
      <w:pPr>
        <w:ind w:left="340" w:right="200" w:hanging="332"/>
        <w:spacing w:after="0" w:line="297"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the cash bonus Ms. Pearce received in 2024 in connection with her appointment as Executive Vice President, Chief Commercial Officer and relocation to the U.S. This bonus was payable upon such relocation, and is subject to recoupment if Ms. Pearce terminates her employment within 24 months after she received the payment.</w:t>
      </w:r>
    </w:p>
    <w:p>
      <w:pPr>
        <w:spacing w:after="0" w:line="209" w:lineRule="exact"/>
        <w:rPr>
          <w:rFonts w:ascii="Arial" w:cs="Arial" w:eastAsia="Arial" w:hAnsi="Arial"/>
          <w:sz w:val="14"/>
          <w:szCs w:val="14"/>
          <w:color w:val="auto"/>
        </w:rPr>
      </w:pPr>
    </w:p>
    <w:p>
      <w:pPr>
        <w:ind w:left="340" w:right="60" w:hanging="332"/>
        <w:spacing w:after="0" w:line="273"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target total equity compensation (and the components thereof) presented in the chart above reflect the target dollar values approved by our Compensation Committee; these values differs from the value required to be shown in the Summary Compensation Table and Grants of Plan-Based Awards in Fiscal 2025 table, as applicable, as further described above in “</w:t>
      </w:r>
      <w:r>
        <w:rPr>
          <w:rFonts w:ascii="Arial" w:cs="Arial" w:eastAsia="Arial" w:hAnsi="Arial"/>
          <w:sz w:val="14"/>
          <w:szCs w:val="14"/>
          <w:i w:val="1"/>
          <w:iCs w:val="1"/>
          <w:color w:val="auto"/>
        </w:rPr>
        <w:t>Summary of 2025 Compensation Decisions—Long-Term Incentive Program.</w:t>
      </w:r>
      <w:r>
        <w:rPr>
          <w:rFonts w:ascii="Arial" w:cs="Arial" w:eastAsia="Arial" w:hAnsi="Arial"/>
          <w:sz w:val="14"/>
          <w:szCs w:val="14"/>
          <w:color w:val="auto"/>
        </w:rPr>
        <w:t>”</w:t>
      </w:r>
    </w:p>
    <w:p>
      <w:pPr>
        <w:spacing w:after="0" w:line="44" w:lineRule="exact"/>
        <w:rPr>
          <w:rFonts w:ascii="Arial" w:cs="Arial" w:eastAsia="Arial" w:hAnsi="Arial"/>
          <w:sz w:val="14"/>
          <w:szCs w:val="14"/>
          <w:color w:val="auto"/>
        </w:rPr>
      </w:pPr>
    </w:p>
    <w:p>
      <w:pPr>
        <w:ind w:left="340" w:right="160" w:hanging="332"/>
        <w:spacing w:after="0" w:line="283"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Ms. Pearce received an annual equity grant in March 2024 with a target value of £1,000,000, or $1,271,500, converted to USD using a conversion rate of 1.2715 which is the average foreign exchange rate for January 2024. In connection with her appointment as Executive Vice President, Chief Commercial Officer, she also received an additional one-time promotion grant in August 2024, incremental to her 2024 annual equity grant, with an approximate grant date value of $1,500,000.</w:t>
      </w:r>
    </w:p>
    <w:p>
      <w:pPr>
        <w:spacing w:after="0" w:line="24" w:lineRule="exact"/>
        <w:rPr>
          <w:rFonts w:ascii="Arial" w:cs="Arial" w:eastAsia="Arial" w:hAnsi="Arial"/>
          <w:sz w:val="14"/>
          <w:szCs w:val="14"/>
          <w:color w:val="auto"/>
        </w:rPr>
      </w:pPr>
    </w:p>
    <w:p>
      <w:pPr>
        <w:ind w:left="340" w:right="160" w:hanging="332"/>
        <w:spacing w:after="0" w:line="283"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a one-time target retention RSU grant received by Ms. Pearce in February 2025. This retention grant will vest in full on June 30, 2026, provided generally that Ms. Pearce remains employed with our Company through that date. See “</w:t>
      </w:r>
      <w:r>
        <w:rPr>
          <w:rFonts w:ascii="Arial" w:cs="Arial" w:eastAsia="Arial" w:hAnsi="Arial"/>
          <w:sz w:val="14"/>
          <w:szCs w:val="14"/>
          <w:i w:val="1"/>
          <w:iCs w:val="1"/>
          <w:color w:val="auto"/>
        </w:rPr>
        <w:t>Summary of 2025 Compensation Decisions—Special Retention Grants</w:t>
      </w:r>
      <w:r>
        <w:rPr>
          <w:rFonts w:ascii="Arial" w:cs="Arial" w:eastAsia="Arial" w:hAnsi="Arial"/>
          <w:sz w:val="14"/>
          <w:szCs w:val="14"/>
          <w:color w:val="auto"/>
        </w:rPr>
        <w:t>” above for more information regarding the retention grants to our NEOs.</w:t>
      </w:r>
    </w:p>
    <w:p>
      <w:pPr>
        <w:spacing w:after="0" w:line="37" w:lineRule="exact"/>
        <w:rPr>
          <w:rFonts w:ascii="Arial" w:cs="Arial" w:eastAsia="Arial" w:hAnsi="Arial"/>
          <w:sz w:val="14"/>
          <w:szCs w:val="14"/>
          <w:color w:val="auto"/>
        </w:rPr>
      </w:pPr>
    </w:p>
    <w:p>
      <w:pPr>
        <w:ind w:left="340" w:right="140" w:hanging="332"/>
        <w:spacing w:after="0" w:line="266"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Our Compensation Committee designed Ms. Pearce’s target total direct compensation to be competitive as compared to the market data, as described in more detail above in “</w:t>
      </w:r>
      <w:r>
        <w:rPr>
          <w:rFonts w:ascii="Arial" w:cs="Arial" w:eastAsia="Arial" w:hAnsi="Arial"/>
          <w:sz w:val="14"/>
          <w:szCs w:val="14"/>
          <w:i w:val="1"/>
          <w:iCs w:val="1"/>
          <w:color w:val="auto"/>
        </w:rPr>
        <w:t>How We Determine Executive Compensation—Competitive Assessment of Compensation – Peer Companies and Market Data,”</w:t>
      </w:r>
      <w:r>
        <w:rPr>
          <w:rFonts w:ascii="Arial" w:cs="Arial" w:eastAsia="Arial" w:hAnsi="Arial"/>
          <w:sz w:val="14"/>
          <w:szCs w:val="14"/>
          <w:color w:val="auto"/>
        </w:rPr>
        <w:t xml:space="preserve"> appropriate from an internal equity perspective and more heavily weighted towards equity compensation, in line with our pay-for-performance philosophy. Our Compensation Committee determined it was appropriate to increase Ms. Pearce’s base salary and target equity compensation in an amount necessary to reflect her scope of responsibility and oversight of significant functions within the organization, as well as to maintain competitive positioning relative to the market data and the other NEOs. Based on our Compensation Committee’s professional experience and judgment, our Compensation Committee determined Ms. Pearce’s target total direct compensation to be competitive and appropriate.</w:t>
      </w:r>
    </w:p>
    <w:p>
      <w:pPr>
        <w:spacing w:after="0" w:line="211" w:lineRule="exact"/>
        <w:rPr>
          <w:rFonts w:ascii="Arial" w:cs="Arial" w:eastAsia="Arial" w:hAnsi="Arial"/>
          <w:sz w:val="14"/>
          <w:szCs w:val="14"/>
          <w:color w:val="auto"/>
        </w:rPr>
      </w:pPr>
    </w:p>
    <w:p>
      <w:pPr>
        <w:ind w:left="340" w:right="280" w:hanging="332"/>
        <w:spacing w:after="0" w:line="305"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Ms. Pearce’s target total cash compensation decreased between 2024 and 2025 due to the one-time cash signing bonus received by her in 2024 in connection with her appointment as Executive Vice President, Chief Commercial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106045</wp:posOffset>
            </wp:positionV>
            <wp:extent cx="1242695" cy="2057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17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72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0" w:name="page81"/>
    <w:bookmarkEnd w:id="80"/>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Additional Compensation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Share Ownership Guidelines for Executive Officers</w:t>
      </w:r>
    </w:p>
    <w:p>
      <w:pPr>
        <w:spacing w:after="0" w:line="171" w:lineRule="exact"/>
        <w:rPr>
          <w:sz w:val="20"/>
          <w:szCs w:val="20"/>
          <w:color w:val="auto"/>
        </w:rPr>
      </w:pPr>
    </w:p>
    <w:p>
      <w:pPr>
        <w:ind w:right="780"/>
        <w:spacing w:after="0" w:line="321" w:lineRule="auto"/>
        <w:rPr>
          <w:sz w:val="20"/>
          <w:szCs w:val="20"/>
          <w:color w:val="auto"/>
        </w:rPr>
      </w:pPr>
      <w:r>
        <w:rPr>
          <w:rFonts w:ascii="Arial" w:cs="Arial" w:eastAsia="Arial" w:hAnsi="Arial"/>
          <w:sz w:val="16"/>
          <w:szCs w:val="16"/>
          <w:color w:val="auto"/>
        </w:rPr>
        <w:t>We maintain share ownership guidelines for our CEO and certain other employees who serve on our EC, including certain of our NEOs. Under the guidelines, these individuals are expected to own a number of our Company’s ordinary shares with a value equal to</w:t>
      </w:r>
    </w:p>
    <w:p>
      <w:pPr>
        <w:spacing w:after="0" w:line="102" w:lineRule="exact"/>
        <w:rPr>
          <w:sz w:val="20"/>
          <w:szCs w:val="20"/>
          <w:color w:val="auto"/>
        </w:rPr>
      </w:pPr>
    </w:p>
    <w:p>
      <w:pPr>
        <w:ind w:left="320" w:hanging="231"/>
        <w:spacing w:after="0"/>
        <w:tabs>
          <w:tab w:leader="none" w:pos="320" w:val="left"/>
        </w:tabs>
        <w:numPr>
          <w:ilvl w:val="0"/>
          <w:numId w:val="72"/>
        </w:numPr>
        <w:rPr>
          <w:rFonts w:ascii="Arial" w:cs="Arial" w:eastAsia="Arial" w:hAnsi="Arial"/>
          <w:sz w:val="16"/>
          <w:szCs w:val="16"/>
          <w:b w:val="1"/>
          <w:bCs w:val="1"/>
          <w:color w:val="001C71"/>
        </w:rPr>
      </w:pPr>
      <w:r>
        <w:rPr>
          <w:rFonts w:ascii="Arial" w:cs="Arial" w:eastAsia="Arial" w:hAnsi="Arial"/>
          <w:sz w:val="16"/>
          <w:szCs w:val="16"/>
          <w:color w:val="auto"/>
        </w:rPr>
        <w:t>six times base salary for our CEO,</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72"/>
        </w:numPr>
        <w:rPr>
          <w:rFonts w:ascii="Arial" w:cs="Arial" w:eastAsia="Arial" w:hAnsi="Arial"/>
          <w:sz w:val="16"/>
          <w:szCs w:val="16"/>
          <w:b w:val="1"/>
          <w:bCs w:val="1"/>
          <w:color w:val="001C71"/>
        </w:rPr>
      </w:pPr>
      <w:r>
        <w:rPr>
          <w:rFonts w:ascii="Arial" w:cs="Arial" w:eastAsia="Arial" w:hAnsi="Arial"/>
          <w:sz w:val="16"/>
          <w:szCs w:val="16"/>
          <w:color w:val="auto"/>
        </w:rPr>
        <w:t>two times base salary for each other member of our EC who is an officer for purposes of Section 16 of the Exchange Act, and</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72"/>
        </w:numPr>
        <w:rPr>
          <w:rFonts w:ascii="Arial" w:cs="Arial" w:eastAsia="Arial" w:hAnsi="Arial"/>
          <w:sz w:val="16"/>
          <w:szCs w:val="16"/>
          <w:b w:val="1"/>
          <w:bCs w:val="1"/>
          <w:color w:val="001C71"/>
        </w:rPr>
      </w:pPr>
      <w:r>
        <w:rPr>
          <w:rFonts w:ascii="Arial" w:cs="Arial" w:eastAsia="Arial" w:hAnsi="Arial"/>
          <w:sz w:val="16"/>
          <w:szCs w:val="16"/>
          <w:color w:val="auto"/>
        </w:rPr>
        <w:t>one times base salary for each other member of our EC.</w:t>
      </w:r>
    </w:p>
    <w:p>
      <w:pPr>
        <w:spacing w:after="0" w:line="19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guidelines provide that the officers are expected to establish the minimum ownership levels within five years of first becoming subject to the guidelines. If an individual becomes subject to a greater ownership requirement within the first five years after first becoming subject to the guidelines, due either to a change in the individual’s service status or to an increase in the individual’s base pay of 10% or more over any one-year period, the individual will be required to achieve the greater ownership within the following periods of time: five years following appointment or promotion to CEO; or two years following appointment or promotion for all other individuals. As of April 1, 2026, all the NEOs were in compliance with their ownership requirements.</w:t>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Shares that count toward satisfaction of these guidelines include: shares owned outright by the individual (whether or not purchased on the open market, and including RSUs and/or PSUs that have vested or were earned but not yet settled, net of taxes); shares retained after an option exercise or issuance under another type of equity award granted under our Company’s equity incentive plans; shares retained after purchase under the ESPP; and shares held in trust for the benefit of the individual. Our Compensation Committee has discretion to amend the guidelines in any respect it deems necessary or advisable without consent of the individuals subject to the guidelines and to approve any exceptions to the guidelines that it deems appropriate.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Clawback Policy</w:t>
      </w:r>
    </w:p>
    <w:p>
      <w:pPr>
        <w:spacing w:after="0" w:line="185"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November 2023, our Compensation Committee adopted the Clawback Policy, that complies with the new listing standards adopted by Nasdaq that implement the new SEC rules under the Dodd-Frank Wall Street Reform and Consumer Protection Act and applies to our executive officers (as defined in applicable SEC rules). The Clawback Policy, which replaces and supersedes our prior clawback policy adopted in April 2021, requires our Company to recover from covered executive officers the amount of erroneously awarded compensation resulting from an accounting restatement due to the material noncompliance of our Company with any financial reporting requirement under the securities laws. The Clawback Policy applies to incentive compensation that is received by a covered officer on or after October 2, 2023.</w:t>
      </w:r>
    </w:p>
    <w:p>
      <w:pPr>
        <w:spacing w:after="0" w:line="129"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In addition, as a public company, if we are required to restate our financial results due to our material noncompliance with any financial reporting requirements under the federal securities laws as a result of misconduct, our CEO and CFO may be legally required to reimburse our Company for any bonus or other incentive-based or equity-based compensation they receive in accordance with the provisions of Section 304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Change in Control Plan and Severance Plan</w:t>
      </w:r>
    </w:p>
    <w:p>
      <w:pPr>
        <w:spacing w:after="0" w:line="171"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auto"/>
        </w:rPr>
        <w:t>Our Compensation Committee periodically reviews the terms of our CIC Plan, including its “double-trigger” structure and benefits, against market data to ensure that the benefits we offer remain appropriate.</w:t>
      </w:r>
    </w:p>
    <w:p>
      <w:pPr>
        <w:spacing w:after="0" w:line="1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executive officers are eligible to participate in the CIC Plan, which includes all of our NEOs. Our Compensation Committee believes that the CIC benefits we provide are representative of market practice, both in terms of design and cost, and are sufficient to retain our current executive team and to recruit talented executive officers in the future. In addition, eligible employees who serve on our EC, other than our CEO, are eligible to participate in the Severance Plan. All of our NEOs for 2025 except Ms. Gala and Mr. Cozadd, are eligible to participate in the Severance Plan. The Severance Plan provides for benefits upon an involuntary termination that does not occur upon or within twelve months following a CIC. As a result, there is no overlap where an executive officer would receive benefits under both the CIC Plan and the 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176530</wp:posOffset>
            </wp:positionV>
            <wp:extent cx="1242695" cy="2057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73</w:t>
            </w:r>
          </w:p>
        </w:tc>
      </w:tr>
      <w:tr>
        <w:trPr>
          <w:trHeight w:val="494"/>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1" w:name="page82"/>
    <w:bookmarkEnd w:id="81"/>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Equity Grant Timing and Equity Plan Information</w:t>
      </w:r>
    </w:p>
    <w:p>
      <w:pPr>
        <w:spacing w:after="0" w:line="18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Our equity incentive grant policy generally provides that grants to our executive officers occur on the second trading day following the filing date of our next quarterly or annual report filed under the Exchange Act that occurs after the date on which such grants are approved by our Board or our Compensation Committee, as applicable. Accordingly, our equity incentive grant policy generally requires that grants to our executive officers are made shortly after we have released information about our financial performance to the public for the applicable period. Grants to new hires who are not executive officers generally occur on the third business day of the month following the employee’s date of hire. In 2025, we did not time the disclosure of material nonpublic information for the purpose of affecting the value of executive compensation. Our Company does not currently grant stock options, stock appreciation rights, or similar instruments with option-like features and has no policies or practices to disclose pursuant to Item 402(x)(1) of Regulation S-K.</w:t>
      </w:r>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currently grant equity awards to the NEOs, including PSUs and RSUs, under the 2011 Plan. The 2011 Plan was adopted by Jazz Pharmaceuticals, Inc.’s board of directors and approved by Jazz Pharmaceuticals, Inc.’s stockholders in connection with their approval of the Azur Merger in December 2011 and was assumed by us upon the completion of the Azur Merger. Before the 2011 Plan was adopted, we granted stock options under our 2007 Equity Incentive Plan, which was adopted by Jazz Pharmaceuticals, Inc.’s board of directors and approved by Jazz Pharmaceuticals, Inc.’s stockholders in connection with Jazz Pharmaceuticals, Inc.’s initial public offering. The 2011 Plan affords our Compensation Committee the flexibility to utilize a broad array of equity incentives and performance cash incentives in order to secure and retain the services of employees of our Company and its subsidiaries and to provide long-term incentives that align the interests of employees with the interests of our shareholders.</w:t>
      </w:r>
    </w:p>
    <w:p>
      <w:pPr>
        <w:spacing w:after="0" w:line="129"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auto"/>
        </w:rPr>
        <w:t>Additional long-term equity incentives are provided through the ESPP. Pursuant to the ESPP, all eligible employees, including the NEOs (if eligible), may allocate up to 15% of their base salary to purchase our stock at a 15% discount to the market price, subject to specified limits.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Accounting and Tax Considerations</w:t>
      </w:r>
    </w:p>
    <w:p>
      <w:pPr>
        <w:spacing w:after="0" w:line="171"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Under FASB ASC 718, our Company is required to estimate and record an expense for each award of equity compensation over the vesting period of the award. We record share-based compensation expense on an ongoing basis according to FASB ASC 718.</w:t>
      </w:r>
    </w:p>
    <w:p>
      <w:pPr>
        <w:spacing w:after="0" w:line="102"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Under Section 162(m) of the Code, compensation paid to each of our Company’s “covered employees” that exceeds $1 million per taxable year is generally non-deductible for tax purposes.</w:t>
      </w:r>
    </w:p>
    <w:p>
      <w:pPr>
        <w:spacing w:after="0" w:line="102"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Although our Compensation Committee will continue to consider tax implications as one factor in determining executive compensation, our Compensation Committee also looks at other factors in making its decisions and retains the flexibility to provide compensation for our Company’s NEOs in a manner consistent with the goals of our Company’s executive compensation program and the best interests of our Company and its stockholders, which may include providing for compensation that is not deductible by our Company due to the deduction limit under Section 162(m) of the Code.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Risk Assessment Concerning Compensation Practices and Policies</w:t>
      </w:r>
    </w:p>
    <w:p>
      <w:pPr>
        <w:spacing w:after="0" w:line="18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Our Compensation Committee periodically reviews our Company’s compensation policies and practices to assess whether they encourage employees to take inappropriate risks. Our Compensation Committee has determined that any risks arising from our compensation policies and practices for our employees are not reasonably likely to have a material adverse effect on our Company. Our Compensation Committee continues to believe that the mix and design of the elements of executive compensation do not encourage management to assume excessive risks, and significant compensation decisions, as well as decisions concerning the compensation of our Company’s executive officers, include subjective considerations by our Compensation Committee or our Board, which restrain the influence of formulae or objective factors on excessive risk-taking. Additionally, significant weighting of long-term compensation (in the form of PSUs and RSUs) in each NEOs total compensation opportunity ensures greater focus on driving sustainable growth and shareholder value creation over the longer term, and the mix of short-term compensation (in the form of salary and annual bonus, if any), and long-term compensation (in the form of PSUs and RSUs) also minimizes undue focus on short-term results and helps align the interests of our Company’s executive officers with the interests of our shareholders. Finally, we maintain robust share ownership requirements, a formal incentive compensation clawback policy and a strict anti-hedging and pledging policy, which individually and collectively, act to minimize risk and ensure a long-term focus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182245</wp:posOffset>
            </wp:positionV>
            <wp:extent cx="1242695" cy="2057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9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74</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2" w:name="page83"/>
    <w:bookmarkEnd w:id="82"/>
    <w:p>
      <w:pPr>
        <w:jc w:val="right"/>
        <w:ind w:righ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Compensation Committee Report</w:t>
      </w:r>
      <w:r>
        <w:rPr>
          <w:rFonts w:ascii="Arial" w:cs="Arial" w:eastAsia="Arial" w:hAnsi="Arial"/>
          <w:sz w:val="37"/>
          <w:szCs w:val="37"/>
          <w:color w:val="852166"/>
          <w:vertAlign w:val="superscript"/>
        </w:rPr>
        <w:t>(1)</w:t>
      </w:r>
    </w:p>
    <w:p>
      <w:pPr>
        <w:spacing w:after="0" w:line="10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Our Compensation Committee has reviewed and discussed with management the Compensation Discussion and Analysis contained herein. Based on this review and discussion, our Compensation Committee has recommended to our Board that the Compensation Discussion and Analysis be included in our proxy statement for the 2026 AGM and be included in the Annual Report on Form 10-K we filed with the SEC for the fiscal year ended December 31, 2025.</w:t>
      </w:r>
    </w:p>
    <w:p>
      <w:pPr>
        <w:spacing w:after="0" w:line="104"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Respectfully submitted,</w:t>
      </w:r>
    </w:p>
    <w:p>
      <w:pPr>
        <w:spacing w:after="0" w:line="194" w:lineRule="exact"/>
        <w:rPr>
          <w:sz w:val="20"/>
          <w:szCs w:val="20"/>
          <w:color w:val="auto"/>
        </w:rPr>
      </w:pPr>
    </w:p>
    <w:p>
      <w:pPr>
        <w:ind w:left="6320"/>
        <w:spacing w:after="0"/>
        <w:rPr>
          <w:sz w:val="20"/>
          <w:szCs w:val="20"/>
          <w:color w:val="auto"/>
        </w:rPr>
      </w:pPr>
      <w:r>
        <w:rPr>
          <w:rFonts w:ascii="Arial" w:cs="Arial" w:eastAsia="Arial" w:hAnsi="Arial"/>
          <w:sz w:val="16"/>
          <w:szCs w:val="16"/>
          <w:b w:val="1"/>
          <w:bCs w:val="1"/>
          <w:color w:val="001C71"/>
        </w:rPr>
        <w:t>Our Compensation Committee</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Ms. Jennifer E. Cook</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Mr. Patrick G. Enright</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Ms. Laura J. Hamill</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Ms. Anne O’Riordan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5224145</wp:posOffset>
            </wp:positionV>
            <wp:extent cx="282003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60" w:right="240" w:hanging="334"/>
        <w:spacing w:after="0" w:line="305" w:lineRule="auto"/>
        <w:tabs>
          <w:tab w:leader="none" w:pos="347"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material in this report is not “soliciting material,” is not deemed “filed” with the SEC and is not to be incorporated by reference in any filing of the registrant under the Securities Act or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182880</wp:posOffset>
            </wp:positionV>
            <wp:extent cx="1242695" cy="2057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75</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3" w:name="page84"/>
    <w:bookmarkEnd w:id="83"/>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Executive Compensation Summary</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Summary Compensation Table</w:t>
      </w:r>
    </w:p>
    <w:p>
      <w:pPr>
        <w:spacing w:after="0" w:line="171"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The following table sets forth certain summary information for the years indicated with respect to the compensation earned by the NEOs during fiscal year 2025, 2024 and 2023, as applicable.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001C71"/>
          </w:tcPr>
          <w:p>
            <w:pPr>
              <w:spacing w:after="0"/>
              <w:rPr>
                <w:sz w:val="16"/>
                <w:szCs w:val="16"/>
                <w:color w:val="auto"/>
              </w:rPr>
            </w:pPr>
          </w:p>
        </w:tc>
        <w:tc>
          <w:tcPr>
            <w:tcW w:w="2860" w:type="dxa"/>
            <w:vAlign w:val="bottom"/>
            <w:shd w:val="clear" w:color="auto" w:fill="001C71"/>
          </w:tcPr>
          <w:p>
            <w:pPr>
              <w:spacing w:after="0"/>
              <w:rPr>
                <w:sz w:val="16"/>
                <w:szCs w:val="16"/>
                <w:color w:val="auto"/>
              </w:rPr>
            </w:pPr>
          </w:p>
        </w:tc>
        <w:tc>
          <w:tcPr>
            <w:tcW w:w="620" w:type="dxa"/>
            <w:vAlign w:val="bottom"/>
            <w:shd w:val="clear" w:color="auto" w:fill="001C71"/>
          </w:tcPr>
          <w:p>
            <w:pPr>
              <w:spacing w:after="0"/>
              <w:rPr>
                <w:sz w:val="16"/>
                <w:szCs w:val="16"/>
                <w:color w:val="auto"/>
              </w:rPr>
            </w:pPr>
          </w:p>
        </w:tc>
        <w:tc>
          <w:tcPr>
            <w:tcW w:w="980" w:type="dxa"/>
            <w:vAlign w:val="bottom"/>
            <w:shd w:val="clear" w:color="auto" w:fill="001C71"/>
          </w:tcPr>
          <w:p>
            <w:pPr>
              <w:spacing w:after="0"/>
              <w:rPr>
                <w:sz w:val="16"/>
                <w:szCs w:val="16"/>
                <w:color w:val="auto"/>
              </w:rPr>
            </w:pPr>
          </w:p>
        </w:tc>
        <w:tc>
          <w:tcPr>
            <w:tcW w:w="720" w:type="dxa"/>
            <w:vAlign w:val="bottom"/>
            <w:shd w:val="clear" w:color="auto" w:fill="001C71"/>
          </w:tcPr>
          <w:p>
            <w:pPr>
              <w:spacing w:after="0"/>
              <w:rPr>
                <w:sz w:val="16"/>
                <w:szCs w:val="16"/>
                <w:color w:val="auto"/>
              </w:rPr>
            </w:pPr>
          </w:p>
        </w:tc>
        <w:tc>
          <w:tcPr>
            <w:tcW w:w="1180" w:type="dxa"/>
            <w:vAlign w:val="bottom"/>
            <w:shd w:val="clear" w:color="auto" w:fill="001C71"/>
          </w:tcPr>
          <w:p>
            <w:pPr>
              <w:spacing w:after="0"/>
              <w:rPr>
                <w:sz w:val="16"/>
                <w:szCs w:val="16"/>
                <w:color w:val="auto"/>
              </w:rPr>
            </w:pPr>
          </w:p>
        </w:tc>
        <w:tc>
          <w:tcPr>
            <w:tcW w:w="1080" w:type="dxa"/>
            <w:vAlign w:val="bottom"/>
            <w:shd w:val="clear" w:color="auto" w:fill="001C71"/>
          </w:tcPr>
          <w:p>
            <w:pPr>
              <w:spacing w:after="0"/>
              <w:rPr>
                <w:sz w:val="16"/>
                <w:szCs w:val="16"/>
                <w:color w:val="auto"/>
              </w:rPr>
            </w:pPr>
          </w:p>
        </w:tc>
        <w:tc>
          <w:tcPr>
            <w:tcW w:w="1380" w:type="dxa"/>
            <w:vAlign w:val="bottom"/>
            <w:shd w:val="clear" w:color="auto" w:fill="001C71"/>
          </w:tcPr>
          <w:p>
            <w:pPr>
              <w:jc w:val="right"/>
              <w:ind w:right="108"/>
              <w:spacing w:after="0"/>
              <w:rPr>
                <w:sz w:val="20"/>
                <w:szCs w:val="20"/>
                <w:color w:val="auto"/>
              </w:rPr>
            </w:pPr>
            <w:r>
              <w:rPr>
                <w:rFonts w:ascii="Arial" w:cs="Arial" w:eastAsia="Arial" w:hAnsi="Arial"/>
                <w:sz w:val="14"/>
                <w:szCs w:val="14"/>
                <w:b w:val="1"/>
                <w:bCs w:val="1"/>
                <w:color w:val="FFFFFF"/>
              </w:rPr>
              <w:t>Non-Equity</w:t>
            </w:r>
          </w:p>
        </w:tc>
        <w:tc>
          <w:tcPr>
            <w:tcW w:w="1360" w:type="dxa"/>
            <w:vAlign w:val="bottom"/>
            <w:shd w:val="clear" w:color="auto" w:fill="001C71"/>
          </w:tcPr>
          <w:p>
            <w:pPr>
              <w:spacing w:after="0"/>
              <w:rPr>
                <w:sz w:val="16"/>
                <w:szCs w:val="16"/>
                <w:color w:val="auto"/>
              </w:rPr>
            </w:pPr>
          </w:p>
        </w:tc>
        <w:tc>
          <w:tcPr>
            <w:tcW w:w="880" w:type="dxa"/>
            <w:vAlign w:val="bottom"/>
            <w:shd w:val="clear" w:color="auto" w:fill="001C71"/>
          </w:tcPr>
          <w:p>
            <w:pPr>
              <w:spacing w:after="0"/>
              <w:rPr>
                <w:sz w:val="16"/>
                <w:szCs w:val="16"/>
                <w:color w:val="auto"/>
              </w:rPr>
            </w:pPr>
          </w:p>
        </w:tc>
        <w:tc>
          <w:tcPr>
            <w:tcW w:w="100" w:type="dxa"/>
            <w:vAlign w:val="bottom"/>
            <w:shd w:val="clear" w:color="auto" w:fill="001C71"/>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 w:type="dxa"/>
            <w:vAlign w:val="bottom"/>
            <w:shd w:val="clear" w:color="auto" w:fill="001C71"/>
          </w:tcPr>
          <w:p>
            <w:pPr>
              <w:spacing w:after="0"/>
              <w:rPr>
                <w:sz w:val="15"/>
                <w:szCs w:val="15"/>
                <w:color w:val="auto"/>
              </w:rPr>
            </w:pPr>
          </w:p>
        </w:tc>
        <w:tc>
          <w:tcPr>
            <w:tcW w:w="2860" w:type="dxa"/>
            <w:vAlign w:val="bottom"/>
            <w:shd w:val="clear" w:color="auto" w:fill="001C71"/>
          </w:tcPr>
          <w:p>
            <w:pPr>
              <w:spacing w:after="0"/>
              <w:rPr>
                <w:sz w:val="15"/>
                <w:szCs w:val="15"/>
                <w:color w:val="auto"/>
              </w:rPr>
            </w:pPr>
          </w:p>
        </w:tc>
        <w:tc>
          <w:tcPr>
            <w:tcW w:w="620" w:type="dxa"/>
            <w:vAlign w:val="bottom"/>
            <w:shd w:val="clear" w:color="auto" w:fill="001C71"/>
          </w:tcPr>
          <w:p>
            <w:pPr>
              <w:spacing w:after="0"/>
              <w:rPr>
                <w:sz w:val="15"/>
                <w:szCs w:val="15"/>
                <w:color w:val="auto"/>
              </w:rPr>
            </w:pPr>
          </w:p>
        </w:tc>
        <w:tc>
          <w:tcPr>
            <w:tcW w:w="980" w:type="dxa"/>
            <w:vAlign w:val="bottom"/>
            <w:vMerge w:val="restart"/>
            <w:shd w:val="clear" w:color="auto" w:fill="001C71"/>
          </w:tcPr>
          <w:p>
            <w:pPr>
              <w:jc w:val="right"/>
              <w:ind w:right="68"/>
              <w:spacing w:after="0"/>
              <w:rPr>
                <w:sz w:val="20"/>
                <w:szCs w:val="20"/>
                <w:color w:val="auto"/>
              </w:rPr>
            </w:pPr>
            <w:r>
              <w:rPr>
                <w:rFonts w:ascii="Arial" w:cs="Arial" w:eastAsia="Arial" w:hAnsi="Arial"/>
                <w:sz w:val="14"/>
                <w:szCs w:val="14"/>
                <w:b w:val="1"/>
                <w:bCs w:val="1"/>
                <w:color w:val="FFFFFF"/>
              </w:rPr>
              <w:t>Salary</w:t>
            </w:r>
          </w:p>
        </w:tc>
        <w:tc>
          <w:tcPr>
            <w:tcW w:w="720" w:type="dxa"/>
            <w:vAlign w:val="bottom"/>
            <w:vMerge w:val="restart"/>
            <w:shd w:val="clear" w:color="auto" w:fill="001C71"/>
          </w:tcPr>
          <w:p>
            <w:pPr>
              <w:jc w:val="right"/>
              <w:spacing w:after="0"/>
              <w:rPr>
                <w:sz w:val="20"/>
                <w:szCs w:val="20"/>
                <w:color w:val="auto"/>
              </w:rPr>
            </w:pPr>
            <w:r>
              <w:rPr>
                <w:rFonts w:ascii="Arial" w:cs="Arial" w:eastAsia="Arial" w:hAnsi="Arial"/>
                <w:sz w:val="14"/>
                <w:szCs w:val="14"/>
                <w:b w:val="1"/>
                <w:bCs w:val="1"/>
                <w:color w:val="FFFFFF"/>
              </w:rPr>
              <w:t>Bonus</w:t>
            </w:r>
          </w:p>
        </w:tc>
        <w:tc>
          <w:tcPr>
            <w:tcW w:w="1180" w:type="dxa"/>
            <w:vAlign w:val="bottom"/>
            <w:vMerge w:val="restart"/>
            <w:shd w:val="clear" w:color="auto" w:fill="001C71"/>
          </w:tcPr>
          <w:p>
            <w:pPr>
              <w:jc w:val="right"/>
              <w:ind w:right="110"/>
              <w:spacing w:after="0"/>
              <w:rPr>
                <w:sz w:val="20"/>
                <w:szCs w:val="20"/>
                <w:color w:val="auto"/>
              </w:rPr>
            </w:pPr>
            <w:r>
              <w:rPr>
                <w:rFonts w:ascii="Arial" w:cs="Arial" w:eastAsia="Arial" w:hAnsi="Arial"/>
                <w:sz w:val="14"/>
                <w:szCs w:val="14"/>
                <w:b w:val="1"/>
                <w:bCs w:val="1"/>
                <w:color w:val="FFFFFF"/>
              </w:rPr>
              <w:t>Stock Awards</w:t>
            </w:r>
          </w:p>
        </w:tc>
        <w:tc>
          <w:tcPr>
            <w:tcW w:w="1080" w:type="dxa"/>
            <w:vAlign w:val="bottom"/>
            <w:shd w:val="clear" w:color="auto" w:fill="001C71"/>
          </w:tcPr>
          <w:p>
            <w:pPr>
              <w:jc w:val="right"/>
              <w:ind w:right="130"/>
              <w:spacing w:after="0"/>
              <w:rPr>
                <w:sz w:val="20"/>
                <w:szCs w:val="20"/>
                <w:color w:val="auto"/>
              </w:rPr>
            </w:pPr>
            <w:r>
              <w:rPr>
                <w:rFonts w:ascii="Arial" w:cs="Arial" w:eastAsia="Arial" w:hAnsi="Arial"/>
                <w:sz w:val="14"/>
                <w:szCs w:val="14"/>
                <w:b w:val="1"/>
                <w:bCs w:val="1"/>
                <w:color w:val="FFFFFF"/>
              </w:rPr>
              <w:t>Option</w:t>
            </w:r>
          </w:p>
        </w:tc>
        <w:tc>
          <w:tcPr>
            <w:tcW w:w="1380" w:type="dxa"/>
            <w:vAlign w:val="bottom"/>
            <w:shd w:val="clear" w:color="auto" w:fill="001C71"/>
          </w:tcPr>
          <w:p>
            <w:pPr>
              <w:jc w:val="right"/>
              <w:ind w:right="108"/>
              <w:spacing w:after="0"/>
              <w:rPr>
                <w:sz w:val="20"/>
                <w:szCs w:val="20"/>
                <w:color w:val="auto"/>
              </w:rPr>
            </w:pPr>
            <w:r>
              <w:rPr>
                <w:rFonts w:ascii="Arial" w:cs="Arial" w:eastAsia="Arial" w:hAnsi="Arial"/>
                <w:sz w:val="14"/>
                <w:szCs w:val="14"/>
                <w:b w:val="1"/>
                <w:bCs w:val="1"/>
                <w:color w:val="FFFFFF"/>
              </w:rPr>
              <w:t>Incentive Plan</w:t>
            </w:r>
          </w:p>
        </w:tc>
        <w:tc>
          <w:tcPr>
            <w:tcW w:w="1360" w:type="dxa"/>
            <w:vAlign w:val="bottom"/>
            <w:shd w:val="clear" w:color="auto" w:fill="001C71"/>
          </w:tcPr>
          <w:p>
            <w:pPr>
              <w:jc w:val="right"/>
              <w:ind w:right="90"/>
              <w:spacing w:after="0"/>
              <w:rPr>
                <w:sz w:val="20"/>
                <w:szCs w:val="20"/>
                <w:color w:val="auto"/>
              </w:rPr>
            </w:pPr>
            <w:r>
              <w:rPr>
                <w:rFonts w:ascii="Arial" w:cs="Arial" w:eastAsia="Arial" w:hAnsi="Arial"/>
                <w:sz w:val="14"/>
                <w:szCs w:val="14"/>
                <w:b w:val="1"/>
                <w:bCs w:val="1"/>
                <w:color w:val="FFFFFF"/>
              </w:rPr>
              <w:t>All Other</w:t>
            </w:r>
          </w:p>
        </w:tc>
        <w:tc>
          <w:tcPr>
            <w:tcW w:w="980" w:type="dxa"/>
            <w:vAlign w:val="bottom"/>
            <w:gridSpan w:val="2"/>
            <w:vMerge w:val="restart"/>
            <w:shd w:val="clear" w:color="auto" w:fill="001C71"/>
          </w:tcPr>
          <w:p>
            <w:pPr>
              <w:ind w:left="54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0"/>
        </w:trPr>
        <w:tc>
          <w:tcPr>
            <w:tcW w:w="80" w:type="dxa"/>
            <w:vAlign w:val="bottom"/>
            <w:shd w:val="clear" w:color="auto" w:fill="001C71"/>
          </w:tcPr>
          <w:p>
            <w:pPr>
              <w:spacing w:after="0"/>
              <w:rPr>
                <w:sz w:val="13"/>
                <w:szCs w:val="13"/>
                <w:color w:val="auto"/>
              </w:rPr>
            </w:pPr>
          </w:p>
        </w:tc>
        <w:tc>
          <w:tcPr>
            <w:tcW w:w="2860" w:type="dxa"/>
            <w:vAlign w:val="bottom"/>
            <w:shd w:val="clear" w:color="auto" w:fill="001C71"/>
          </w:tcPr>
          <w:p>
            <w:pPr>
              <w:spacing w:after="0"/>
              <w:rPr>
                <w:sz w:val="13"/>
                <w:szCs w:val="13"/>
                <w:color w:val="auto"/>
              </w:rPr>
            </w:pPr>
          </w:p>
        </w:tc>
        <w:tc>
          <w:tcPr>
            <w:tcW w:w="620" w:type="dxa"/>
            <w:vAlign w:val="bottom"/>
            <w:shd w:val="clear" w:color="auto" w:fill="001C71"/>
          </w:tcPr>
          <w:p>
            <w:pPr>
              <w:spacing w:after="0"/>
              <w:rPr>
                <w:sz w:val="13"/>
                <w:szCs w:val="13"/>
                <w:color w:val="auto"/>
              </w:rPr>
            </w:pPr>
          </w:p>
        </w:tc>
        <w:tc>
          <w:tcPr>
            <w:tcW w:w="980" w:type="dxa"/>
            <w:vAlign w:val="bottom"/>
            <w:vMerge w:val="continue"/>
            <w:shd w:val="clear" w:color="auto" w:fill="001C71"/>
          </w:tcPr>
          <w:p>
            <w:pPr>
              <w:spacing w:after="0"/>
              <w:rPr>
                <w:sz w:val="13"/>
                <w:szCs w:val="13"/>
                <w:color w:val="auto"/>
              </w:rPr>
            </w:pPr>
          </w:p>
        </w:tc>
        <w:tc>
          <w:tcPr>
            <w:tcW w:w="720" w:type="dxa"/>
            <w:vAlign w:val="bottom"/>
            <w:vMerge w:val="continue"/>
            <w:shd w:val="clear" w:color="auto" w:fill="001C71"/>
          </w:tcPr>
          <w:p>
            <w:pPr>
              <w:spacing w:after="0"/>
              <w:rPr>
                <w:sz w:val="13"/>
                <w:szCs w:val="13"/>
                <w:color w:val="auto"/>
              </w:rPr>
            </w:pPr>
          </w:p>
        </w:tc>
        <w:tc>
          <w:tcPr>
            <w:tcW w:w="1180" w:type="dxa"/>
            <w:vAlign w:val="bottom"/>
            <w:vMerge w:val="continue"/>
            <w:shd w:val="clear" w:color="auto" w:fill="001C71"/>
          </w:tcPr>
          <w:p>
            <w:pPr>
              <w:spacing w:after="0"/>
              <w:rPr>
                <w:sz w:val="13"/>
                <w:szCs w:val="13"/>
                <w:color w:val="auto"/>
              </w:rPr>
            </w:pPr>
          </w:p>
        </w:tc>
        <w:tc>
          <w:tcPr>
            <w:tcW w:w="1080" w:type="dxa"/>
            <w:vAlign w:val="bottom"/>
            <w:shd w:val="clear" w:color="auto" w:fill="001C71"/>
          </w:tcPr>
          <w:p>
            <w:pPr>
              <w:jc w:val="right"/>
              <w:ind w:right="130"/>
              <w:spacing w:after="0" w:line="159" w:lineRule="exact"/>
              <w:rPr>
                <w:sz w:val="20"/>
                <w:szCs w:val="20"/>
                <w:color w:val="auto"/>
              </w:rPr>
            </w:pPr>
            <w:r>
              <w:rPr>
                <w:rFonts w:ascii="Arial" w:cs="Arial" w:eastAsia="Arial" w:hAnsi="Arial"/>
                <w:sz w:val="14"/>
                <w:szCs w:val="14"/>
                <w:b w:val="1"/>
                <w:bCs w:val="1"/>
                <w:color w:val="FFFFFF"/>
              </w:rPr>
              <w:t>Awards</w:t>
            </w:r>
          </w:p>
        </w:tc>
        <w:tc>
          <w:tcPr>
            <w:tcW w:w="1380" w:type="dxa"/>
            <w:vAlign w:val="bottom"/>
            <w:shd w:val="clear" w:color="auto" w:fill="001C71"/>
          </w:tcPr>
          <w:p>
            <w:pPr>
              <w:jc w:val="right"/>
              <w:ind w:right="108"/>
              <w:spacing w:after="0" w:line="159" w:lineRule="exact"/>
              <w:rPr>
                <w:sz w:val="20"/>
                <w:szCs w:val="20"/>
                <w:color w:val="auto"/>
              </w:rPr>
            </w:pPr>
            <w:r>
              <w:rPr>
                <w:rFonts w:ascii="Arial" w:cs="Arial" w:eastAsia="Arial" w:hAnsi="Arial"/>
                <w:sz w:val="14"/>
                <w:szCs w:val="14"/>
                <w:b w:val="1"/>
                <w:bCs w:val="1"/>
                <w:color w:val="FFFFFF"/>
              </w:rPr>
              <w:t>Compensation</w:t>
            </w:r>
          </w:p>
        </w:tc>
        <w:tc>
          <w:tcPr>
            <w:tcW w:w="1360" w:type="dxa"/>
            <w:vAlign w:val="bottom"/>
            <w:shd w:val="clear" w:color="auto" w:fill="001C71"/>
          </w:tcPr>
          <w:p>
            <w:pPr>
              <w:jc w:val="right"/>
              <w:ind w:right="90"/>
              <w:spacing w:after="0" w:line="159" w:lineRule="exact"/>
              <w:rPr>
                <w:sz w:val="20"/>
                <w:szCs w:val="20"/>
                <w:color w:val="auto"/>
              </w:rPr>
            </w:pPr>
            <w:r>
              <w:rPr>
                <w:rFonts w:ascii="Arial" w:cs="Arial" w:eastAsia="Arial" w:hAnsi="Arial"/>
                <w:sz w:val="14"/>
                <w:szCs w:val="14"/>
                <w:b w:val="1"/>
                <w:bCs w:val="1"/>
                <w:color w:val="FFFFFF"/>
              </w:rPr>
              <w:t>Compensation</w:t>
            </w:r>
          </w:p>
        </w:tc>
        <w:tc>
          <w:tcPr>
            <w:tcW w:w="980" w:type="dxa"/>
            <w:vAlign w:val="bottom"/>
            <w:gridSpan w:val="2"/>
            <w:vMerge w:val="continue"/>
            <w:shd w:val="clear" w:color="auto" w:fill="001C71"/>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80" w:type="dxa"/>
            <w:vAlign w:val="bottom"/>
            <w:tcBorders>
              <w:bottom w:val="single" w:sz="8" w:color="001C71"/>
            </w:tcBorders>
            <w:shd w:val="clear" w:color="auto" w:fill="001C71"/>
          </w:tcPr>
          <w:p>
            <w:pPr>
              <w:spacing w:after="0"/>
              <w:rPr>
                <w:sz w:val="23"/>
                <w:szCs w:val="23"/>
                <w:color w:val="auto"/>
              </w:rPr>
            </w:pPr>
          </w:p>
        </w:tc>
        <w:tc>
          <w:tcPr>
            <w:tcW w:w="2860" w:type="dxa"/>
            <w:vAlign w:val="bottom"/>
            <w:tcBorders>
              <w:bottom w:val="single" w:sz="8" w:color="001C71"/>
            </w:tcBorders>
            <w:shd w:val="clear" w:color="auto" w:fill="001C71"/>
          </w:tcPr>
          <w:p>
            <w:pPr>
              <w:ind w:left="20"/>
              <w:spacing w:after="0"/>
              <w:rPr>
                <w:sz w:val="20"/>
                <w:szCs w:val="20"/>
                <w:color w:val="auto"/>
              </w:rPr>
            </w:pPr>
            <w:r>
              <w:rPr>
                <w:rFonts w:ascii="Arial" w:cs="Arial" w:eastAsia="Arial" w:hAnsi="Arial"/>
                <w:sz w:val="14"/>
                <w:szCs w:val="14"/>
                <w:b w:val="1"/>
                <w:bCs w:val="1"/>
                <w:color w:val="FFFFFF"/>
              </w:rPr>
              <w:t>Name and Principal Position</w:t>
            </w:r>
          </w:p>
        </w:tc>
        <w:tc>
          <w:tcPr>
            <w:tcW w:w="620" w:type="dxa"/>
            <w:vAlign w:val="bottom"/>
            <w:tcBorders>
              <w:bottom w:val="single" w:sz="8" w:color="001C71"/>
            </w:tcBorders>
            <w:shd w:val="clear" w:color="auto" w:fill="001C71"/>
          </w:tcPr>
          <w:p>
            <w:pPr>
              <w:ind w:left="100"/>
              <w:spacing w:after="0"/>
              <w:rPr>
                <w:sz w:val="20"/>
                <w:szCs w:val="20"/>
                <w:color w:val="auto"/>
              </w:rPr>
            </w:pPr>
            <w:r>
              <w:rPr>
                <w:rFonts w:ascii="Arial" w:cs="Arial" w:eastAsia="Arial" w:hAnsi="Arial"/>
                <w:sz w:val="14"/>
                <w:szCs w:val="14"/>
                <w:b w:val="1"/>
                <w:bCs w:val="1"/>
                <w:color w:val="FFFFFF"/>
              </w:rPr>
              <w:t>Year</w:t>
            </w:r>
          </w:p>
        </w:tc>
        <w:tc>
          <w:tcPr>
            <w:tcW w:w="980" w:type="dxa"/>
            <w:vAlign w:val="bottom"/>
            <w:tcBorders>
              <w:bottom w:val="single" w:sz="8" w:color="001C71"/>
            </w:tcBorders>
            <w:shd w:val="clear" w:color="auto" w:fill="001C71"/>
          </w:tcPr>
          <w:p>
            <w:pPr>
              <w:jc w:val="right"/>
              <w:ind w:right="6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72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(2)</w:t>
            </w:r>
          </w:p>
        </w:tc>
        <w:tc>
          <w:tcPr>
            <w:tcW w:w="1180" w:type="dxa"/>
            <w:vAlign w:val="bottom"/>
            <w:tcBorders>
              <w:bottom w:val="single" w:sz="8" w:color="001C71"/>
            </w:tcBorders>
            <w:shd w:val="clear" w:color="auto" w:fill="001C71"/>
          </w:tcPr>
          <w:p>
            <w:pPr>
              <w:jc w:val="right"/>
              <w:ind w:right="110"/>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(3)(4)</w:t>
            </w:r>
          </w:p>
        </w:tc>
        <w:tc>
          <w:tcPr>
            <w:tcW w:w="1080" w:type="dxa"/>
            <w:vAlign w:val="bottom"/>
            <w:tcBorders>
              <w:bottom w:val="single" w:sz="8" w:color="001C71"/>
            </w:tcBorders>
            <w:shd w:val="clear" w:color="auto" w:fill="001C71"/>
          </w:tcPr>
          <w:p>
            <w:pPr>
              <w:jc w:val="right"/>
              <w:ind w:right="130"/>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(5)</w:t>
            </w:r>
          </w:p>
        </w:tc>
        <w:tc>
          <w:tcPr>
            <w:tcW w:w="1380" w:type="dxa"/>
            <w:vAlign w:val="bottom"/>
            <w:tcBorders>
              <w:bottom w:val="single" w:sz="8" w:color="001C71"/>
            </w:tcBorders>
            <w:shd w:val="clear" w:color="auto" w:fill="001C71"/>
          </w:tcPr>
          <w:p>
            <w:pPr>
              <w:jc w:val="right"/>
              <w:ind w:right="10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(6)</w:t>
            </w:r>
          </w:p>
        </w:tc>
        <w:tc>
          <w:tcPr>
            <w:tcW w:w="1360" w:type="dxa"/>
            <w:vAlign w:val="bottom"/>
            <w:tcBorders>
              <w:bottom w:val="single" w:sz="8" w:color="001C71"/>
            </w:tcBorders>
            <w:shd w:val="clear" w:color="auto" w:fill="001C71"/>
          </w:tcPr>
          <w:p>
            <w:pPr>
              <w:jc w:val="right"/>
              <w:ind w:right="90"/>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(7)</w:t>
            </w:r>
          </w:p>
        </w:tc>
        <w:tc>
          <w:tcPr>
            <w:tcW w:w="88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001C71"/>
            </w:tcBorders>
            <w:shd w:val="clear" w:color="auto" w:fill="001C71"/>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80" w:type="dxa"/>
            <w:vAlign w:val="bottom"/>
            <w:tcBorders>
              <w:top w:val="single" w:sz="8" w:color="5673B8"/>
            </w:tcBorders>
          </w:tcPr>
          <w:p>
            <w:pPr>
              <w:spacing w:after="0"/>
              <w:rPr>
                <w:sz w:val="22"/>
                <w:szCs w:val="22"/>
                <w:color w:val="auto"/>
              </w:rPr>
            </w:pPr>
          </w:p>
        </w:tc>
        <w:tc>
          <w:tcPr>
            <w:tcW w:w="2860" w:type="dxa"/>
            <w:vAlign w:val="bottom"/>
            <w:tcBorders>
              <w:top w:val="single" w:sz="8" w:color="5673B8"/>
            </w:tcBorders>
          </w:tcPr>
          <w:p>
            <w:pPr>
              <w:spacing w:after="0"/>
              <w:rPr>
                <w:sz w:val="22"/>
                <w:szCs w:val="22"/>
                <w:color w:val="auto"/>
              </w:rPr>
            </w:pPr>
          </w:p>
        </w:tc>
        <w:tc>
          <w:tcPr>
            <w:tcW w:w="620" w:type="dxa"/>
            <w:vAlign w:val="bottom"/>
          </w:tcPr>
          <w:p>
            <w:pPr>
              <w:ind w:left="100"/>
              <w:spacing w:after="0"/>
              <w:rPr>
                <w:sz w:val="20"/>
                <w:szCs w:val="20"/>
                <w:color w:val="auto"/>
              </w:rPr>
            </w:pPr>
            <w:r>
              <w:rPr>
                <w:rFonts w:ascii="Arial" w:cs="Arial" w:eastAsia="Arial" w:hAnsi="Arial"/>
                <w:sz w:val="14"/>
                <w:szCs w:val="14"/>
                <w:color w:val="auto"/>
              </w:rPr>
              <w:t>2025</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1,003,269</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0"/>
              <w:spacing w:after="0"/>
              <w:rPr>
                <w:sz w:val="20"/>
                <w:szCs w:val="20"/>
                <w:color w:val="auto"/>
              </w:rPr>
            </w:pPr>
            <w:r>
              <w:rPr>
                <w:rFonts w:ascii="Arial" w:cs="Arial" w:eastAsia="Arial" w:hAnsi="Arial"/>
                <w:sz w:val="14"/>
                <w:szCs w:val="14"/>
                <w:color w:val="auto"/>
              </w:rPr>
              <w:t>16,138,433</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1,980,000</w:t>
            </w:r>
          </w:p>
        </w:tc>
        <w:tc>
          <w:tcPr>
            <w:tcW w:w="1360" w:type="dxa"/>
            <w:vAlign w:val="bottom"/>
          </w:tcPr>
          <w:p>
            <w:pPr>
              <w:jc w:val="right"/>
              <w:ind w:right="90"/>
              <w:spacing w:after="0"/>
              <w:rPr>
                <w:sz w:val="20"/>
                <w:szCs w:val="20"/>
                <w:color w:val="auto"/>
              </w:rPr>
            </w:pPr>
            <w:r>
              <w:rPr>
                <w:rFonts w:ascii="Arial" w:cs="Arial" w:eastAsia="Arial" w:hAnsi="Arial"/>
                <w:sz w:val="14"/>
                <w:szCs w:val="14"/>
                <w:color w:val="auto"/>
              </w:rPr>
              <w:t>29,856</w:t>
            </w:r>
          </w:p>
        </w:tc>
        <w:tc>
          <w:tcPr>
            <w:tcW w:w="880" w:type="dxa"/>
            <w:vAlign w:val="bottom"/>
          </w:tcPr>
          <w:p>
            <w:pPr>
              <w:jc w:val="right"/>
              <w:spacing w:after="0"/>
              <w:rPr>
                <w:sz w:val="20"/>
                <w:szCs w:val="20"/>
                <w:color w:val="auto"/>
              </w:rPr>
            </w:pPr>
            <w:r>
              <w:rPr>
                <w:rFonts w:ascii="Arial" w:cs="Arial" w:eastAsia="Arial" w:hAnsi="Arial"/>
                <w:sz w:val="14"/>
                <w:szCs w:val="14"/>
                <w:color w:val="auto"/>
              </w:rPr>
              <w:t>19,151,558</w:t>
            </w:r>
          </w:p>
        </w:tc>
        <w:tc>
          <w:tcPr>
            <w:tcW w:w="100" w:type="dxa"/>
            <w:vAlign w:val="bottom"/>
            <w:tcBorders>
              <w:top w:val="single" w:sz="8" w:color="5673B8"/>
            </w:tcBorders>
          </w:tcPr>
          <w:p>
            <w:pPr>
              <w:spacing w:after="0"/>
              <w:rPr>
                <w:sz w:val="22"/>
                <w:szCs w:val="22"/>
                <w:color w:val="auto"/>
              </w:rPr>
            </w:pPr>
          </w:p>
        </w:tc>
        <w:tc>
          <w:tcPr>
            <w:tcW w:w="0" w:type="dxa"/>
            <w:vAlign w:val="bottom"/>
          </w:tcPr>
          <w:p>
            <w:pPr>
              <w:spacing w:after="0"/>
              <w:rPr>
                <w:sz w:val="1"/>
                <w:szCs w:val="1"/>
                <w:color w:val="auto"/>
              </w:rPr>
            </w:pPr>
          </w:p>
        </w:tc>
      </w:tr>
      <w:tr>
        <w:trPr>
          <w:trHeight w:val="89"/>
        </w:trPr>
        <w:tc>
          <w:tcPr>
            <w:tcW w:w="80" w:type="dxa"/>
            <w:vAlign w:val="bottom"/>
          </w:tcPr>
          <w:p>
            <w:pPr>
              <w:spacing w:after="0"/>
              <w:rPr>
                <w:sz w:val="7"/>
                <w:szCs w:val="7"/>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Renee D. Gala</w:t>
            </w:r>
            <w:r>
              <w:rPr>
                <w:rFonts w:ascii="Arial" w:cs="Arial" w:eastAsia="Arial" w:hAnsi="Arial"/>
                <w:sz w:val="18"/>
                <w:szCs w:val="18"/>
                <w:b w:val="1"/>
                <w:bCs w:val="1"/>
                <w:color w:val="852166"/>
                <w:vertAlign w:val="superscript"/>
              </w:rPr>
              <w:t>(8)</w:t>
            </w:r>
          </w:p>
        </w:tc>
        <w:tc>
          <w:tcPr>
            <w:tcW w:w="620" w:type="dxa"/>
            <w:vAlign w:val="bottom"/>
            <w:tcBorders>
              <w:bottom w:val="single" w:sz="8" w:color="5673B8"/>
            </w:tcBorders>
          </w:tcPr>
          <w:p>
            <w:pPr>
              <w:spacing w:after="0"/>
              <w:rPr>
                <w:sz w:val="7"/>
                <w:szCs w:val="7"/>
                <w:color w:val="auto"/>
              </w:rPr>
            </w:pPr>
          </w:p>
        </w:tc>
        <w:tc>
          <w:tcPr>
            <w:tcW w:w="980" w:type="dxa"/>
            <w:vAlign w:val="bottom"/>
            <w:tcBorders>
              <w:bottom w:val="single" w:sz="8" w:color="5673B8"/>
            </w:tcBorders>
          </w:tcPr>
          <w:p>
            <w:pPr>
              <w:spacing w:after="0"/>
              <w:rPr>
                <w:sz w:val="7"/>
                <w:szCs w:val="7"/>
                <w:color w:val="auto"/>
              </w:rPr>
            </w:pPr>
          </w:p>
        </w:tc>
        <w:tc>
          <w:tcPr>
            <w:tcW w:w="720" w:type="dxa"/>
            <w:vAlign w:val="bottom"/>
            <w:tcBorders>
              <w:bottom w:val="single" w:sz="8" w:color="5673B8"/>
            </w:tcBorders>
          </w:tcPr>
          <w:p>
            <w:pPr>
              <w:spacing w:after="0"/>
              <w:rPr>
                <w:sz w:val="7"/>
                <w:szCs w:val="7"/>
                <w:color w:val="auto"/>
              </w:rPr>
            </w:pPr>
          </w:p>
        </w:tc>
        <w:tc>
          <w:tcPr>
            <w:tcW w:w="1180" w:type="dxa"/>
            <w:vAlign w:val="bottom"/>
            <w:tcBorders>
              <w:bottom w:val="single" w:sz="8" w:color="5673B8"/>
            </w:tcBorders>
          </w:tcPr>
          <w:p>
            <w:pPr>
              <w:spacing w:after="0"/>
              <w:rPr>
                <w:sz w:val="7"/>
                <w:szCs w:val="7"/>
                <w:color w:val="auto"/>
              </w:rPr>
            </w:pPr>
          </w:p>
        </w:tc>
        <w:tc>
          <w:tcPr>
            <w:tcW w:w="1080" w:type="dxa"/>
            <w:vAlign w:val="bottom"/>
            <w:tcBorders>
              <w:bottom w:val="single" w:sz="8" w:color="5673B8"/>
            </w:tcBorders>
          </w:tcPr>
          <w:p>
            <w:pPr>
              <w:spacing w:after="0"/>
              <w:rPr>
                <w:sz w:val="7"/>
                <w:szCs w:val="7"/>
                <w:color w:val="auto"/>
              </w:rPr>
            </w:pPr>
          </w:p>
        </w:tc>
        <w:tc>
          <w:tcPr>
            <w:tcW w:w="1380" w:type="dxa"/>
            <w:vAlign w:val="bottom"/>
            <w:tcBorders>
              <w:bottom w:val="single" w:sz="8" w:color="5673B8"/>
            </w:tcBorders>
          </w:tcPr>
          <w:p>
            <w:pPr>
              <w:spacing w:after="0"/>
              <w:rPr>
                <w:sz w:val="7"/>
                <w:szCs w:val="7"/>
                <w:color w:val="auto"/>
              </w:rPr>
            </w:pPr>
          </w:p>
        </w:tc>
        <w:tc>
          <w:tcPr>
            <w:tcW w:w="1360" w:type="dxa"/>
            <w:vAlign w:val="bottom"/>
            <w:tcBorders>
              <w:bottom w:val="single" w:sz="8" w:color="5673B8"/>
            </w:tcBorders>
          </w:tcPr>
          <w:p>
            <w:pPr>
              <w:spacing w:after="0"/>
              <w:rPr>
                <w:sz w:val="7"/>
                <w:szCs w:val="7"/>
                <w:color w:val="auto"/>
              </w:rPr>
            </w:pPr>
          </w:p>
        </w:tc>
        <w:tc>
          <w:tcPr>
            <w:tcW w:w="880" w:type="dxa"/>
            <w:vAlign w:val="bottom"/>
            <w:tcBorders>
              <w:bottom w:val="single" w:sz="8" w:color="5673B8"/>
            </w:tcBorders>
          </w:tcPr>
          <w:p>
            <w:pPr>
              <w:spacing w:after="0"/>
              <w:rPr>
                <w:sz w:val="7"/>
                <w:szCs w:val="7"/>
                <w:color w:val="auto"/>
              </w:rPr>
            </w:pPr>
          </w:p>
        </w:tc>
        <w:tc>
          <w:tcPr>
            <w:tcW w:w="10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2860" w:type="dxa"/>
            <w:vAlign w:val="bottom"/>
            <w:vMerge w:val="continue"/>
          </w:tcPr>
          <w:p>
            <w:pPr>
              <w:spacing w:after="0"/>
              <w:rPr>
                <w:sz w:val="13"/>
                <w:szCs w:val="13"/>
                <w:color w:val="auto"/>
              </w:rPr>
            </w:pPr>
          </w:p>
        </w:tc>
        <w:tc>
          <w:tcPr>
            <w:tcW w:w="620" w:type="dxa"/>
            <w:vAlign w:val="bottom"/>
            <w:vMerge w:val="restart"/>
          </w:tcPr>
          <w:p>
            <w:pPr>
              <w:ind w:left="100"/>
              <w:spacing w:after="0"/>
              <w:rPr>
                <w:sz w:val="20"/>
                <w:szCs w:val="20"/>
                <w:color w:val="auto"/>
              </w:rPr>
            </w:pPr>
            <w:r>
              <w:rPr>
                <w:rFonts w:ascii="Arial" w:cs="Arial" w:eastAsia="Arial" w:hAnsi="Arial"/>
                <w:sz w:val="14"/>
                <w:szCs w:val="14"/>
                <w:color w:val="auto"/>
              </w:rPr>
              <w:t>2024</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824,923</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10"/>
              <w:spacing w:after="0"/>
              <w:rPr>
                <w:sz w:val="20"/>
                <w:szCs w:val="20"/>
                <w:color w:val="auto"/>
              </w:rPr>
            </w:pPr>
            <w:r>
              <w:rPr>
                <w:rFonts w:ascii="Arial" w:cs="Arial" w:eastAsia="Arial" w:hAnsi="Arial"/>
                <w:sz w:val="14"/>
                <w:szCs w:val="14"/>
                <w:color w:val="auto"/>
              </w:rPr>
              <w:t>5,079,392</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108"/>
              <w:spacing w:after="0"/>
              <w:rPr>
                <w:sz w:val="20"/>
                <w:szCs w:val="20"/>
                <w:color w:val="auto"/>
              </w:rPr>
            </w:pPr>
            <w:r>
              <w:rPr>
                <w:rFonts w:ascii="Arial" w:cs="Arial" w:eastAsia="Arial" w:hAnsi="Arial"/>
                <w:sz w:val="14"/>
                <w:szCs w:val="14"/>
                <w:color w:val="auto"/>
              </w:rPr>
              <w:t>697,000</w:t>
            </w:r>
          </w:p>
        </w:tc>
        <w:tc>
          <w:tcPr>
            <w:tcW w:w="1360" w:type="dxa"/>
            <w:vAlign w:val="bottom"/>
            <w:vMerge w:val="restart"/>
          </w:tcPr>
          <w:p>
            <w:pPr>
              <w:jc w:val="right"/>
              <w:ind w:right="90"/>
              <w:spacing w:after="0"/>
              <w:rPr>
                <w:sz w:val="20"/>
                <w:szCs w:val="20"/>
                <w:color w:val="auto"/>
              </w:rPr>
            </w:pPr>
            <w:r>
              <w:rPr>
                <w:rFonts w:ascii="Arial" w:cs="Arial" w:eastAsia="Arial" w:hAnsi="Arial"/>
                <w:sz w:val="14"/>
                <w:szCs w:val="14"/>
                <w:color w:val="auto"/>
              </w:rPr>
              <w:t>27,573</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6,628,888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President, CEO and Director</w:t>
            </w:r>
          </w:p>
        </w:tc>
        <w:tc>
          <w:tcPr>
            <w:tcW w:w="6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8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620" w:type="dxa"/>
            <w:vAlign w:val="bottom"/>
            <w:tcBorders>
              <w:bottom w:val="single" w:sz="8" w:color="5673B8"/>
            </w:tcBorders>
          </w:tcPr>
          <w:p>
            <w:pPr>
              <w:spacing w:after="0"/>
              <w:rPr>
                <w:sz w:val="7"/>
                <w:szCs w:val="7"/>
                <w:color w:val="auto"/>
              </w:rPr>
            </w:pPr>
          </w:p>
        </w:tc>
        <w:tc>
          <w:tcPr>
            <w:tcW w:w="980" w:type="dxa"/>
            <w:vAlign w:val="bottom"/>
            <w:tcBorders>
              <w:bottom w:val="single" w:sz="8" w:color="5673B8"/>
            </w:tcBorders>
          </w:tcPr>
          <w:p>
            <w:pPr>
              <w:spacing w:after="0"/>
              <w:rPr>
                <w:sz w:val="7"/>
                <w:szCs w:val="7"/>
                <w:color w:val="auto"/>
              </w:rPr>
            </w:pPr>
          </w:p>
        </w:tc>
        <w:tc>
          <w:tcPr>
            <w:tcW w:w="720" w:type="dxa"/>
            <w:vAlign w:val="bottom"/>
            <w:tcBorders>
              <w:bottom w:val="single" w:sz="8" w:color="5673B8"/>
            </w:tcBorders>
          </w:tcPr>
          <w:p>
            <w:pPr>
              <w:spacing w:after="0"/>
              <w:rPr>
                <w:sz w:val="7"/>
                <w:szCs w:val="7"/>
                <w:color w:val="auto"/>
              </w:rPr>
            </w:pPr>
          </w:p>
        </w:tc>
        <w:tc>
          <w:tcPr>
            <w:tcW w:w="1180" w:type="dxa"/>
            <w:vAlign w:val="bottom"/>
            <w:tcBorders>
              <w:bottom w:val="single" w:sz="8" w:color="5673B8"/>
            </w:tcBorders>
          </w:tcPr>
          <w:p>
            <w:pPr>
              <w:spacing w:after="0"/>
              <w:rPr>
                <w:sz w:val="7"/>
                <w:szCs w:val="7"/>
                <w:color w:val="auto"/>
              </w:rPr>
            </w:pPr>
          </w:p>
        </w:tc>
        <w:tc>
          <w:tcPr>
            <w:tcW w:w="1080" w:type="dxa"/>
            <w:vAlign w:val="bottom"/>
            <w:tcBorders>
              <w:bottom w:val="single" w:sz="8" w:color="5673B8"/>
            </w:tcBorders>
          </w:tcPr>
          <w:p>
            <w:pPr>
              <w:spacing w:after="0"/>
              <w:rPr>
                <w:sz w:val="7"/>
                <w:szCs w:val="7"/>
                <w:color w:val="auto"/>
              </w:rPr>
            </w:pPr>
          </w:p>
        </w:tc>
        <w:tc>
          <w:tcPr>
            <w:tcW w:w="1380" w:type="dxa"/>
            <w:vAlign w:val="bottom"/>
            <w:tcBorders>
              <w:bottom w:val="single" w:sz="8" w:color="5673B8"/>
            </w:tcBorders>
          </w:tcPr>
          <w:p>
            <w:pPr>
              <w:spacing w:after="0"/>
              <w:rPr>
                <w:sz w:val="7"/>
                <w:szCs w:val="7"/>
                <w:color w:val="auto"/>
              </w:rPr>
            </w:pPr>
          </w:p>
        </w:tc>
        <w:tc>
          <w:tcPr>
            <w:tcW w:w="1360" w:type="dxa"/>
            <w:vAlign w:val="bottom"/>
            <w:tcBorders>
              <w:bottom w:val="single" w:sz="8" w:color="5673B8"/>
            </w:tcBorders>
          </w:tcPr>
          <w:p>
            <w:pPr>
              <w:spacing w:after="0"/>
              <w:rPr>
                <w:sz w:val="7"/>
                <w:szCs w:val="7"/>
                <w:color w:val="auto"/>
              </w:rPr>
            </w:pPr>
          </w:p>
        </w:tc>
        <w:tc>
          <w:tcPr>
            <w:tcW w:w="880" w:type="dxa"/>
            <w:vAlign w:val="bottom"/>
            <w:tcBorders>
              <w:bottom w:val="single" w:sz="8" w:color="5673B8"/>
            </w:tcBorders>
          </w:tcPr>
          <w:p>
            <w:pPr>
              <w:spacing w:after="0"/>
              <w:rPr>
                <w:sz w:val="7"/>
                <w:szCs w:val="7"/>
                <w:color w:val="auto"/>
              </w:rPr>
            </w:pPr>
          </w:p>
        </w:tc>
        <w:tc>
          <w:tcPr>
            <w:tcW w:w="10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620" w:type="dxa"/>
            <w:vAlign w:val="bottom"/>
          </w:tcPr>
          <w:p>
            <w:pPr>
              <w:ind w:left="100"/>
              <w:spacing w:after="0"/>
              <w:rPr>
                <w:sz w:val="20"/>
                <w:szCs w:val="20"/>
                <w:color w:val="auto"/>
              </w:rPr>
            </w:pPr>
            <w:r>
              <w:rPr>
                <w:rFonts w:ascii="Arial" w:cs="Arial" w:eastAsia="Arial" w:hAnsi="Arial"/>
                <w:sz w:val="14"/>
                <w:szCs w:val="14"/>
                <w:color w:val="auto"/>
              </w:rPr>
              <w:t>2023</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767,719</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0"/>
              <w:spacing w:after="0"/>
              <w:rPr>
                <w:sz w:val="20"/>
                <w:szCs w:val="20"/>
                <w:color w:val="auto"/>
              </w:rPr>
            </w:pPr>
            <w:r>
              <w:rPr>
                <w:rFonts w:ascii="Arial" w:cs="Arial" w:eastAsia="Arial" w:hAnsi="Arial"/>
                <w:sz w:val="14"/>
                <w:szCs w:val="14"/>
                <w:color w:val="auto"/>
              </w:rPr>
              <w:t>4,077,397</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570,000</w:t>
            </w:r>
          </w:p>
        </w:tc>
        <w:tc>
          <w:tcPr>
            <w:tcW w:w="1360" w:type="dxa"/>
            <w:vAlign w:val="bottom"/>
          </w:tcPr>
          <w:p>
            <w:pPr>
              <w:jc w:val="right"/>
              <w:ind w:right="90"/>
              <w:spacing w:after="0"/>
              <w:rPr>
                <w:sz w:val="20"/>
                <w:szCs w:val="20"/>
                <w:color w:val="auto"/>
              </w:rPr>
            </w:pPr>
            <w:r>
              <w:rPr>
                <w:rFonts w:ascii="Arial" w:cs="Arial" w:eastAsia="Arial" w:hAnsi="Arial"/>
                <w:sz w:val="14"/>
                <w:szCs w:val="14"/>
                <w:color w:val="auto"/>
              </w:rPr>
              <w:t>19,272</w:t>
            </w:r>
          </w:p>
        </w:tc>
        <w:tc>
          <w:tcPr>
            <w:tcW w:w="880" w:type="dxa"/>
            <w:vAlign w:val="bottom"/>
          </w:tcPr>
          <w:p>
            <w:pPr>
              <w:jc w:val="right"/>
              <w:spacing w:after="0"/>
              <w:rPr>
                <w:sz w:val="20"/>
                <w:szCs w:val="20"/>
                <w:color w:val="auto"/>
              </w:rPr>
            </w:pPr>
            <w:r>
              <w:rPr>
                <w:rFonts w:ascii="Arial" w:cs="Arial" w:eastAsia="Arial" w:hAnsi="Arial"/>
                <w:sz w:val="14"/>
                <w:szCs w:val="14"/>
                <w:color w:val="auto"/>
              </w:rPr>
              <w:t>5,434,388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5673B8"/>
            </w:tcBorders>
          </w:tcPr>
          <w:p>
            <w:pPr>
              <w:spacing w:after="0"/>
              <w:rPr>
                <w:sz w:val="7"/>
                <w:szCs w:val="7"/>
                <w:color w:val="auto"/>
              </w:rPr>
            </w:pPr>
          </w:p>
        </w:tc>
        <w:tc>
          <w:tcPr>
            <w:tcW w:w="2860" w:type="dxa"/>
            <w:vAlign w:val="bottom"/>
            <w:tcBorders>
              <w:bottom w:val="single" w:sz="8" w:color="5673B8"/>
            </w:tcBorders>
          </w:tcPr>
          <w:p>
            <w:pPr>
              <w:spacing w:after="0"/>
              <w:rPr>
                <w:sz w:val="7"/>
                <w:szCs w:val="7"/>
                <w:color w:val="auto"/>
              </w:rPr>
            </w:pPr>
          </w:p>
        </w:tc>
        <w:tc>
          <w:tcPr>
            <w:tcW w:w="620" w:type="dxa"/>
            <w:vAlign w:val="bottom"/>
            <w:tcBorders>
              <w:bottom w:val="single" w:sz="8" w:color="5673B8"/>
            </w:tcBorders>
          </w:tcPr>
          <w:p>
            <w:pPr>
              <w:spacing w:after="0"/>
              <w:rPr>
                <w:sz w:val="7"/>
                <w:szCs w:val="7"/>
                <w:color w:val="auto"/>
              </w:rPr>
            </w:pPr>
          </w:p>
        </w:tc>
        <w:tc>
          <w:tcPr>
            <w:tcW w:w="980" w:type="dxa"/>
            <w:vAlign w:val="bottom"/>
            <w:tcBorders>
              <w:bottom w:val="single" w:sz="8" w:color="5673B8"/>
            </w:tcBorders>
          </w:tcPr>
          <w:p>
            <w:pPr>
              <w:spacing w:after="0"/>
              <w:rPr>
                <w:sz w:val="7"/>
                <w:szCs w:val="7"/>
                <w:color w:val="auto"/>
              </w:rPr>
            </w:pPr>
          </w:p>
        </w:tc>
        <w:tc>
          <w:tcPr>
            <w:tcW w:w="720" w:type="dxa"/>
            <w:vAlign w:val="bottom"/>
            <w:tcBorders>
              <w:bottom w:val="single" w:sz="8" w:color="5673B8"/>
            </w:tcBorders>
          </w:tcPr>
          <w:p>
            <w:pPr>
              <w:spacing w:after="0"/>
              <w:rPr>
                <w:sz w:val="7"/>
                <w:szCs w:val="7"/>
                <w:color w:val="auto"/>
              </w:rPr>
            </w:pPr>
          </w:p>
        </w:tc>
        <w:tc>
          <w:tcPr>
            <w:tcW w:w="1180" w:type="dxa"/>
            <w:vAlign w:val="bottom"/>
            <w:tcBorders>
              <w:bottom w:val="single" w:sz="8" w:color="5673B8"/>
            </w:tcBorders>
          </w:tcPr>
          <w:p>
            <w:pPr>
              <w:spacing w:after="0"/>
              <w:rPr>
                <w:sz w:val="7"/>
                <w:szCs w:val="7"/>
                <w:color w:val="auto"/>
              </w:rPr>
            </w:pPr>
          </w:p>
        </w:tc>
        <w:tc>
          <w:tcPr>
            <w:tcW w:w="1080" w:type="dxa"/>
            <w:vAlign w:val="bottom"/>
            <w:tcBorders>
              <w:bottom w:val="single" w:sz="8" w:color="5673B8"/>
            </w:tcBorders>
          </w:tcPr>
          <w:p>
            <w:pPr>
              <w:spacing w:after="0"/>
              <w:rPr>
                <w:sz w:val="7"/>
                <w:szCs w:val="7"/>
                <w:color w:val="auto"/>
              </w:rPr>
            </w:pPr>
          </w:p>
        </w:tc>
        <w:tc>
          <w:tcPr>
            <w:tcW w:w="1380" w:type="dxa"/>
            <w:vAlign w:val="bottom"/>
            <w:tcBorders>
              <w:bottom w:val="single" w:sz="8" w:color="5673B8"/>
            </w:tcBorders>
          </w:tcPr>
          <w:p>
            <w:pPr>
              <w:spacing w:after="0"/>
              <w:rPr>
                <w:sz w:val="7"/>
                <w:szCs w:val="7"/>
                <w:color w:val="auto"/>
              </w:rPr>
            </w:pPr>
          </w:p>
        </w:tc>
        <w:tc>
          <w:tcPr>
            <w:tcW w:w="1360" w:type="dxa"/>
            <w:vAlign w:val="bottom"/>
            <w:tcBorders>
              <w:bottom w:val="single" w:sz="8" w:color="5673B8"/>
            </w:tcBorders>
          </w:tcPr>
          <w:p>
            <w:pPr>
              <w:spacing w:after="0"/>
              <w:rPr>
                <w:sz w:val="7"/>
                <w:szCs w:val="7"/>
                <w:color w:val="auto"/>
              </w:rPr>
            </w:pPr>
          </w:p>
        </w:tc>
        <w:tc>
          <w:tcPr>
            <w:tcW w:w="880" w:type="dxa"/>
            <w:vAlign w:val="bottom"/>
            <w:tcBorders>
              <w:bottom w:val="single" w:sz="8" w:color="5673B8"/>
            </w:tcBorders>
          </w:tcPr>
          <w:p>
            <w:pPr>
              <w:spacing w:after="0"/>
              <w:rPr>
                <w:sz w:val="7"/>
                <w:szCs w:val="7"/>
                <w:color w:val="auto"/>
              </w:rPr>
            </w:pPr>
          </w:p>
        </w:tc>
        <w:tc>
          <w:tcPr>
            <w:tcW w:w="10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80" w:type="dxa"/>
            <w:vAlign w:val="bottom"/>
          </w:tcPr>
          <w:p>
            <w:pPr>
              <w:spacing w:after="0"/>
              <w:rPr>
                <w:sz w:val="24"/>
                <w:szCs w:val="24"/>
                <w:color w:val="auto"/>
              </w:rPr>
            </w:pPr>
          </w:p>
        </w:tc>
        <w:tc>
          <w:tcPr>
            <w:tcW w:w="2860" w:type="dxa"/>
            <w:vAlign w:val="bottom"/>
          </w:tcPr>
          <w:p>
            <w:pPr>
              <w:ind w:left="20"/>
              <w:spacing w:after="0"/>
              <w:rPr>
                <w:sz w:val="20"/>
                <w:szCs w:val="20"/>
                <w:color w:val="auto"/>
              </w:rPr>
            </w:pPr>
            <w:r>
              <w:rPr>
                <w:rFonts w:ascii="Arial" w:cs="Arial" w:eastAsia="Arial" w:hAnsi="Arial"/>
                <w:sz w:val="14"/>
                <w:szCs w:val="14"/>
                <w:b w:val="1"/>
                <w:bCs w:val="1"/>
                <w:color w:val="852166"/>
              </w:rPr>
              <w:t>Philip L. Johnson</w:t>
            </w:r>
            <w:r>
              <w:rPr>
                <w:rFonts w:ascii="Arial" w:cs="Arial" w:eastAsia="Arial" w:hAnsi="Arial"/>
                <w:sz w:val="18"/>
                <w:szCs w:val="18"/>
                <w:b w:val="1"/>
                <w:bCs w:val="1"/>
                <w:color w:val="852166"/>
                <w:vertAlign w:val="superscript"/>
              </w:rPr>
              <w:t>(9)</w:t>
            </w:r>
          </w:p>
        </w:tc>
        <w:tc>
          <w:tcPr>
            <w:tcW w:w="6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2025</w:t>
            </w:r>
          </w:p>
        </w:tc>
        <w:tc>
          <w:tcPr>
            <w:tcW w:w="980" w:type="dxa"/>
            <w:vAlign w:val="bottom"/>
            <w:tcBorders>
              <w:bottom w:val="single" w:sz="8" w:color="5673B8"/>
            </w:tcBorders>
          </w:tcPr>
          <w:p>
            <w:pPr>
              <w:jc w:val="right"/>
              <w:ind w:right="68"/>
              <w:spacing w:after="0"/>
              <w:rPr>
                <w:sz w:val="20"/>
                <w:szCs w:val="20"/>
                <w:color w:val="auto"/>
              </w:rPr>
            </w:pPr>
            <w:r>
              <w:rPr>
                <w:rFonts w:ascii="Arial" w:cs="Arial" w:eastAsia="Arial" w:hAnsi="Arial"/>
                <w:sz w:val="14"/>
                <w:szCs w:val="14"/>
                <w:color w:val="auto"/>
              </w:rPr>
              <w:t>741,346</w:t>
            </w:r>
          </w:p>
        </w:tc>
        <w:tc>
          <w:tcPr>
            <w:tcW w:w="72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5673B8"/>
            </w:tcBorders>
          </w:tcPr>
          <w:p>
            <w:pPr>
              <w:jc w:val="right"/>
              <w:ind w:right="110"/>
              <w:spacing w:after="0"/>
              <w:rPr>
                <w:sz w:val="20"/>
                <w:szCs w:val="20"/>
                <w:color w:val="auto"/>
              </w:rPr>
            </w:pPr>
            <w:r>
              <w:rPr>
                <w:rFonts w:ascii="Arial" w:cs="Arial" w:eastAsia="Arial" w:hAnsi="Arial"/>
                <w:sz w:val="14"/>
                <w:szCs w:val="14"/>
                <w:color w:val="auto"/>
              </w:rPr>
              <w:t>6,046,903</w:t>
            </w:r>
          </w:p>
        </w:tc>
        <w:tc>
          <w:tcPr>
            <w:tcW w:w="1080" w:type="dxa"/>
            <w:vAlign w:val="bottom"/>
            <w:tcBorders>
              <w:bottom w:val="single" w:sz="8" w:color="5673B8"/>
            </w:tcBorders>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5673B8"/>
            </w:tcBorders>
          </w:tcPr>
          <w:p>
            <w:pPr>
              <w:jc w:val="right"/>
              <w:ind w:right="108"/>
              <w:spacing w:after="0"/>
              <w:rPr>
                <w:sz w:val="20"/>
                <w:szCs w:val="20"/>
                <w:color w:val="auto"/>
              </w:rPr>
            </w:pPr>
            <w:r>
              <w:rPr>
                <w:rFonts w:ascii="Arial" w:cs="Arial" w:eastAsia="Arial" w:hAnsi="Arial"/>
                <w:sz w:val="14"/>
                <w:szCs w:val="14"/>
                <w:color w:val="auto"/>
              </w:rPr>
              <w:t>730,000</w:t>
            </w:r>
          </w:p>
        </w:tc>
        <w:tc>
          <w:tcPr>
            <w:tcW w:w="1360" w:type="dxa"/>
            <w:vAlign w:val="bottom"/>
            <w:tcBorders>
              <w:bottom w:val="single" w:sz="8" w:color="5673B8"/>
            </w:tcBorders>
          </w:tcPr>
          <w:p>
            <w:pPr>
              <w:jc w:val="right"/>
              <w:ind w:right="90"/>
              <w:spacing w:after="0"/>
              <w:rPr>
                <w:sz w:val="20"/>
                <w:szCs w:val="20"/>
                <w:color w:val="auto"/>
              </w:rPr>
            </w:pPr>
            <w:r>
              <w:rPr>
                <w:rFonts w:ascii="Arial" w:cs="Arial" w:eastAsia="Arial" w:hAnsi="Arial"/>
                <w:sz w:val="14"/>
                <w:szCs w:val="14"/>
                <w:color w:val="auto"/>
              </w:rPr>
              <w:t>26,224</w:t>
            </w:r>
          </w:p>
        </w:tc>
        <w:tc>
          <w:tcPr>
            <w:tcW w:w="88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7,544,473</w:t>
            </w:r>
          </w:p>
        </w:tc>
        <w:tc>
          <w:tcPr>
            <w:tcW w:w="100" w:type="dxa"/>
            <w:vAlign w:val="bottom"/>
            <w:tcBorders>
              <w:bottom w:val="single" w:sz="8" w:color="5673B8"/>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Executive Vice President and CFO</w:t>
            </w:r>
          </w:p>
        </w:tc>
        <w:tc>
          <w:tcPr>
            <w:tcW w:w="620" w:type="dxa"/>
            <w:vAlign w:val="bottom"/>
            <w:vMerge w:val="restart"/>
          </w:tcPr>
          <w:p>
            <w:pPr>
              <w:ind w:left="100"/>
              <w:spacing w:after="0"/>
              <w:rPr>
                <w:sz w:val="20"/>
                <w:szCs w:val="20"/>
                <w:color w:val="auto"/>
              </w:rPr>
            </w:pPr>
            <w:r>
              <w:rPr>
                <w:rFonts w:ascii="Arial" w:cs="Arial" w:eastAsia="Arial" w:hAnsi="Arial"/>
                <w:sz w:val="14"/>
                <w:szCs w:val="14"/>
                <w:color w:val="auto"/>
              </w:rPr>
              <w:t>2024</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581,539</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150,000</w:t>
            </w:r>
          </w:p>
        </w:tc>
        <w:tc>
          <w:tcPr>
            <w:tcW w:w="1180" w:type="dxa"/>
            <w:vAlign w:val="bottom"/>
            <w:vMerge w:val="restart"/>
          </w:tcPr>
          <w:p>
            <w:pPr>
              <w:jc w:val="right"/>
              <w:ind w:right="110"/>
              <w:spacing w:after="0"/>
              <w:rPr>
                <w:sz w:val="20"/>
                <w:szCs w:val="20"/>
                <w:color w:val="auto"/>
              </w:rPr>
            </w:pPr>
            <w:r>
              <w:rPr>
                <w:rFonts w:ascii="Arial" w:cs="Arial" w:eastAsia="Arial" w:hAnsi="Arial"/>
                <w:sz w:val="14"/>
                <w:szCs w:val="14"/>
                <w:color w:val="auto"/>
              </w:rPr>
              <w:t>4,063,313</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108"/>
              <w:spacing w:after="0"/>
              <w:rPr>
                <w:sz w:val="20"/>
                <w:szCs w:val="20"/>
                <w:color w:val="auto"/>
              </w:rPr>
            </w:pPr>
            <w:r>
              <w:rPr>
                <w:rFonts w:ascii="Arial" w:cs="Arial" w:eastAsia="Arial" w:hAnsi="Arial"/>
                <w:sz w:val="14"/>
                <w:szCs w:val="14"/>
                <w:color w:val="auto"/>
              </w:rPr>
              <w:t>427,000</w:t>
            </w:r>
          </w:p>
        </w:tc>
        <w:tc>
          <w:tcPr>
            <w:tcW w:w="1360" w:type="dxa"/>
            <w:vAlign w:val="bottom"/>
            <w:vMerge w:val="restart"/>
          </w:tcPr>
          <w:p>
            <w:pPr>
              <w:jc w:val="right"/>
              <w:ind w:right="90"/>
              <w:spacing w:after="0"/>
              <w:rPr>
                <w:sz w:val="20"/>
                <w:szCs w:val="20"/>
                <w:color w:val="auto"/>
              </w:rPr>
            </w:pPr>
            <w:r>
              <w:rPr>
                <w:rFonts w:ascii="Arial" w:cs="Arial" w:eastAsia="Arial" w:hAnsi="Arial"/>
                <w:sz w:val="14"/>
                <w:szCs w:val="14"/>
                <w:color w:val="auto"/>
              </w:rPr>
              <w:t>21,593</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5,243,445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5673B8"/>
            </w:tcBorders>
          </w:tcPr>
          <w:p>
            <w:pPr>
              <w:spacing w:after="0"/>
              <w:rPr>
                <w:sz w:val="5"/>
                <w:szCs w:val="5"/>
                <w:color w:val="auto"/>
              </w:rPr>
            </w:pPr>
          </w:p>
        </w:tc>
        <w:tc>
          <w:tcPr>
            <w:tcW w:w="2860" w:type="dxa"/>
            <w:vAlign w:val="bottom"/>
            <w:tcBorders>
              <w:bottom w:val="single" w:sz="8" w:color="5673B8"/>
            </w:tcBorders>
          </w:tcPr>
          <w:p>
            <w:pPr>
              <w:spacing w:after="0"/>
              <w:rPr>
                <w:sz w:val="5"/>
                <w:szCs w:val="5"/>
                <w:color w:val="auto"/>
              </w:rPr>
            </w:pPr>
          </w:p>
        </w:tc>
        <w:tc>
          <w:tcPr>
            <w:tcW w:w="620" w:type="dxa"/>
            <w:vAlign w:val="bottom"/>
            <w:tcBorders>
              <w:bottom w:val="single" w:sz="8" w:color="5673B8"/>
            </w:tcBorders>
          </w:tcPr>
          <w:p>
            <w:pPr>
              <w:spacing w:after="0"/>
              <w:rPr>
                <w:sz w:val="5"/>
                <w:szCs w:val="5"/>
                <w:color w:val="auto"/>
              </w:rPr>
            </w:pPr>
          </w:p>
        </w:tc>
        <w:tc>
          <w:tcPr>
            <w:tcW w:w="980" w:type="dxa"/>
            <w:vAlign w:val="bottom"/>
            <w:tcBorders>
              <w:bottom w:val="single" w:sz="8" w:color="5673B8"/>
            </w:tcBorders>
          </w:tcPr>
          <w:p>
            <w:pPr>
              <w:spacing w:after="0"/>
              <w:rPr>
                <w:sz w:val="5"/>
                <w:szCs w:val="5"/>
                <w:color w:val="auto"/>
              </w:rPr>
            </w:pPr>
          </w:p>
        </w:tc>
        <w:tc>
          <w:tcPr>
            <w:tcW w:w="720" w:type="dxa"/>
            <w:vAlign w:val="bottom"/>
            <w:tcBorders>
              <w:bottom w:val="single" w:sz="8" w:color="5673B8"/>
            </w:tcBorders>
          </w:tcPr>
          <w:p>
            <w:pPr>
              <w:spacing w:after="0"/>
              <w:rPr>
                <w:sz w:val="5"/>
                <w:szCs w:val="5"/>
                <w:color w:val="auto"/>
              </w:rPr>
            </w:pPr>
          </w:p>
        </w:tc>
        <w:tc>
          <w:tcPr>
            <w:tcW w:w="1180" w:type="dxa"/>
            <w:vAlign w:val="bottom"/>
            <w:tcBorders>
              <w:bottom w:val="single" w:sz="8" w:color="5673B8"/>
            </w:tcBorders>
          </w:tcPr>
          <w:p>
            <w:pPr>
              <w:spacing w:after="0"/>
              <w:rPr>
                <w:sz w:val="5"/>
                <w:szCs w:val="5"/>
                <w:color w:val="auto"/>
              </w:rPr>
            </w:pPr>
          </w:p>
        </w:tc>
        <w:tc>
          <w:tcPr>
            <w:tcW w:w="1080" w:type="dxa"/>
            <w:vAlign w:val="bottom"/>
            <w:tcBorders>
              <w:bottom w:val="single" w:sz="8" w:color="5673B8"/>
            </w:tcBorders>
          </w:tcPr>
          <w:p>
            <w:pPr>
              <w:spacing w:after="0"/>
              <w:rPr>
                <w:sz w:val="5"/>
                <w:szCs w:val="5"/>
                <w:color w:val="auto"/>
              </w:rPr>
            </w:pPr>
          </w:p>
        </w:tc>
        <w:tc>
          <w:tcPr>
            <w:tcW w:w="1380" w:type="dxa"/>
            <w:vAlign w:val="bottom"/>
            <w:tcBorders>
              <w:bottom w:val="single" w:sz="8" w:color="5673B8"/>
            </w:tcBorders>
          </w:tcPr>
          <w:p>
            <w:pPr>
              <w:spacing w:after="0"/>
              <w:rPr>
                <w:sz w:val="5"/>
                <w:szCs w:val="5"/>
                <w:color w:val="auto"/>
              </w:rPr>
            </w:pPr>
          </w:p>
        </w:tc>
        <w:tc>
          <w:tcPr>
            <w:tcW w:w="13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620" w:type="dxa"/>
            <w:vAlign w:val="bottom"/>
          </w:tcPr>
          <w:p>
            <w:pPr>
              <w:ind w:left="100"/>
              <w:spacing w:after="0"/>
              <w:rPr>
                <w:sz w:val="20"/>
                <w:szCs w:val="20"/>
                <w:color w:val="auto"/>
              </w:rPr>
            </w:pPr>
            <w:r>
              <w:rPr>
                <w:rFonts w:ascii="Arial" w:cs="Arial" w:eastAsia="Arial" w:hAnsi="Arial"/>
                <w:sz w:val="14"/>
                <w:szCs w:val="14"/>
                <w:color w:val="auto"/>
              </w:rPr>
              <w:t>2025</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884,789</w:t>
            </w:r>
          </w:p>
        </w:tc>
        <w:tc>
          <w:tcPr>
            <w:tcW w:w="720" w:type="dxa"/>
            <w:vAlign w:val="bottom"/>
          </w:tcPr>
          <w:p>
            <w:pPr>
              <w:jc w:val="right"/>
              <w:spacing w:after="0"/>
              <w:rPr>
                <w:sz w:val="20"/>
                <w:szCs w:val="20"/>
                <w:color w:val="auto"/>
              </w:rPr>
            </w:pPr>
            <w:r>
              <w:rPr>
                <w:rFonts w:ascii="Arial" w:cs="Arial" w:eastAsia="Arial" w:hAnsi="Arial"/>
                <w:sz w:val="14"/>
                <w:szCs w:val="14"/>
                <w:color w:val="auto"/>
              </w:rPr>
              <w:t>971,094</w:t>
            </w:r>
          </w:p>
        </w:tc>
        <w:tc>
          <w:tcPr>
            <w:tcW w:w="1180" w:type="dxa"/>
            <w:vAlign w:val="bottom"/>
          </w:tcPr>
          <w:p>
            <w:pPr>
              <w:jc w:val="right"/>
              <w:ind w:right="110"/>
              <w:spacing w:after="0"/>
              <w:rPr>
                <w:sz w:val="20"/>
                <w:szCs w:val="20"/>
                <w:color w:val="auto"/>
              </w:rPr>
            </w:pPr>
            <w:r>
              <w:rPr>
                <w:rFonts w:ascii="Arial" w:cs="Arial" w:eastAsia="Arial" w:hAnsi="Arial"/>
                <w:sz w:val="14"/>
                <w:szCs w:val="14"/>
                <w:color w:val="auto"/>
              </w:rPr>
              <w:t>4,855,123</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12,041,389</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90"/>
              <w:spacing w:after="0"/>
              <w:rPr>
                <w:sz w:val="20"/>
                <w:szCs w:val="20"/>
                <w:color w:val="auto"/>
              </w:rPr>
            </w:pPr>
            <w:r>
              <w:rPr>
                <w:rFonts w:ascii="Arial" w:cs="Arial" w:eastAsia="Arial" w:hAnsi="Arial"/>
                <w:sz w:val="14"/>
                <w:szCs w:val="14"/>
                <w:color w:val="auto"/>
              </w:rPr>
              <w:t>82,441</w:t>
            </w:r>
          </w:p>
        </w:tc>
        <w:tc>
          <w:tcPr>
            <w:tcW w:w="880" w:type="dxa"/>
            <w:vAlign w:val="bottom"/>
          </w:tcPr>
          <w:p>
            <w:pPr>
              <w:jc w:val="right"/>
              <w:spacing w:after="0"/>
              <w:rPr>
                <w:sz w:val="20"/>
                <w:szCs w:val="20"/>
                <w:color w:val="auto"/>
              </w:rPr>
            </w:pPr>
            <w:r>
              <w:rPr>
                <w:rFonts w:ascii="Arial" w:cs="Arial" w:eastAsia="Arial" w:hAnsi="Arial"/>
                <w:sz w:val="14"/>
                <w:szCs w:val="14"/>
                <w:color w:val="auto"/>
              </w:rPr>
              <w:t>18,834,836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Bruce C. Cozadd</w:t>
            </w:r>
            <w:r>
              <w:rPr>
                <w:rFonts w:ascii="Arial" w:cs="Arial" w:eastAsia="Arial" w:hAnsi="Arial"/>
                <w:sz w:val="18"/>
                <w:szCs w:val="18"/>
                <w:b w:val="1"/>
                <w:bCs w:val="1"/>
                <w:color w:val="852166"/>
                <w:vertAlign w:val="superscript"/>
              </w:rPr>
              <w:t>(10)</w:t>
            </w:r>
          </w:p>
        </w:tc>
        <w:tc>
          <w:tcPr>
            <w:tcW w:w="620" w:type="dxa"/>
            <w:vAlign w:val="bottom"/>
            <w:tcBorders>
              <w:bottom w:val="single" w:sz="8" w:color="5673B8"/>
            </w:tcBorders>
          </w:tcPr>
          <w:p>
            <w:pPr>
              <w:spacing w:after="0"/>
              <w:rPr>
                <w:sz w:val="5"/>
                <w:szCs w:val="5"/>
                <w:color w:val="auto"/>
              </w:rPr>
            </w:pPr>
          </w:p>
        </w:tc>
        <w:tc>
          <w:tcPr>
            <w:tcW w:w="980" w:type="dxa"/>
            <w:vAlign w:val="bottom"/>
            <w:tcBorders>
              <w:bottom w:val="single" w:sz="8" w:color="5673B8"/>
            </w:tcBorders>
          </w:tcPr>
          <w:p>
            <w:pPr>
              <w:spacing w:after="0"/>
              <w:rPr>
                <w:sz w:val="5"/>
                <w:szCs w:val="5"/>
                <w:color w:val="auto"/>
              </w:rPr>
            </w:pPr>
          </w:p>
        </w:tc>
        <w:tc>
          <w:tcPr>
            <w:tcW w:w="720" w:type="dxa"/>
            <w:vAlign w:val="bottom"/>
            <w:tcBorders>
              <w:bottom w:val="single" w:sz="8" w:color="5673B8"/>
            </w:tcBorders>
          </w:tcPr>
          <w:p>
            <w:pPr>
              <w:spacing w:after="0"/>
              <w:rPr>
                <w:sz w:val="5"/>
                <w:szCs w:val="5"/>
                <w:color w:val="auto"/>
              </w:rPr>
            </w:pPr>
          </w:p>
        </w:tc>
        <w:tc>
          <w:tcPr>
            <w:tcW w:w="1180" w:type="dxa"/>
            <w:vAlign w:val="bottom"/>
            <w:tcBorders>
              <w:bottom w:val="single" w:sz="8" w:color="5673B8"/>
            </w:tcBorders>
          </w:tcPr>
          <w:p>
            <w:pPr>
              <w:spacing w:after="0"/>
              <w:rPr>
                <w:sz w:val="5"/>
                <w:szCs w:val="5"/>
                <w:color w:val="auto"/>
              </w:rPr>
            </w:pPr>
          </w:p>
        </w:tc>
        <w:tc>
          <w:tcPr>
            <w:tcW w:w="1080" w:type="dxa"/>
            <w:vAlign w:val="bottom"/>
            <w:tcBorders>
              <w:bottom w:val="single" w:sz="8" w:color="5673B8"/>
            </w:tcBorders>
          </w:tcPr>
          <w:p>
            <w:pPr>
              <w:spacing w:after="0"/>
              <w:rPr>
                <w:sz w:val="5"/>
                <w:szCs w:val="5"/>
                <w:color w:val="auto"/>
              </w:rPr>
            </w:pPr>
          </w:p>
        </w:tc>
        <w:tc>
          <w:tcPr>
            <w:tcW w:w="1380" w:type="dxa"/>
            <w:vAlign w:val="bottom"/>
            <w:tcBorders>
              <w:bottom w:val="single" w:sz="8" w:color="5673B8"/>
            </w:tcBorders>
          </w:tcPr>
          <w:p>
            <w:pPr>
              <w:spacing w:after="0"/>
              <w:rPr>
                <w:sz w:val="5"/>
                <w:szCs w:val="5"/>
                <w:color w:val="auto"/>
              </w:rPr>
            </w:pPr>
          </w:p>
        </w:tc>
        <w:tc>
          <w:tcPr>
            <w:tcW w:w="13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2860" w:type="dxa"/>
            <w:vAlign w:val="bottom"/>
            <w:vMerge w:val="continue"/>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4"/>
                <w:szCs w:val="14"/>
                <w:color w:val="auto"/>
              </w:rPr>
              <w:t>2024</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1,203,514</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10"/>
              <w:spacing w:after="0"/>
              <w:rPr>
                <w:sz w:val="20"/>
                <w:szCs w:val="20"/>
                <w:color w:val="auto"/>
              </w:rPr>
            </w:pPr>
            <w:r>
              <w:rPr>
                <w:rFonts w:ascii="Arial" w:cs="Arial" w:eastAsia="Arial" w:hAnsi="Arial"/>
                <w:sz w:val="14"/>
                <w:szCs w:val="14"/>
                <w:color w:val="auto"/>
              </w:rPr>
              <w:t>12,799,687</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108"/>
              <w:spacing w:after="0"/>
              <w:rPr>
                <w:sz w:val="20"/>
                <w:szCs w:val="20"/>
                <w:color w:val="auto"/>
              </w:rPr>
            </w:pPr>
            <w:r>
              <w:rPr>
                <w:rFonts w:ascii="Arial" w:cs="Arial" w:eastAsia="Arial" w:hAnsi="Arial"/>
                <w:sz w:val="14"/>
                <w:szCs w:val="14"/>
                <w:color w:val="auto"/>
              </w:rPr>
              <w:t>1,492,445</w:t>
            </w:r>
          </w:p>
        </w:tc>
        <w:tc>
          <w:tcPr>
            <w:tcW w:w="1360" w:type="dxa"/>
            <w:vAlign w:val="bottom"/>
            <w:vMerge w:val="restart"/>
          </w:tcPr>
          <w:p>
            <w:pPr>
              <w:jc w:val="right"/>
              <w:ind w:right="90"/>
              <w:spacing w:after="0"/>
              <w:rPr>
                <w:sz w:val="20"/>
                <w:szCs w:val="20"/>
                <w:color w:val="auto"/>
              </w:rPr>
            </w:pPr>
            <w:r>
              <w:rPr>
                <w:rFonts w:ascii="Arial" w:cs="Arial" w:eastAsia="Arial" w:hAnsi="Arial"/>
                <w:sz w:val="14"/>
                <w:szCs w:val="14"/>
                <w:color w:val="auto"/>
              </w:rPr>
              <w:t>31,818</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15,527,464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Chairperson and former CEO</w:t>
            </w:r>
          </w:p>
        </w:tc>
        <w:tc>
          <w:tcPr>
            <w:tcW w:w="6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620" w:type="dxa"/>
            <w:vAlign w:val="bottom"/>
            <w:tcBorders>
              <w:bottom w:val="single" w:sz="8" w:color="5673B8"/>
            </w:tcBorders>
          </w:tcPr>
          <w:p>
            <w:pPr>
              <w:spacing w:after="0"/>
              <w:rPr>
                <w:sz w:val="5"/>
                <w:szCs w:val="5"/>
                <w:color w:val="auto"/>
              </w:rPr>
            </w:pPr>
          </w:p>
        </w:tc>
        <w:tc>
          <w:tcPr>
            <w:tcW w:w="980" w:type="dxa"/>
            <w:vAlign w:val="bottom"/>
            <w:tcBorders>
              <w:bottom w:val="single" w:sz="8" w:color="5673B8"/>
            </w:tcBorders>
          </w:tcPr>
          <w:p>
            <w:pPr>
              <w:spacing w:after="0"/>
              <w:rPr>
                <w:sz w:val="5"/>
                <w:szCs w:val="5"/>
                <w:color w:val="auto"/>
              </w:rPr>
            </w:pPr>
          </w:p>
        </w:tc>
        <w:tc>
          <w:tcPr>
            <w:tcW w:w="720" w:type="dxa"/>
            <w:vAlign w:val="bottom"/>
            <w:tcBorders>
              <w:bottom w:val="single" w:sz="8" w:color="5673B8"/>
            </w:tcBorders>
          </w:tcPr>
          <w:p>
            <w:pPr>
              <w:spacing w:after="0"/>
              <w:rPr>
                <w:sz w:val="5"/>
                <w:szCs w:val="5"/>
                <w:color w:val="auto"/>
              </w:rPr>
            </w:pPr>
          </w:p>
        </w:tc>
        <w:tc>
          <w:tcPr>
            <w:tcW w:w="1180" w:type="dxa"/>
            <w:vAlign w:val="bottom"/>
            <w:tcBorders>
              <w:bottom w:val="single" w:sz="8" w:color="5673B8"/>
            </w:tcBorders>
          </w:tcPr>
          <w:p>
            <w:pPr>
              <w:spacing w:after="0"/>
              <w:rPr>
                <w:sz w:val="5"/>
                <w:szCs w:val="5"/>
                <w:color w:val="auto"/>
              </w:rPr>
            </w:pPr>
          </w:p>
        </w:tc>
        <w:tc>
          <w:tcPr>
            <w:tcW w:w="1080" w:type="dxa"/>
            <w:vAlign w:val="bottom"/>
            <w:tcBorders>
              <w:bottom w:val="single" w:sz="8" w:color="5673B8"/>
            </w:tcBorders>
          </w:tcPr>
          <w:p>
            <w:pPr>
              <w:spacing w:after="0"/>
              <w:rPr>
                <w:sz w:val="5"/>
                <w:szCs w:val="5"/>
                <w:color w:val="auto"/>
              </w:rPr>
            </w:pPr>
          </w:p>
        </w:tc>
        <w:tc>
          <w:tcPr>
            <w:tcW w:w="1380" w:type="dxa"/>
            <w:vAlign w:val="bottom"/>
            <w:tcBorders>
              <w:bottom w:val="single" w:sz="8" w:color="5673B8"/>
            </w:tcBorders>
          </w:tcPr>
          <w:p>
            <w:pPr>
              <w:spacing w:after="0"/>
              <w:rPr>
                <w:sz w:val="5"/>
                <w:szCs w:val="5"/>
                <w:color w:val="auto"/>
              </w:rPr>
            </w:pPr>
          </w:p>
        </w:tc>
        <w:tc>
          <w:tcPr>
            <w:tcW w:w="13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620" w:type="dxa"/>
            <w:vAlign w:val="bottom"/>
          </w:tcPr>
          <w:p>
            <w:pPr>
              <w:ind w:left="100"/>
              <w:spacing w:after="0"/>
              <w:rPr>
                <w:sz w:val="20"/>
                <w:szCs w:val="20"/>
                <w:color w:val="auto"/>
              </w:rPr>
            </w:pPr>
            <w:r>
              <w:rPr>
                <w:rFonts w:ascii="Arial" w:cs="Arial" w:eastAsia="Arial" w:hAnsi="Arial"/>
                <w:sz w:val="14"/>
                <w:szCs w:val="14"/>
                <w:color w:val="auto"/>
              </w:rPr>
              <w:t>2023</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1,196,621</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0"/>
              <w:spacing w:after="0"/>
              <w:rPr>
                <w:sz w:val="20"/>
                <w:szCs w:val="20"/>
                <w:color w:val="auto"/>
              </w:rPr>
            </w:pPr>
            <w:r>
              <w:rPr>
                <w:rFonts w:ascii="Arial" w:cs="Arial" w:eastAsia="Arial" w:hAnsi="Arial"/>
                <w:sz w:val="14"/>
                <w:szCs w:val="14"/>
                <w:color w:val="auto"/>
              </w:rPr>
              <w:t>12,896,545</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1,217,216</w:t>
            </w:r>
          </w:p>
        </w:tc>
        <w:tc>
          <w:tcPr>
            <w:tcW w:w="1360" w:type="dxa"/>
            <w:vAlign w:val="bottom"/>
          </w:tcPr>
          <w:p>
            <w:pPr>
              <w:jc w:val="right"/>
              <w:ind w:right="90"/>
              <w:spacing w:after="0"/>
              <w:rPr>
                <w:sz w:val="20"/>
                <w:szCs w:val="20"/>
                <w:color w:val="auto"/>
              </w:rPr>
            </w:pPr>
            <w:r>
              <w:rPr>
                <w:rFonts w:ascii="Arial" w:cs="Arial" w:eastAsia="Arial" w:hAnsi="Arial"/>
                <w:sz w:val="14"/>
                <w:szCs w:val="14"/>
                <w:color w:val="auto"/>
              </w:rPr>
              <w:t>30,853</w:t>
            </w:r>
          </w:p>
        </w:tc>
        <w:tc>
          <w:tcPr>
            <w:tcW w:w="880" w:type="dxa"/>
            <w:vAlign w:val="bottom"/>
          </w:tcPr>
          <w:p>
            <w:pPr>
              <w:jc w:val="right"/>
              <w:spacing w:after="0"/>
              <w:rPr>
                <w:sz w:val="20"/>
                <w:szCs w:val="20"/>
                <w:color w:val="auto"/>
              </w:rPr>
            </w:pPr>
            <w:r>
              <w:rPr>
                <w:rFonts w:ascii="Arial" w:cs="Arial" w:eastAsia="Arial" w:hAnsi="Arial"/>
                <w:sz w:val="14"/>
                <w:szCs w:val="14"/>
                <w:color w:val="auto"/>
              </w:rPr>
              <w:t>15,341,235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5673B8"/>
            </w:tcBorders>
          </w:tcPr>
          <w:p>
            <w:pPr>
              <w:spacing w:after="0"/>
              <w:rPr>
                <w:sz w:val="5"/>
                <w:szCs w:val="5"/>
                <w:color w:val="auto"/>
              </w:rPr>
            </w:pPr>
          </w:p>
        </w:tc>
        <w:tc>
          <w:tcPr>
            <w:tcW w:w="2860" w:type="dxa"/>
            <w:vAlign w:val="bottom"/>
            <w:tcBorders>
              <w:bottom w:val="single" w:sz="8" w:color="5673B8"/>
            </w:tcBorders>
          </w:tcPr>
          <w:p>
            <w:pPr>
              <w:spacing w:after="0"/>
              <w:rPr>
                <w:sz w:val="5"/>
                <w:szCs w:val="5"/>
                <w:color w:val="auto"/>
              </w:rPr>
            </w:pPr>
          </w:p>
        </w:tc>
        <w:tc>
          <w:tcPr>
            <w:tcW w:w="620" w:type="dxa"/>
            <w:vAlign w:val="bottom"/>
            <w:tcBorders>
              <w:bottom w:val="single" w:sz="8" w:color="5673B8"/>
            </w:tcBorders>
          </w:tcPr>
          <w:p>
            <w:pPr>
              <w:spacing w:after="0"/>
              <w:rPr>
                <w:sz w:val="5"/>
                <w:szCs w:val="5"/>
                <w:color w:val="auto"/>
              </w:rPr>
            </w:pPr>
          </w:p>
        </w:tc>
        <w:tc>
          <w:tcPr>
            <w:tcW w:w="980" w:type="dxa"/>
            <w:vAlign w:val="bottom"/>
            <w:tcBorders>
              <w:bottom w:val="single" w:sz="8" w:color="5673B8"/>
            </w:tcBorders>
          </w:tcPr>
          <w:p>
            <w:pPr>
              <w:spacing w:after="0"/>
              <w:rPr>
                <w:sz w:val="5"/>
                <w:szCs w:val="5"/>
                <w:color w:val="auto"/>
              </w:rPr>
            </w:pPr>
          </w:p>
        </w:tc>
        <w:tc>
          <w:tcPr>
            <w:tcW w:w="720" w:type="dxa"/>
            <w:vAlign w:val="bottom"/>
            <w:tcBorders>
              <w:bottom w:val="single" w:sz="8" w:color="5673B8"/>
            </w:tcBorders>
          </w:tcPr>
          <w:p>
            <w:pPr>
              <w:spacing w:after="0"/>
              <w:rPr>
                <w:sz w:val="5"/>
                <w:szCs w:val="5"/>
                <w:color w:val="auto"/>
              </w:rPr>
            </w:pPr>
          </w:p>
        </w:tc>
        <w:tc>
          <w:tcPr>
            <w:tcW w:w="1180" w:type="dxa"/>
            <w:vAlign w:val="bottom"/>
            <w:tcBorders>
              <w:bottom w:val="single" w:sz="8" w:color="5673B8"/>
            </w:tcBorders>
          </w:tcPr>
          <w:p>
            <w:pPr>
              <w:spacing w:after="0"/>
              <w:rPr>
                <w:sz w:val="5"/>
                <w:szCs w:val="5"/>
                <w:color w:val="auto"/>
              </w:rPr>
            </w:pPr>
          </w:p>
        </w:tc>
        <w:tc>
          <w:tcPr>
            <w:tcW w:w="1080" w:type="dxa"/>
            <w:vAlign w:val="bottom"/>
            <w:tcBorders>
              <w:bottom w:val="single" w:sz="8" w:color="5673B8"/>
            </w:tcBorders>
          </w:tcPr>
          <w:p>
            <w:pPr>
              <w:spacing w:after="0"/>
              <w:rPr>
                <w:sz w:val="5"/>
                <w:szCs w:val="5"/>
                <w:color w:val="auto"/>
              </w:rPr>
            </w:pPr>
          </w:p>
        </w:tc>
        <w:tc>
          <w:tcPr>
            <w:tcW w:w="1380" w:type="dxa"/>
            <w:vAlign w:val="bottom"/>
            <w:tcBorders>
              <w:bottom w:val="single" w:sz="8" w:color="5673B8"/>
            </w:tcBorders>
          </w:tcPr>
          <w:p>
            <w:pPr>
              <w:spacing w:after="0"/>
              <w:rPr>
                <w:sz w:val="5"/>
                <w:szCs w:val="5"/>
                <w:color w:val="auto"/>
              </w:rPr>
            </w:pPr>
          </w:p>
        </w:tc>
        <w:tc>
          <w:tcPr>
            <w:tcW w:w="13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Robert Iannone, M.D., M.S.C.E</w:t>
            </w:r>
          </w:p>
        </w:tc>
        <w:tc>
          <w:tcPr>
            <w:tcW w:w="620" w:type="dxa"/>
            <w:vAlign w:val="bottom"/>
          </w:tcPr>
          <w:p>
            <w:pPr>
              <w:ind w:left="100"/>
              <w:spacing w:after="0"/>
              <w:rPr>
                <w:sz w:val="20"/>
                <w:szCs w:val="20"/>
                <w:color w:val="auto"/>
              </w:rPr>
            </w:pPr>
            <w:r>
              <w:rPr>
                <w:rFonts w:ascii="Arial" w:cs="Arial" w:eastAsia="Arial" w:hAnsi="Arial"/>
                <w:sz w:val="14"/>
                <w:szCs w:val="14"/>
                <w:color w:val="auto"/>
              </w:rPr>
              <w:t>2025</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793,077</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0"/>
              <w:spacing w:after="0"/>
              <w:rPr>
                <w:sz w:val="20"/>
                <w:szCs w:val="20"/>
                <w:color w:val="auto"/>
              </w:rPr>
            </w:pPr>
            <w:r>
              <w:rPr>
                <w:rFonts w:ascii="Arial" w:cs="Arial" w:eastAsia="Arial" w:hAnsi="Arial"/>
                <w:sz w:val="14"/>
                <w:szCs w:val="14"/>
                <w:color w:val="auto"/>
              </w:rPr>
              <w:t>6,953,879</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840,000</w:t>
            </w:r>
          </w:p>
        </w:tc>
        <w:tc>
          <w:tcPr>
            <w:tcW w:w="1360" w:type="dxa"/>
            <w:vAlign w:val="bottom"/>
          </w:tcPr>
          <w:p>
            <w:pPr>
              <w:jc w:val="right"/>
              <w:ind w:right="90"/>
              <w:spacing w:after="0"/>
              <w:rPr>
                <w:sz w:val="20"/>
                <w:szCs w:val="20"/>
                <w:color w:val="auto"/>
              </w:rPr>
            </w:pPr>
            <w:r>
              <w:rPr>
                <w:rFonts w:ascii="Arial" w:cs="Arial" w:eastAsia="Arial" w:hAnsi="Arial"/>
                <w:sz w:val="14"/>
                <w:szCs w:val="14"/>
                <w:color w:val="auto"/>
              </w:rPr>
              <w:t>24,802</w:t>
            </w:r>
          </w:p>
        </w:tc>
        <w:tc>
          <w:tcPr>
            <w:tcW w:w="880" w:type="dxa"/>
            <w:vAlign w:val="bottom"/>
          </w:tcPr>
          <w:p>
            <w:pPr>
              <w:jc w:val="right"/>
              <w:spacing w:after="0"/>
              <w:rPr>
                <w:sz w:val="20"/>
                <w:szCs w:val="20"/>
                <w:color w:val="auto"/>
              </w:rPr>
            </w:pPr>
            <w:r>
              <w:rPr>
                <w:rFonts w:ascii="Arial" w:cs="Arial" w:eastAsia="Arial" w:hAnsi="Arial"/>
                <w:sz w:val="14"/>
                <w:szCs w:val="14"/>
                <w:color w:val="auto"/>
              </w:rPr>
              <w:t>8,661,758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620" w:type="dxa"/>
            <w:vAlign w:val="bottom"/>
            <w:tcBorders>
              <w:bottom w:val="single" w:sz="8" w:color="5673B8"/>
            </w:tcBorders>
          </w:tcPr>
          <w:p>
            <w:pPr>
              <w:spacing w:after="0"/>
              <w:rPr>
                <w:sz w:val="5"/>
                <w:szCs w:val="5"/>
                <w:color w:val="auto"/>
              </w:rPr>
            </w:pPr>
          </w:p>
        </w:tc>
        <w:tc>
          <w:tcPr>
            <w:tcW w:w="980" w:type="dxa"/>
            <w:vAlign w:val="bottom"/>
            <w:tcBorders>
              <w:bottom w:val="single" w:sz="8" w:color="5673B8"/>
            </w:tcBorders>
          </w:tcPr>
          <w:p>
            <w:pPr>
              <w:spacing w:after="0"/>
              <w:rPr>
                <w:sz w:val="5"/>
                <w:szCs w:val="5"/>
                <w:color w:val="auto"/>
              </w:rPr>
            </w:pPr>
          </w:p>
        </w:tc>
        <w:tc>
          <w:tcPr>
            <w:tcW w:w="720" w:type="dxa"/>
            <w:vAlign w:val="bottom"/>
            <w:tcBorders>
              <w:bottom w:val="single" w:sz="8" w:color="5673B8"/>
            </w:tcBorders>
          </w:tcPr>
          <w:p>
            <w:pPr>
              <w:spacing w:after="0"/>
              <w:rPr>
                <w:sz w:val="5"/>
                <w:szCs w:val="5"/>
                <w:color w:val="auto"/>
              </w:rPr>
            </w:pPr>
          </w:p>
        </w:tc>
        <w:tc>
          <w:tcPr>
            <w:tcW w:w="1180" w:type="dxa"/>
            <w:vAlign w:val="bottom"/>
            <w:tcBorders>
              <w:bottom w:val="single" w:sz="8" w:color="5673B8"/>
            </w:tcBorders>
          </w:tcPr>
          <w:p>
            <w:pPr>
              <w:spacing w:after="0"/>
              <w:rPr>
                <w:sz w:val="5"/>
                <w:szCs w:val="5"/>
                <w:color w:val="auto"/>
              </w:rPr>
            </w:pPr>
          </w:p>
        </w:tc>
        <w:tc>
          <w:tcPr>
            <w:tcW w:w="1080" w:type="dxa"/>
            <w:vAlign w:val="bottom"/>
            <w:tcBorders>
              <w:bottom w:val="single" w:sz="8" w:color="5673B8"/>
            </w:tcBorders>
          </w:tcPr>
          <w:p>
            <w:pPr>
              <w:spacing w:after="0"/>
              <w:rPr>
                <w:sz w:val="5"/>
                <w:szCs w:val="5"/>
                <w:color w:val="auto"/>
              </w:rPr>
            </w:pPr>
          </w:p>
        </w:tc>
        <w:tc>
          <w:tcPr>
            <w:tcW w:w="1380" w:type="dxa"/>
            <w:vAlign w:val="bottom"/>
            <w:tcBorders>
              <w:bottom w:val="single" w:sz="8" w:color="5673B8"/>
            </w:tcBorders>
          </w:tcPr>
          <w:p>
            <w:pPr>
              <w:spacing w:after="0"/>
              <w:rPr>
                <w:sz w:val="5"/>
                <w:szCs w:val="5"/>
                <w:color w:val="auto"/>
              </w:rPr>
            </w:pPr>
          </w:p>
        </w:tc>
        <w:tc>
          <w:tcPr>
            <w:tcW w:w="13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286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4"/>
                <w:szCs w:val="14"/>
                <w:color w:val="auto"/>
              </w:rPr>
              <w:t>2024</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750,692</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10"/>
              <w:spacing w:after="0"/>
              <w:rPr>
                <w:sz w:val="20"/>
                <w:szCs w:val="20"/>
                <w:color w:val="auto"/>
              </w:rPr>
            </w:pPr>
            <w:r>
              <w:rPr>
                <w:rFonts w:ascii="Arial" w:cs="Arial" w:eastAsia="Arial" w:hAnsi="Arial"/>
                <w:sz w:val="14"/>
                <w:szCs w:val="14"/>
                <w:color w:val="auto"/>
              </w:rPr>
              <w:t>4,317,333</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108"/>
              <w:spacing w:after="0"/>
              <w:rPr>
                <w:sz w:val="20"/>
                <w:szCs w:val="20"/>
                <w:color w:val="auto"/>
              </w:rPr>
            </w:pPr>
            <w:r>
              <w:rPr>
                <w:rFonts w:ascii="Arial" w:cs="Arial" w:eastAsia="Arial" w:hAnsi="Arial"/>
                <w:sz w:val="14"/>
                <w:szCs w:val="14"/>
                <w:color w:val="auto"/>
              </w:rPr>
              <w:t>598,000</w:t>
            </w:r>
          </w:p>
        </w:tc>
        <w:tc>
          <w:tcPr>
            <w:tcW w:w="1360" w:type="dxa"/>
            <w:vAlign w:val="bottom"/>
            <w:vMerge w:val="restart"/>
          </w:tcPr>
          <w:p>
            <w:pPr>
              <w:jc w:val="right"/>
              <w:ind w:right="90"/>
              <w:spacing w:after="0"/>
              <w:rPr>
                <w:sz w:val="20"/>
                <w:szCs w:val="20"/>
                <w:color w:val="auto"/>
              </w:rPr>
            </w:pPr>
            <w:r>
              <w:rPr>
                <w:rFonts w:ascii="Arial" w:cs="Arial" w:eastAsia="Arial" w:hAnsi="Arial"/>
                <w:sz w:val="14"/>
                <w:szCs w:val="14"/>
                <w:color w:val="auto"/>
              </w:rPr>
              <w:t>23,352</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5,689,377</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Executive Vice President,</w:t>
            </w:r>
          </w:p>
        </w:tc>
        <w:tc>
          <w:tcPr>
            <w:tcW w:w="6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Global Head of R&amp;D</w:t>
            </w:r>
          </w:p>
        </w:tc>
        <w:tc>
          <w:tcPr>
            <w:tcW w:w="620" w:type="dxa"/>
            <w:vAlign w:val="bottom"/>
            <w:tcBorders>
              <w:bottom w:val="single" w:sz="8" w:color="5673B8"/>
            </w:tcBorders>
          </w:tcPr>
          <w:p>
            <w:pPr>
              <w:spacing w:after="0"/>
              <w:rPr>
                <w:sz w:val="5"/>
                <w:szCs w:val="5"/>
                <w:color w:val="auto"/>
              </w:rPr>
            </w:pPr>
          </w:p>
        </w:tc>
        <w:tc>
          <w:tcPr>
            <w:tcW w:w="980" w:type="dxa"/>
            <w:vAlign w:val="bottom"/>
            <w:tcBorders>
              <w:bottom w:val="single" w:sz="8" w:color="5673B8"/>
            </w:tcBorders>
          </w:tcPr>
          <w:p>
            <w:pPr>
              <w:spacing w:after="0"/>
              <w:rPr>
                <w:sz w:val="5"/>
                <w:szCs w:val="5"/>
                <w:color w:val="auto"/>
              </w:rPr>
            </w:pPr>
          </w:p>
        </w:tc>
        <w:tc>
          <w:tcPr>
            <w:tcW w:w="720" w:type="dxa"/>
            <w:vAlign w:val="bottom"/>
            <w:tcBorders>
              <w:bottom w:val="single" w:sz="8" w:color="5673B8"/>
            </w:tcBorders>
          </w:tcPr>
          <w:p>
            <w:pPr>
              <w:spacing w:after="0"/>
              <w:rPr>
                <w:sz w:val="5"/>
                <w:szCs w:val="5"/>
                <w:color w:val="auto"/>
              </w:rPr>
            </w:pPr>
          </w:p>
        </w:tc>
        <w:tc>
          <w:tcPr>
            <w:tcW w:w="1180" w:type="dxa"/>
            <w:vAlign w:val="bottom"/>
            <w:tcBorders>
              <w:bottom w:val="single" w:sz="8" w:color="5673B8"/>
            </w:tcBorders>
          </w:tcPr>
          <w:p>
            <w:pPr>
              <w:spacing w:after="0"/>
              <w:rPr>
                <w:sz w:val="5"/>
                <w:szCs w:val="5"/>
                <w:color w:val="auto"/>
              </w:rPr>
            </w:pPr>
          </w:p>
        </w:tc>
        <w:tc>
          <w:tcPr>
            <w:tcW w:w="1080" w:type="dxa"/>
            <w:vAlign w:val="bottom"/>
            <w:tcBorders>
              <w:bottom w:val="single" w:sz="8" w:color="5673B8"/>
            </w:tcBorders>
          </w:tcPr>
          <w:p>
            <w:pPr>
              <w:spacing w:after="0"/>
              <w:rPr>
                <w:sz w:val="5"/>
                <w:szCs w:val="5"/>
                <w:color w:val="auto"/>
              </w:rPr>
            </w:pPr>
          </w:p>
        </w:tc>
        <w:tc>
          <w:tcPr>
            <w:tcW w:w="1380" w:type="dxa"/>
            <w:vAlign w:val="bottom"/>
            <w:tcBorders>
              <w:bottom w:val="single" w:sz="8" w:color="5673B8"/>
            </w:tcBorders>
          </w:tcPr>
          <w:p>
            <w:pPr>
              <w:spacing w:after="0"/>
              <w:rPr>
                <w:sz w:val="5"/>
                <w:szCs w:val="5"/>
                <w:color w:val="auto"/>
              </w:rPr>
            </w:pPr>
          </w:p>
        </w:tc>
        <w:tc>
          <w:tcPr>
            <w:tcW w:w="13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2860" w:type="dxa"/>
            <w:vAlign w:val="bottom"/>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Arial" w:cs="Arial" w:eastAsia="Arial" w:hAnsi="Arial"/>
                <w:sz w:val="14"/>
                <w:szCs w:val="14"/>
                <w:color w:val="auto"/>
              </w:rPr>
              <w:t>2023</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720,526</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10"/>
              <w:spacing w:after="0"/>
              <w:rPr>
                <w:sz w:val="20"/>
                <w:szCs w:val="20"/>
                <w:color w:val="auto"/>
              </w:rPr>
            </w:pPr>
            <w:r>
              <w:rPr>
                <w:rFonts w:ascii="Arial" w:cs="Arial" w:eastAsia="Arial" w:hAnsi="Arial"/>
                <w:sz w:val="14"/>
                <w:szCs w:val="14"/>
                <w:color w:val="auto"/>
              </w:rPr>
              <w:t>3,786,999</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108"/>
              <w:spacing w:after="0"/>
              <w:rPr>
                <w:sz w:val="20"/>
                <w:szCs w:val="20"/>
                <w:color w:val="auto"/>
              </w:rPr>
            </w:pPr>
            <w:r>
              <w:rPr>
                <w:rFonts w:ascii="Arial" w:cs="Arial" w:eastAsia="Arial" w:hAnsi="Arial"/>
                <w:sz w:val="14"/>
                <w:szCs w:val="14"/>
                <w:color w:val="auto"/>
              </w:rPr>
              <w:t>450,000</w:t>
            </w:r>
          </w:p>
        </w:tc>
        <w:tc>
          <w:tcPr>
            <w:tcW w:w="1360" w:type="dxa"/>
            <w:vAlign w:val="bottom"/>
            <w:vMerge w:val="restart"/>
          </w:tcPr>
          <w:p>
            <w:pPr>
              <w:jc w:val="right"/>
              <w:ind w:right="90"/>
              <w:spacing w:after="0"/>
              <w:rPr>
                <w:sz w:val="20"/>
                <w:szCs w:val="20"/>
                <w:color w:val="auto"/>
              </w:rPr>
            </w:pPr>
            <w:r>
              <w:rPr>
                <w:rFonts w:ascii="Arial" w:cs="Arial" w:eastAsia="Arial" w:hAnsi="Arial"/>
                <w:sz w:val="14"/>
                <w:szCs w:val="14"/>
                <w:color w:val="auto"/>
              </w:rPr>
              <w:t>21,552</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4,979,077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5673B8"/>
            </w:tcBorders>
          </w:tcPr>
          <w:p>
            <w:pPr>
              <w:spacing w:after="0"/>
              <w:rPr>
                <w:sz w:val="5"/>
                <w:szCs w:val="5"/>
                <w:color w:val="auto"/>
              </w:rPr>
            </w:pPr>
          </w:p>
        </w:tc>
        <w:tc>
          <w:tcPr>
            <w:tcW w:w="2860" w:type="dxa"/>
            <w:vAlign w:val="bottom"/>
            <w:tcBorders>
              <w:bottom w:val="single" w:sz="8" w:color="5673B8"/>
            </w:tcBorders>
          </w:tcPr>
          <w:p>
            <w:pPr>
              <w:spacing w:after="0"/>
              <w:rPr>
                <w:sz w:val="5"/>
                <w:szCs w:val="5"/>
                <w:color w:val="auto"/>
              </w:rPr>
            </w:pPr>
          </w:p>
        </w:tc>
        <w:tc>
          <w:tcPr>
            <w:tcW w:w="620" w:type="dxa"/>
            <w:vAlign w:val="bottom"/>
            <w:tcBorders>
              <w:bottom w:val="single" w:sz="8" w:color="5673B8"/>
            </w:tcBorders>
          </w:tcPr>
          <w:p>
            <w:pPr>
              <w:spacing w:after="0"/>
              <w:rPr>
                <w:sz w:val="5"/>
                <w:szCs w:val="5"/>
                <w:color w:val="auto"/>
              </w:rPr>
            </w:pPr>
          </w:p>
        </w:tc>
        <w:tc>
          <w:tcPr>
            <w:tcW w:w="980" w:type="dxa"/>
            <w:vAlign w:val="bottom"/>
            <w:tcBorders>
              <w:bottom w:val="single" w:sz="8" w:color="5673B8"/>
            </w:tcBorders>
          </w:tcPr>
          <w:p>
            <w:pPr>
              <w:spacing w:after="0"/>
              <w:rPr>
                <w:sz w:val="5"/>
                <w:szCs w:val="5"/>
                <w:color w:val="auto"/>
              </w:rPr>
            </w:pPr>
          </w:p>
        </w:tc>
        <w:tc>
          <w:tcPr>
            <w:tcW w:w="720" w:type="dxa"/>
            <w:vAlign w:val="bottom"/>
            <w:tcBorders>
              <w:bottom w:val="single" w:sz="8" w:color="5673B8"/>
            </w:tcBorders>
          </w:tcPr>
          <w:p>
            <w:pPr>
              <w:spacing w:after="0"/>
              <w:rPr>
                <w:sz w:val="5"/>
                <w:szCs w:val="5"/>
                <w:color w:val="auto"/>
              </w:rPr>
            </w:pPr>
          </w:p>
        </w:tc>
        <w:tc>
          <w:tcPr>
            <w:tcW w:w="1180" w:type="dxa"/>
            <w:vAlign w:val="bottom"/>
            <w:tcBorders>
              <w:bottom w:val="single" w:sz="8" w:color="5673B8"/>
            </w:tcBorders>
          </w:tcPr>
          <w:p>
            <w:pPr>
              <w:spacing w:after="0"/>
              <w:rPr>
                <w:sz w:val="5"/>
                <w:szCs w:val="5"/>
                <w:color w:val="auto"/>
              </w:rPr>
            </w:pPr>
          </w:p>
        </w:tc>
        <w:tc>
          <w:tcPr>
            <w:tcW w:w="1080" w:type="dxa"/>
            <w:vAlign w:val="bottom"/>
            <w:tcBorders>
              <w:bottom w:val="single" w:sz="8" w:color="5673B8"/>
            </w:tcBorders>
          </w:tcPr>
          <w:p>
            <w:pPr>
              <w:spacing w:after="0"/>
              <w:rPr>
                <w:sz w:val="5"/>
                <w:szCs w:val="5"/>
                <w:color w:val="auto"/>
              </w:rPr>
            </w:pPr>
          </w:p>
        </w:tc>
        <w:tc>
          <w:tcPr>
            <w:tcW w:w="1380" w:type="dxa"/>
            <w:vAlign w:val="bottom"/>
            <w:tcBorders>
              <w:bottom w:val="single" w:sz="8" w:color="5673B8"/>
            </w:tcBorders>
          </w:tcPr>
          <w:p>
            <w:pPr>
              <w:spacing w:after="0"/>
              <w:rPr>
                <w:sz w:val="5"/>
                <w:szCs w:val="5"/>
                <w:color w:val="auto"/>
              </w:rPr>
            </w:pPr>
          </w:p>
        </w:tc>
        <w:tc>
          <w:tcPr>
            <w:tcW w:w="13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Neena M. Patil</w:t>
            </w:r>
          </w:p>
        </w:tc>
        <w:tc>
          <w:tcPr>
            <w:tcW w:w="620" w:type="dxa"/>
            <w:vAlign w:val="bottom"/>
          </w:tcPr>
          <w:p>
            <w:pPr>
              <w:ind w:left="100"/>
              <w:spacing w:after="0"/>
              <w:rPr>
                <w:sz w:val="20"/>
                <w:szCs w:val="20"/>
                <w:color w:val="auto"/>
              </w:rPr>
            </w:pPr>
            <w:r>
              <w:rPr>
                <w:rFonts w:ascii="Arial" w:cs="Arial" w:eastAsia="Arial" w:hAnsi="Arial"/>
                <w:sz w:val="14"/>
                <w:szCs w:val="14"/>
                <w:color w:val="auto"/>
              </w:rPr>
              <w:t>2025</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715,481</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0"/>
              <w:spacing w:after="0"/>
              <w:rPr>
                <w:sz w:val="20"/>
                <w:szCs w:val="20"/>
                <w:color w:val="auto"/>
              </w:rPr>
            </w:pPr>
            <w:r>
              <w:rPr>
                <w:rFonts w:ascii="Arial" w:cs="Arial" w:eastAsia="Arial" w:hAnsi="Arial"/>
                <w:sz w:val="14"/>
                <w:szCs w:val="14"/>
                <w:color w:val="auto"/>
              </w:rPr>
              <w:t>4,844,096</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720,000</w:t>
            </w:r>
          </w:p>
        </w:tc>
        <w:tc>
          <w:tcPr>
            <w:tcW w:w="1360" w:type="dxa"/>
            <w:vAlign w:val="bottom"/>
          </w:tcPr>
          <w:p>
            <w:pPr>
              <w:jc w:val="right"/>
              <w:ind w:right="90"/>
              <w:spacing w:after="0"/>
              <w:rPr>
                <w:sz w:val="20"/>
                <w:szCs w:val="20"/>
                <w:color w:val="auto"/>
              </w:rPr>
            </w:pPr>
            <w:r>
              <w:rPr>
                <w:rFonts w:ascii="Arial" w:cs="Arial" w:eastAsia="Arial" w:hAnsi="Arial"/>
                <w:sz w:val="14"/>
                <w:szCs w:val="14"/>
                <w:color w:val="auto"/>
              </w:rPr>
              <w:t>19,962</w:t>
            </w:r>
          </w:p>
        </w:tc>
        <w:tc>
          <w:tcPr>
            <w:tcW w:w="880" w:type="dxa"/>
            <w:vAlign w:val="bottom"/>
          </w:tcPr>
          <w:p>
            <w:pPr>
              <w:jc w:val="right"/>
              <w:spacing w:after="0"/>
              <w:rPr>
                <w:sz w:val="20"/>
                <w:szCs w:val="20"/>
                <w:color w:val="auto"/>
              </w:rPr>
            </w:pPr>
            <w:r>
              <w:rPr>
                <w:rFonts w:ascii="Arial" w:cs="Arial" w:eastAsia="Arial" w:hAnsi="Arial"/>
                <w:sz w:val="14"/>
                <w:szCs w:val="14"/>
                <w:color w:val="auto"/>
              </w:rPr>
              <w:t>6,299,539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620" w:type="dxa"/>
            <w:vAlign w:val="bottom"/>
            <w:tcBorders>
              <w:bottom w:val="single" w:sz="8" w:color="5673B8"/>
            </w:tcBorders>
          </w:tcPr>
          <w:p>
            <w:pPr>
              <w:spacing w:after="0"/>
              <w:rPr>
                <w:sz w:val="5"/>
                <w:szCs w:val="5"/>
                <w:color w:val="auto"/>
              </w:rPr>
            </w:pPr>
          </w:p>
        </w:tc>
        <w:tc>
          <w:tcPr>
            <w:tcW w:w="980" w:type="dxa"/>
            <w:vAlign w:val="bottom"/>
            <w:tcBorders>
              <w:bottom w:val="single" w:sz="8" w:color="5673B8"/>
            </w:tcBorders>
          </w:tcPr>
          <w:p>
            <w:pPr>
              <w:spacing w:after="0"/>
              <w:rPr>
                <w:sz w:val="5"/>
                <w:szCs w:val="5"/>
                <w:color w:val="auto"/>
              </w:rPr>
            </w:pPr>
          </w:p>
        </w:tc>
        <w:tc>
          <w:tcPr>
            <w:tcW w:w="720" w:type="dxa"/>
            <w:vAlign w:val="bottom"/>
            <w:tcBorders>
              <w:bottom w:val="single" w:sz="8" w:color="5673B8"/>
            </w:tcBorders>
          </w:tcPr>
          <w:p>
            <w:pPr>
              <w:spacing w:after="0"/>
              <w:rPr>
                <w:sz w:val="5"/>
                <w:szCs w:val="5"/>
                <w:color w:val="auto"/>
              </w:rPr>
            </w:pPr>
          </w:p>
        </w:tc>
        <w:tc>
          <w:tcPr>
            <w:tcW w:w="1180" w:type="dxa"/>
            <w:vAlign w:val="bottom"/>
            <w:tcBorders>
              <w:bottom w:val="single" w:sz="8" w:color="5673B8"/>
            </w:tcBorders>
          </w:tcPr>
          <w:p>
            <w:pPr>
              <w:spacing w:after="0"/>
              <w:rPr>
                <w:sz w:val="5"/>
                <w:szCs w:val="5"/>
                <w:color w:val="auto"/>
              </w:rPr>
            </w:pPr>
          </w:p>
        </w:tc>
        <w:tc>
          <w:tcPr>
            <w:tcW w:w="1080" w:type="dxa"/>
            <w:vAlign w:val="bottom"/>
            <w:tcBorders>
              <w:bottom w:val="single" w:sz="8" w:color="5673B8"/>
            </w:tcBorders>
          </w:tcPr>
          <w:p>
            <w:pPr>
              <w:spacing w:after="0"/>
              <w:rPr>
                <w:sz w:val="5"/>
                <w:szCs w:val="5"/>
                <w:color w:val="auto"/>
              </w:rPr>
            </w:pPr>
          </w:p>
        </w:tc>
        <w:tc>
          <w:tcPr>
            <w:tcW w:w="1380" w:type="dxa"/>
            <w:vAlign w:val="bottom"/>
            <w:tcBorders>
              <w:bottom w:val="single" w:sz="8" w:color="5673B8"/>
            </w:tcBorders>
          </w:tcPr>
          <w:p>
            <w:pPr>
              <w:spacing w:after="0"/>
              <w:rPr>
                <w:sz w:val="5"/>
                <w:szCs w:val="5"/>
                <w:color w:val="auto"/>
              </w:rPr>
            </w:pPr>
          </w:p>
        </w:tc>
        <w:tc>
          <w:tcPr>
            <w:tcW w:w="13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Executive Vice President and Chief Legal</w:t>
            </w:r>
          </w:p>
        </w:tc>
        <w:tc>
          <w:tcPr>
            <w:tcW w:w="620" w:type="dxa"/>
            <w:vAlign w:val="bottom"/>
          </w:tcPr>
          <w:p>
            <w:pPr>
              <w:ind w:left="100"/>
              <w:spacing w:after="0"/>
              <w:rPr>
                <w:sz w:val="20"/>
                <w:szCs w:val="20"/>
                <w:color w:val="auto"/>
              </w:rPr>
            </w:pPr>
            <w:r>
              <w:rPr>
                <w:rFonts w:ascii="Arial" w:cs="Arial" w:eastAsia="Arial" w:hAnsi="Arial"/>
                <w:sz w:val="14"/>
                <w:szCs w:val="14"/>
                <w:color w:val="auto"/>
              </w:rPr>
              <w:t>2024</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665,769</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0"/>
              <w:spacing w:after="0"/>
              <w:rPr>
                <w:sz w:val="20"/>
                <w:szCs w:val="20"/>
                <w:color w:val="auto"/>
              </w:rPr>
            </w:pPr>
            <w:r>
              <w:rPr>
                <w:rFonts w:ascii="Arial" w:cs="Arial" w:eastAsia="Arial" w:hAnsi="Arial"/>
                <w:sz w:val="14"/>
                <w:szCs w:val="14"/>
                <w:color w:val="auto"/>
              </w:rPr>
              <w:t>3,149,233</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473,000</w:t>
            </w:r>
          </w:p>
        </w:tc>
        <w:tc>
          <w:tcPr>
            <w:tcW w:w="1360" w:type="dxa"/>
            <w:vAlign w:val="bottom"/>
          </w:tcPr>
          <w:p>
            <w:pPr>
              <w:jc w:val="right"/>
              <w:ind w:right="90"/>
              <w:spacing w:after="0"/>
              <w:rPr>
                <w:sz w:val="20"/>
                <w:szCs w:val="20"/>
                <w:color w:val="auto"/>
              </w:rPr>
            </w:pPr>
            <w:r>
              <w:rPr>
                <w:rFonts w:ascii="Arial" w:cs="Arial" w:eastAsia="Arial" w:hAnsi="Arial"/>
                <w:sz w:val="14"/>
                <w:szCs w:val="14"/>
                <w:color w:val="auto"/>
              </w:rPr>
              <w:t>21,072</w:t>
            </w:r>
          </w:p>
        </w:tc>
        <w:tc>
          <w:tcPr>
            <w:tcW w:w="880" w:type="dxa"/>
            <w:vAlign w:val="bottom"/>
          </w:tcPr>
          <w:p>
            <w:pPr>
              <w:jc w:val="right"/>
              <w:spacing w:after="0"/>
              <w:rPr>
                <w:sz w:val="20"/>
                <w:szCs w:val="20"/>
                <w:color w:val="auto"/>
              </w:rPr>
            </w:pPr>
            <w:r>
              <w:rPr>
                <w:rFonts w:ascii="Arial" w:cs="Arial" w:eastAsia="Arial" w:hAnsi="Arial"/>
                <w:sz w:val="14"/>
                <w:szCs w:val="14"/>
                <w:color w:val="auto"/>
              </w:rPr>
              <w:t>4,309,074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Officer</w:t>
            </w:r>
          </w:p>
        </w:tc>
        <w:tc>
          <w:tcPr>
            <w:tcW w:w="620" w:type="dxa"/>
            <w:vAlign w:val="bottom"/>
            <w:tcBorders>
              <w:bottom w:val="single" w:sz="8" w:color="5673B8"/>
            </w:tcBorders>
          </w:tcPr>
          <w:p>
            <w:pPr>
              <w:spacing w:after="0"/>
              <w:rPr>
                <w:sz w:val="7"/>
                <w:szCs w:val="7"/>
                <w:color w:val="auto"/>
              </w:rPr>
            </w:pPr>
          </w:p>
        </w:tc>
        <w:tc>
          <w:tcPr>
            <w:tcW w:w="980" w:type="dxa"/>
            <w:vAlign w:val="bottom"/>
            <w:tcBorders>
              <w:bottom w:val="single" w:sz="8" w:color="5673B8"/>
            </w:tcBorders>
          </w:tcPr>
          <w:p>
            <w:pPr>
              <w:spacing w:after="0"/>
              <w:rPr>
                <w:sz w:val="7"/>
                <w:szCs w:val="7"/>
                <w:color w:val="auto"/>
              </w:rPr>
            </w:pPr>
          </w:p>
        </w:tc>
        <w:tc>
          <w:tcPr>
            <w:tcW w:w="720" w:type="dxa"/>
            <w:vAlign w:val="bottom"/>
            <w:tcBorders>
              <w:bottom w:val="single" w:sz="8" w:color="5673B8"/>
            </w:tcBorders>
          </w:tcPr>
          <w:p>
            <w:pPr>
              <w:spacing w:after="0"/>
              <w:rPr>
                <w:sz w:val="7"/>
                <w:szCs w:val="7"/>
                <w:color w:val="auto"/>
              </w:rPr>
            </w:pPr>
          </w:p>
        </w:tc>
        <w:tc>
          <w:tcPr>
            <w:tcW w:w="1180" w:type="dxa"/>
            <w:vAlign w:val="bottom"/>
            <w:tcBorders>
              <w:bottom w:val="single" w:sz="8" w:color="5673B8"/>
            </w:tcBorders>
          </w:tcPr>
          <w:p>
            <w:pPr>
              <w:spacing w:after="0"/>
              <w:rPr>
                <w:sz w:val="7"/>
                <w:szCs w:val="7"/>
                <w:color w:val="auto"/>
              </w:rPr>
            </w:pPr>
          </w:p>
        </w:tc>
        <w:tc>
          <w:tcPr>
            <w:tcW w:w="1080" w:type="dxa"/>
            <w:vAlign w:val="bottom"/>
            <w:tcBorders>
              <w:bottom w:val="single" w:sz="8" w:color="5673B8"/>
            </w:tcBorders>
          </w:tcPr>
          <w:p>
            <w:pPr>
              <w:spacing w:after="0"/>
              <w:rPr>
                <w:sz w:val="7"/>
                <w:szCs w:val="7"/>
                <w:color w:val="auto"/>
              </w:rPr>
            </w:pPr>
          </w:p>
        </w:tc>
        <w:tc>
          <w:tcPr>
            <w:tcW w:w="1380" w:type="dxa"/>
            <w:vAlign w:val="bottom"/>
            <w:tcBorders>
              <w:bottom w:val="single" w:sz="8" w:color="5673B8"/>
            </w:tcBorders>
          </w:tcPr>
          <w:p>
            <w:pPr>
              <w:spacing w:after="0"/>
              <w:rPr>
                <w:sz w:val="7"/>
                <w:szCs w:val="7"/>
                <w:color w:val="auto"/>
              </w:rPr>
            </w:pPr>
          </w:p>
        </w:tc>
        <w:tc>
          <w:tcPr>
            <w:tcW w:w="1360" w:type="dxa"/>
            <w:vAlign w:val="bottom"/>
            <w:tcBorders>
              <w:bottom w:val="single" w:sz="8" w:color="5673B8"/>
            </w:tcBorders>
          </w:tcPr>
          <w:p>
            <w:pPr>
              <w:spacing w:after="0"/>
              <w:rPr>
                <w:sz w:val="7"/>
                <w:szCs w:val="7"/>
                <w:color w:val="auto"/>
              </w:rPr>
            </w:pPr>
          </w:p>
        </w:tc>
        <w:tc>
          <w:tcPr>
            <w:tcW w:w="880" w:type="dxa"/>
            <w:vAlign w:val="bottom"/>
            <w:tcBorders>
              <w:bottom w:val="single" w:sz="8" w:color="5673B8"/>
            </w:tcBorders>
          </w:tcPr>
          <w:p>
            <w:pPr>
              <w:spacing w:after="0"/>
              <w:rPr>
                <w:sz w:val="7"/>
                <w:szCs w:val="7"/>
                <w:color w:val="auto"/>
              </w:rPr>
            </w:pPr>
          </w:p>
        </w:tc>
        <w:tc>
          <w:tcPr>
            <w:tcW w:w="10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286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4"/>
                <w:szCs w:val="14"/>
                <w:color w:val="auto"/>
              </w:rPr>
              <w:t>2023</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673,945</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10"/>
              <w:spacing w:after="0"/>
              <w:rPr>
                <w:sz w:val="20"/>
                <w:szCs w:val="20"/>
                <w:color w:val="auto"/>
              </w:rPr>
            </w:pPr>
            <w:r>
              <w:rPr>
                <w:rFonts w:ascii="Arial" w:cs="Arial" w:eastAsia="Arial" w:hAnsi="Arial"/>
                <w:sz w:val="14"/>
                <w:szCs w:val="14"/>
                <w:color w:val="auto"/>
              </w:rPr>
              <w:t>2,865,730</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108"/>
              <w:spacing w:after="0"/>
              <w:rPr>
                <w:sz w:val="20"/>
                <w:szCs w:val="20"/>
                <w:color w:val="auto"/>
              </w:rPr>
            </w:pPr>
            <w:r>
              <w:rPr>
                <w:rFonts w:ascii="Arial" w:cs="Arial" w:eastAsia="Arial" w:hAnsi="Arial"/>
                <w:sz w:val="14"/>
                <w:szCs w:val="14"/>
                <w:color w:val="auto"/>
              </w:rPr>
              <w:t>320,000</w:t>
            </w:r>
          </w:p>
        </w:tc>
        <w:tc>
          <w:tcPr>
            <w:tcW w:w="1360" w:type="dxa"/>
            <w:vAlign w:val="bottom"/>
            <w:vMerge w:val="restart"/>
          </w:tcPr>
          <w:p>
            <w:pPr>
              <w:jc w:val="right"/>
              <w:ind w:right="90"/>
              <w:spacing w:after="0"/>
              <w:rPr>
                <w:sz w:val="20"/>
                <w:szCs w:val="20"/>
                <w:color w:val="auto"/>
              </w:rPr>
            </w:pPr>
            <w:r>
              <w:rPr>
                <w:rFonts w:ascii="Arial" w:cs="Arial" w:eastAsia="Arial" w:hAnsi="Arial"/>
                <w:sz w:val="14"/>
                <w:szCs w:val="14"/>
                <w:color w:val="auto"/>
              </w:rPr>
              <w:t>17,760</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3,877,435</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5673B8"/>
            </w:tcBorders>
          </w:tcPr>
          <w:p>
            <w:pPr>
              <w:spacing w:after="0"/>
              <w:rPr>
                <w:sz w:val="5"/>
                <w:szCs w:val="5"/>
                <w:color w:val="auto"/>
              </w:rPr>
            </w:pPr>
          </w:p>
        </w:tc>
        <w:tc>
          <w:tcPr>
            <w:tcW w:w="2860" w:type="dxa"/>
            <w:vAlign w:val="bottom"/>
            <w:tcBorders>
              <w:bottom w:val="single" w:sz="8" w:color="5673B8"/>
            </w:tcBorders>
          </w:tcPr>
          <w:p>
            <w:pPr>
              <w:spacing w:after="0"/>
              <w:rPr>
                <w:sz w:val="5"/>
                <w:szCs w:val="5"/>
                <w:color w:val="auto"/>
              </w:rPr>
            </w:pPr>
          </w:p>
        </w:tc>
        <w:tc>
          <w:tcPr>
            <w:tcW w:w="620" w:type="dxa"/>
            <w:vAlign w:val="bottom"/>
            <w:tcBorders>
              <w:bottom w:val="single" w:sz="8" w:color="5673B8"/>
            </w:tcBorders>
          </w:tcPr>
          <w:p>
            <w:pPr>
              <w:spacing w:after="0"/>
              <w:rPr>
                <w:sz w:val="5"/>
                <w:szCs w:val="5"/>
                <w:color w:val="auto"/>
              </w:rPr>
            </w:pPr>
          </w:p>
        </w:tc>
        <w:tc>
          <w:tcPr>
            <w:tcW w:w="980" w:type="dxa"/>
            <w:vAlign w:val="bottom"/>
            <w:tcBorders>
              <w:bottom w:val="single" w:sz="8" w:color="5673B8"/>
            </w:tcBorders>
          </w:tcPr>
          <w:p>
            <w:pPr>
              <w:spacing w:after="0"/>
              <w:rPr>
                <w:sz w:val="5"/>
                <w:szCs w:val="5"/>
                <w:color w:val="auto"/>
              </w:rPr>
            </w:pPr>
          </w:p>
        </w:tc>
        <w:tc>
          <w:tcPr>
            <w:tcW w:w="720" w:type="dxa"/>
            <w:vAlign w:val="bottom"/>
            <w:tcBorders>
              <w:bottom w:val="single" w:sz="8" w:color="5673B8"/>
            </w:tcBorders>
          </w:tcPr>
          <w:p>
            <w:pPr>
              <w:spacing w:after="0"/>
              <w:rPr>
                <w:sz w:val="5"/>
                <w:szCs w:val="5"/>
                <w:color w:val="auto"/>
              </w:rPr>
            </w:pPr>
          </w:p>
        </w:tc>
        <w:tc>
          <w:tcPr>
            <w:tcW w:w="1180" w:type="dxa"/>
            <w:vAlign w:val="bottom"/>
            <w:tcBorders>
              <w:bottom w:val="single" w:sz="8" w:color="5673B8"/>
            </w:tcBorders>
          </w:tcPr>
          <w:p>
            <w:pPr>
              <w:spacing w:after="0"/>
              <w:rPr>
                <w:sz w:val="5"/>
                <w:szCs w:val="5"/>
                <w:color w:val="auto"/>
              </w:rPr>
            </w:pPr>
          </w:p>
        </w:tc>
        <w:tc>
          <w:tcPr>
            <w:tcW w:w="1080" w:type="dxa"/>
            <w:vAlign w:val="bottom"/>
            <w:tcBorders>
              <w:bottom w:val="single" w:sz="8" w:color="5673B8"/>
            </w:tcBorders>
          </w:tcPr>
          <w:p>
            <w:pPr>
              <w:spacing w:after="0"/>
              <w:rPr>
                <w:sz w:val="5"/>
                <w:szCs w:val="5"/>
                <w:color w:val="auto"/>
              </w:rPr>
            </w:pPr>
          </w:p>
        </w:tc>
        <w:tc>
          <w:tcPr>
            <w:tcW w:w="1380" w:type="dxa"/>
            <w:vAlign w:val="bottom"/>
            <w:tcBorders>
              <w:bottom w:val="single" w:sz="8" w:color="5673B8"/>
            </w:tcBorders>
          </w:tcPr>
          <w:p>
            <w:pPr>
              <w:spacing w:after="0"/>
              <w:rPr>
                <w:sz w:val="5"/>
                <w:szCs w:val="5"/>
                <w:color w:val="auto"/>
              </w:rPr>
            </w:pPr>
          </w:p>
        </w:tc>
        <w:tc>
          <w:tcPr>
            <w:tcW w:w="13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4"/>
                <w:szCs w:val="14"/>
                <w:b w:val="1"/>
                <w:bCs w:val="1"/>
                <w:color w:val="852166"/>
              </w:rPr>
              <w:t>Samantha Pearce</w:t>
            </w:r>
            <w:r>
              <w:rPr>
                <w:rFonts w:ascii="Arial" w:cs="Arial" w:eastAsia="Arial" w:hAnsi="Arial"/>
                <w:sz w:val="18"/>
                <w:szCs w:val="18"/>
                <w:b w:val="1"/>
                <w:bCs w:val="1"/>
                <w:color w:val="852166"/>
                <w:vertAlign w:val="superscript"/>
              </w:rPr>
              <w:t>(11)</w:t>
            </w:r>
          </w:p>
        </w:tc>
        <w:tc>
          <w:tcPr>
            <w:tcW w:w="620" w:type="dxa"/>
            <w:vAlign w:val="bottom"/>
          </w:tcPr>
          <w:p>
            <w:pPr>
              <w:ind w:left="100"/>
              <w:spacing w:after="0"/>
              <w:rPr>
                <w:sz w:val="20"/>
                <w:szCs w:val="20"/>
                <w:color w:val="auto"/>
              </w:rPr>
            </w:pPr>
            <w:r>
              <w:rPr>
                <w:rFonts w:ascii="Arial" w:cs="Arial" w:eastAsia="Arial" w:hAnsi="Arial"/>
                <w:sz w:val="14"/>
                <w:szCs w:val="14"/>
                <w:color w:val="auto"/>
              </w:rPr>
              <w:t>2025</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695,673</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0"/>
              <w:spacing w:after="0"/>
              <w:rPr>
                <w:sz w:val="20"/>
                <w:szCs w:val="20"/>
                <w:color w:val="auto"/>
              </w:rPr>
            </w:pPr>
            <w:r>
              <w:rPr>
                <w:rFonts w:ascii="Arial" w:cs="Arial" w:eastAsia="Arial" w:hAnsi="Arial"/>
                <w:sz w:val="14"/>
                <w:szCs w:val="14"/>
                <w:color w:val="auto"/>
              </w:rPr>
              <w:t>4,659,014</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690,000</w:t>
            </w:r>
          </w:p>
        </w:tc>
        <w:tc>
          <w:tcPr>
            <w:tcW w:w="1360" w:type="dxa"/>
            <w:vAlign w:val="bottom"/>
          </w:tcPr>
          <w:p>
            <w:pPr>
              <w:jc w:val="right"/>
              <w:ind w:right="90"/>
              <w:spacing w:after="0"/>
              <w:rPr>
                <w:sz w:val="20"/>
                <w:szCs w:val="20"/>
                <w:color w:val="auto"/>
              </w:rPr>
            </w:pPr>
            <w:r>
              <w:rPr>
                <w:rFonts w:ascii="Arial" w:cs="Arial" w:eastAsia="Arial" w:hAnsi="Arial"/>
                <w:sz w:val="14"/>
                <w:szCs w:val="14"/>
                <w:color w:val="auto"/>
              </w:rPr>
              <w:t>31,440</w:t>
            </w:r>
          </w:p>
        </w:tc>
        <w:tc>
          <w:tcPr>
            <w:tcW w:w="880" w:type="dxa"/>
            <w:vAlign w:val="bottom"/>
          </w:tcPr>
          <w:p>
            <w:pPr>
              <w:jc w:val="right"/>
              <w:spacing w:after="0"/>
              <w:rPr>
                <w:sz w:val="20"/>
                <w:szCs w:val="20"/>
                <w:color w:val="auto"/>
              </w:rPr>
            </w:pPr>
            <w:r>
              <w:rPr>
                <w:rFonts w:ascii="Arial" w:cs="Arial" w:eastAsia="Arial" w:hAnsi="Arial"/>
                <w:sz w:val="14"/>
                <w:szCs w:val="14"/>
                <w:color w:val="auto"/>
              </w:rPr>
              <w:t>6,076,127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Executive Vice President, Chief Commercial</w:t>
            </w:r>
          </w:p>
        </w:tc>
        <w:tc>
          <w:tcPr>
            <w:tcW w:w="620" w:type="dxa"/>
            <w:vAlign w:val="bottom"/>
            <w:tcBorders>
              <w:bottom w:val="single" w:sz="8" w:color="5673B8"/>
            </w:tcBorders>
          </w:tcPr>
          <w:p>
            <w:pPr>
              <w:spacing w:after="0"/>
              <w:rPr>
                <w:sz w:val="5"/>
                <w:szCs w:val="5"/>
                <w:color w:val="auto"/>
              </w:rPr>
            </w:pPr>
          </w:p>
        </w:tc>
        <w:tc>
          <w:tcPr>
            <w:tcW w:w="980" w:type="dxa"/>
            <w:vAlign w:val="bottom"/>
            <w:tcBorders>
              <w:bottom w:val="single" w:sz="8" w:color="5673B8"/>
            </w:tcBorders>
          </w:tcPr>
          <w:p>
            <w:pPr>
              <w:spacing w:after="0"/>
              <w:rPr>
                <w:sz w:val="5"/>
                <w:szCs w:val="5"/>
                <w:color w:val="auto"/>
              </w:rPr>
            </w:pPr>
          </w:p>
        </w:tc>
        <w:tc>
          <w:tcPr>
            <w:tcW w:w="720" w:type="dxa"/>
            <w:vAlign w:val="bottom"/>
            <w:tcBorders>
              <w:bottom w:val="single" w:sz="8" w:color="5673B8"/>
            </w:tcBorders>
          </w:tcPr>
          <w:p>
            <w:pPr>
              <w:spacing w:after="0"/>
              <w:rPr>
                <w:sz w:val="5"/>
                <w:szCs w:val="5"/>
                <w:color w:val="auto"/>
              </w:rPr>
            </w:pPr>
          </w:p>
        </w:tc>
        <w:tc>
          <w:tcPr>
            <w:tcW w:w="1180" w:type="dxa"/>
            <w:vAlign w:val="bottom"/>
            <w:tcBorders>
              <w:bottom w:val="single" w:sz="8" w:color="5673B8"/>
            </w:tcBorders>
          </w:tcPr>
          <w:p>
            <w:pPr>
              <w:spacing w:after="0"/>
              <w:rPr>
                <w:sz w:val="5"/>
                <w:szCs w:val="5"/>
                <w:color w:val="auto"/>
              </w:rPr>
            </w:pPr>
          </w:p>
        </w:tc>
        <w:tc>
          <w:tcPr>
            <w:tcW w:w="1080" w:type="dxa"/>
            <w:vAlign w:val="bottom"/>
            <w:tcBorders>
              <w:bottom w:val="single" w:sz="8" w:color="5673B8"/>
            </w:tcBorders>
          </w:tcPr>
          <w:p>
            <w:pPr>
              <w:spacing w:after="0"/>
              <w:rPr>
                <w:sz w:val="5"/>
                <w:szCs w:val="5"/>
                <w:color w:val="auto"/>
              </w:rPr>
            </w:pPr>
          </w:p>
        </w:tc>
        <w:tc>
          <w:tcPr>
            <w:tcW w:w="1380" w:type="dxa"/>
            <w:vAlign w:val="bottom"/>
            <w:tcBorders>
              <w:bottom w:val="single" w:sz="8" w:color="5673B8"/>
            </w:tcBorders>
          </w:tcPr>
          <w:p>
            <w:pPr>
              <w:spacing w:after="0"/>
              <w:rPr>
                <w:sz w:val="5"/>
                <w:szCs w:val="5"/>
                <w:color w:val="auto"/>
              </w:rPr>
            </w:pPr>
          </w:p>
        </w:tc>
        <w:tc>
          <w:tcPr>
            <w:tcW w:w="13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286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4"/>
                <w:szCs w:val="14"/>
                <w:color w:val="auto"/>
              </w:rPr>
              <w:t>2024</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619,794</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300,000</w:t>
            </w:r>
          </w:p>
        </w:tc>
        <w:tc>
          <w:tcPr>
            <w:tcW w:w="1180" w:type="dxa"/>
            <w:vAlign w:val="bottom"/>
            <w:vMerge w:val="restart"/>
          </w:tcPr>
          <w:p>
            <w:pPr>
              <w:jc w:val="right"/>
              <w:ind w:right="110"/>
              <w:spacing w:after="0"/>
              <w:rPr>
                <w:sz w:val="20"/>
                <w:szCs w:val="20"/>
                <w:color w:val="auto"/>
              </w:rPr>
            </w:pPr>
            <w:r>
              <w:rPr>
                <w:rFonts w:ascii="Arial" w:cs="Arial" w:eastAsia="Arial" w:hAnsi="Arial"/>
                <w:sz w:val="14"/>
                <w:szCs w:val="14"/>
                <w:color w:val="auto"/>
              </w:rPr>
              <w:t>2,975,603</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108"/>
              <w:spacing w:after="0"/>
              <w:rPr>
                <w:sz w:val="20"/>
                <w:szCs w:val="20"/>
                <w:color w:val="auto"/>
              </w:rPr>
            </w:pPr>
            <w:r>
              <w:rPr>
                <w:rFonts w:ascii="Arial" w:cs="Arial" w:eastAsia="Arial" w:hAnsi="Arial"/>
                <w:sz w:val="14"/>
                <w:szCs w:val="14"/>
                <w:color w:val="auto"/>
              </w:rPr>
              <w:t>491,000</w:t>
            </w:r>
          </w:p>
        </w:tc>
        <w:tc>
          <w:tcPr>
            <w:tcW w:w="1360" w:type="dxa"/>
            <w:vAlign w:val="bottom"/>
            <w:vMerge w:val="restart"/>
          </w:tcPr>
          <w:p>
            <w:pPr>
              <w:jc w:val="right"/>
              <w:ind w:right="90"/>
              <w:spacing w:after="0"/>
              <w:rPr>
                <w:sz w:val="20"/>
                <w:szCs w:val="20"/>
                <w:color w:val="auto"/>
              </w:rPr>
            </w:pPr>
            <w:r>
              <w:rPr>
                <w:rFonts w:ascii="Arial" w:cs="Arial" w:eastAsia="Arial" w:hAnsi="Arial"/>
                <w:sz w:val="14"/>
                <w:szCs w:val="14"/>
                <w:color w:val="auto"/>
              </w:rPr>
              <w:t>77,857</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4,464,254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Officer</w:t>
            </w:r>
          </w:p>
        </w:tc>
        <w:tc>
          <w:tcPr>
            <w:tcW w:w="6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80" w:type="dxa"/>
            <w:vAlign w:val="bottom"/>
            <w:tcBorders>
              <w:bottom w:val="single" w:sz="8" w:color="852166"/>
            </w:tcBorders>
          </w:tcPr>
          <w:p>
            <w:pPr>
              <w:spacing w:after="0"/>
              <w:rPr>
                <w:sz w:val="3"/>
                <w:szCs w:val="3"/>
                <w:color w:val="auto"/>
              </w:rPr>
            </w:pPr>
          </w:p>
        </w:tc>
        <w:tc>
          <w:tcPr>
            <w:tcW w:w="2860" w:type="dxa"/>
            <w:vAlign w:val="bottom"/>
            <w:tcBorders>
              <w:bottom w:val="single" w:sz="8" w:color="852166"/>
            </w:tcBorders>
          </w:tcPr>
          <w:p>
            <w:pPr>
              <w:spacing w:after="0"/>
              <w:rPr>
                <w:sz w:val="3"/>
                <w:szCs w:val="3"/>
                <w:color w:val="auto"/>
              </w:rPr>
            </w:pPr>
          </w:p>
        </w:tc>
        <w:tc>
          <w:tcPr>
            <w:tcW w:w="620" w:type="dxa"/>
            <w:vAlign w:val="bottom"/>
            <w:tcBorders>
              <w:bottom w:val="single" w:sz="8" w:color="852166"/>
            </w:tcBorders>
          </w:tcPr>
          <w:p>
            <w:pPr>
              <w:spacing w:after="0"/>
              <w:rPr>
                <w:sz w:val="3"/>
                <w:szCs w:val="3"/>
                <w:color w:val="auto"/>
              </w:rPr>
            </w:pPr>
          </w:p>
        </w:tc>
        <w:tc>
          <w:tcPr>
            <w:tcW w:w="980" w:type="dxa"/>
            <w:vAlign w:val="bottom"/>
            <w:tcBorders>
              <w:bottom w:val="single" w:sz="8" w:color="852166"/>
            </w:tcBorders>
          </w:tcPr>
          <w:p>
            <w:pPr>
              <w:spacing w:after="0"/>
              <w:rPr>
                <w:sz w:val="3"/>
                <w:szCs w:val="3"/>
                <w:color w:val="auto"/>
              </w:rPr>
            </w:pPr>
          </w:p>
        </w:tc>
        <w:tc>
          <w:tcPr>
            <w:tcW w:w="720" w:type="dxa"/>
            <w:vAlign w:val="bottom"/>
            <w:tcBorders>
              <w:bottom w:val="single" w:sz="8" w:color="852166"/>
            </w:tcBorders>
          </w:tcPr>
          <w:p>
            <w:pPr>
              <w:spacing w:after="0"/>
              <w:rPr>
                <w:sz w:val="3"/>
                <w:szCs w:val="3"/>
                <w:color w:val="auto"/>
              </w:rPr>
            </w:pPr>
          </w:p>
        </w:tc>
        <w:tc>
          <w:tcPr>
            <w:tcW w:w="1180" w:type="dxa"/>
            <w:vAlign w:val="bottom"/>
            <w:tcBorders>
              <w:bottom w:val="single" w:sz="8" w:color="852166"/>
            </w:tcBorders>
          </w:tcPr>
          <w:p>
            <w:pPr>
              <w:spacing w:after="0"/>
              <w:rPr>
                <w:sz w:val="3"/>
                <w:szCs w:val="3"/>
                <w:color w:val="auto"/>
              </w:rPr>
            </w:pPr>
          </w:p>
        </w:tc>
        <w:tc>
          <w:tcPr>
            <w:tcW w:w="1080" w:type="dxa"/>
            <w:vAlign w:val="bottom"/>
            <w:tcBorders>
              <w:bottom w:val="single" w:sz="8" w:color="852166"/>
            </w:tcBorders>
          </w:tcPr>
          <w:p>
            <w:pPr>
              <w:spacing w:after="0"/>
              <w:rPr>
                <w:sz w:val="3"/>
                <w:szCs w:val="3"/>
                <w:color w:val="auto"/>
              </w:rPr>
            </w:pPr>
          </w:p>
        </w:tc>
        <w:tc>
          <w:tcPr>
            <w:tcW w:w="1380" w:type="dxa"/>
            <w:vAlign w:val="bottom"/>
            <w:tcBorders>
              <w:bottom w:val="single" w:sz="8" w:color="852166"/>
            </w:tcBorders>
          </w:tcPr>
          <w:p>
            <w:pPr>
              <w:spacing w:after="0"/>
              <w:rPr>
                <w:sz w:val="3"/>
                <w:szCs w:val="3"/>
                <w:color w:val="auto"/>
              </w:rPr>
            </w:pPr>
          </w:p>
        </w:tc>
        <w:tc>
          <w:tcPr>
            <w:tcW w:w="1360" w:type="dxa"/>
            <w:vAlign w:val="bottom"/>
            <w:tcBorders>
              <w:bottom w:val="single" w:sz="8" w:color="852166"/>
            </w:tcBorders>
          </w:tcPr>
          <w:p>
            <w:pPr>
              <w:spacing w:after="0"/>
              <w:rPr>
                <w:sz w:val="3"/>
                <w:szCs w:val="3"/>
                <w:color w:val="auto"/>
              </w:rPr>
            </w:pPr>
          </w:p>
        </w:tc>
        <w:tc>
          <w:tcPr>
            <w:tcW w:w="880" w:type="dxa"/>
            <w:vAlign w:val="bottom"/>
            <w:tcBorders>
              <w:bottom w:val="single" w:sz="8" w:color="852166"/>
            </w:tcBorders>
          </w:tcPr>
          <w:p>
            <w:pPr>
              <w:spacing w:after="0"/>
              <w:rPr>
                <w:sz w:val="3"/>
                <w:szCs w:val="3"/>
                <w:color w:val="auto"/>
              </w:rPr>
            </w:pPr>
          </w:p>
        </w:tc>
        <w:tc>
          <w:tcPr>
            <w:tcW w:w="100" w:type="dxa"/>
            <w:vAlign w:val="bottom"/>
            <w:tcBorders>
              <w:bottom w:val="single" w:sz="8" w:color="85216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Amounts may not total due to rounding.</w:t>
      </w:r>
    </w:p>
    <w:p>
      <w:pPr>
        <w:spacing w:after="0" w:line="80" w:lineRule="exact"/>
        <w:rPr>
          <w:sz w:val="20"/>
          <w:szCs w:val="20"/>
          <w:color w:val="auto"/>
        </w:rPr>
      </w:pPr>
    </w:p>
    <w:p>
      <w:pPr>
        <w:ind w:left="340" w:right="80" w:hanging="332"/>
        <w:spacing w:after="0" w:line="269" w:lineRule="auto"/>
        <w:tabs>
          <w:tab w:leader="none" w:pos="327"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dollar amounts in this column represent base salary earned during the indicated fiscal year 2025 base salary rates, which were effective March 2025 for each of the NEOs other than Ms. Gala. Ms. Gala’s base salary was increased twice in 2025: once in March in connection with the annual compensation review, and again in August in connection with her promotion to President and CEO. For more information on salaries in 2025, see “</w:t>
      </w:r>
      <w:r>
        <w:rPr>
          <w:rFonts w:ascii="Arial" w:cs="Arial" w:eastAsia="Arial" w:hAnsi="Arial"/>
          <w:sz w:val="14"/>
          <w:szCs w:val="14"/>
          <w:i w:val="1"/>
          <w:iCs w:val="1"/>
          <w:color w:val="auto"/>
        </w:rPr>
        <w:t>Compensation Discussion and Analysis—2025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Decisions for Our NEOs—Individual NEO Compensation Decisions</w:t>
      </w:r>
      <w:r>
        <w:rPr>
          <w:rFonts w:ascii="Arial" w:cs="Arial" w:eastAsia="Arial" w:hAnsi="Arial"/>
          <w:sz w:val="14"/>
          <w:szCs w:val="14"/>
          <w:color w:val="auto"/>
        </w:rPr>
        <w:t>” above.</w:t>
      </w:r>
    </w:p>
    <w:p>
      <w:pPr>
        <w:spacing w:after="0" w:line="47" w:lineRule="exact"/>
        <w:rPr>
          <w:rFonts w:ascii="Arial" w:cs="Arial" w:eastAsia="Arial" w:hAnsi="Arial"/>
          <w:sz w:val="14"/>
          <w:szCs w:val="14"/>
          <w:color w:val="auto"/>
        </w:rPr>
      </w:pPr>
    </w:p>
    <w:p>
      <w:pPr>
        <w:ind w:left="340" w:right="960" w:hanging="332"/>
        <w:spacing w:after="0" w:line="305" w:lineRule="auto"/>
        <w:tabs>
          <w:tab w:leader="none" w:pos="327"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dollar amount in this column for Mr. Cozadd for 2025 represents his prorated target bonus for 2025. See “C</w:t>
      </w:r>
      <w:r>
        <w:rPr>
          <w:rFonts w:ascii="Arial" w:cs="Arial" w:eastAsia="Arial" w:hAnsi="Arial"/>
          <w:sz w:val="14"/>
          <w:szCs w:val="14"/>
          <w:i w:val="1"/>
          <w:iCs w:val="1"/>
          <w:color w:val="auto"/>
        </w:rPr>
        <w:t>ompensation Discussion and Analysis―</w:t>
      </w:r>
      <w:r>
        <w:rPr>
          <w:rFonts w:ascii="Arial" w:cs="Arial" w:eastAsia="Arial" w:hAnsi="Arial"/>
          <w:sz w:val="14"/>
          <w:szCs w:val="14"/>
          <w:color w:val="auto"/>
        </w:rPr>
        <w:t>2</w:t>
      </w:r>
      <w:r>
        <w:rPr>
          <w:rFonts w:ascii="Arial" w:cs="Arial" w:eastAsia="Arial" w:hAnsi="Arial"/>
          <w:sz w:val="14"/>
          <w:szCs w:val="14"/>
          <w:i w:val="1"/>
          <w:iCs w:val="1"/>
          <w:color w:val="auto"/>
        </w:rPr>
        <w:t>025</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Decisions for Our NEOs—Individual NEO Compensation Decisions—Bruce C. Cozadd, Chairperson and Former CEO.</w:t>
      </w:r>
      <w:r>
        <w:rPr>
          <w:rFonts w:ascii="Arial" w:cs="Arial" w:eastAsia="Arial" w:hAnsi="Arial"/>
          <w:sz w:val="14"/>
          <w:szCs w:val="14"/>
          <w:color w:val="auto"/>
        </w:rPr>
        <w:t>”</w:t>
      </w:r>
    </w:p>
    <w:p>
      <w:pPr>
        <w:spacing w:after="0" w:line="9" w:lineRule="exact"/>
        <w:rPr>
          <w:rFonts w:ascii="Arial" w:cs="Arial" w:eastAsia="Arial" w:hAnsi="Arial"/>
          <w:sz w:val="14"/>
          <w:szCs w:val="14"/>
          <w:color w:val="auto"/>
        </w:rPr>
      </w:pPr>
    </w:p>
    <w:p>
      <w:pPr>
        <w:ind w:left="340" w:right="100" w:hanging="332"/>
        <w:spacing w:after="0" w:line="264" w:lineRule="auto"/>
        <w:tabs>
          <w:tab w:leader="none" w:pos="327"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dollar amounts in this column reflect the aggregate grant date fair value of all RSUs and PSUs granted during the indicated fiscal year computed in accordance with FASB ASC 718, excluding the effect of estimated forfeitures. The grant date fair value for RSUs is measured in accordance with FASB ASC 718 and based on the closing price of our ordinary shares on the date of grant. The grant date fair value for the 2025 PSUs was calculated using a Monte Carlo simulation model for the value of 1/3 of the number of PSUs and the closing price of our ordinary shares on the date of the grant for the value of 2/3 of the number of PSUs. These amounts do not necessarily correspond to the actual value recognized or that may be recognized by the NEOs. Assuming that maximum performance is achieved, the value of the PSUs granted to Ms. Gala, Mr. Johnson, Dr. Iannone, Ms. Patil and Ms. Pearce in 2025 at the date of grant under FASB ASC 718 would have been $18,127,680, $5,471,584, $6,292,390, $4,445,660, and $4,240,829, respectively. For additional information on the RSUs and PSUs granted to our NEOs in 2025, see “C</w:t>
      </w:r>
      <w:r>
        <w:rPr>
          <w:rFonts w:ascii="Arial" w:cs="Arial" w:eastAsia="Arial" w:hAnsi="Arial"/>
          <w:sz w:val="14"/>
          <w:szCs w:val="14"/>
          <w:i w:val="1"/>
          <w:iCs w:val="1"/>
          <w:color w:val="auto"/>
        </w:rPr>
        <w:t>ompensation Discussion and Analysis—</w:t>
      </w:r>
      <w:r>
        <w:rPr>
          <w:rFonts w:ascii="Arial" w:cs="Arial" w:eastAsia="Arial" w:hAnsi="Arial"/>
          <w:sz w:val="14"/>
          <w:szCs w:val="14"/>
          <w:color w:val="auto"/>
        </w:rPr>
        <w:t xml:space="preserve"> </w:t>
      </w:r>
      <w:r>
        <w:rPr>
          <w:rFonts w:ascii="Arial" w:cs="Arial" w:eastAsia="Arial" w:hAnsi="Arial"/>
          <w:sz w:val="14"/>
          <w:szCs w:val="14"/>
          <w:i w:val="1"/>
          <w:iCs w:val="1"/>
          <w:color w:val="auto"/>
        </w:rPr>
        <w:t>2025 Compensation Decisions for Our NEOs—Long-Term Incentive Program</w:t>
      </w:r>
      <w:r>
        <w:rPr>
          <w:rFonts w:ascii="Arial" w:cs="Arial" w:eastAsia="Arial" w:hAnsi="Arial"/>
          <w:sz w:val="14"/>
          <w:szCs w:val="14"/>
          <w:color w:val="auto"/>
        </w:rPr>
        <w:t>” and “</w:t>
      </w:r>
      <w:r>
        <w:rPr>
          <w:rFonts w:ascii="Arial" w:cs="Arial" w:eastAsia="Arial" w:hAnsi="Arial"/>
          <w:sz w:val="14"/>
          <w:szCs w:val="14"/>
          <w:i w:val="1"/>
          <w:iCs w:val="1"/>
          <w:color w:val="auto"/>
        </w:rPr>
        <w:t>Compensation Discussion and Analysis—Goals for and Achievement of 2025 Performance-Based Compensation—2025 – 2027 PSU Program</w:t>
      </w:r>
      <w:r>
        <w:rPr>
          <w:rFonts w:ascii="Arial" w:cs="Arial" w:eastAsia="Arial" w:hAnsi="Arial"/>
          <w:sz w:val="14"/>
          <w:szCs w:val="14"/>
          <w:color w:val="auto"/>
        </w:rPr>
        <w:t>” above and footnote 2 to the table entitled “</w:t>
      </w:r>
      <w:r>
        <w:rPr>
          <w:rFonts w:ascii="Arial" w:cs="Arial" w:eastAsia="Arial" w:hAnsi="Arial"/>
          <w:sz w:val="14"/>
          <w:szCs w:val="14"/>
          <w:i w:val="1"/>
          <w:iCs w:val="1"/>
          <w:color w:val="auto"/>
        </w:rPr>
        <w:t>Grants of Plan-Based Awards in Fiscal 2025.</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125095</wp:posOffset>
            </wp:positionV>
            <wp:extent cx="1242695" cy="2057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76</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4" w:name="page85"/>
    <w:bookmarkEnd w:id="84"/>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dollar amounts in this column also include a one-time retention grant of RSUs granted in February 2025 to each of the NEOs, with the exception of Mr. Cozadd.</w:t>
      </w:r>
    </w:p>
    <w:p>
      <w:pPr>
        <w:spacing w:after="0" w:line="95" w:lineRule="exact"/>
        <w:rPr>
          <w:rFonts w:ascii="Arial" w:cs="Arial" w:eastAsia="Arial" w:hAnsi="Arial"/>
          <w:sz w:val="14"/>
          <w:szCs w:val="14"/>
          <w:color w:val="auto"/>
        </w:rPr>
      </w:pPr>
    </w:p>
    <w:p>
      <w:pPr>
        <w:ind w:left="340" w:right="20" w:hanging="332"/>
        <w:spacing w:after="0" w:line="269" w:lineRule="auto"/>
        <w:tabs>
          <w:tab w:leader="none" w:pos="327"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dollar amount shown in this column for Mr. Cozadd reflects the aggregate incremental compensation expense in connection with the amendment of certain outstanding options awards awarded to him in prior years, computed in accordance with FASB ASC 718, as described under “</w:t>
      </w:r>
      <w:r>
        <w:rPr>
          <w:rFonts w:ascii="Arial" w:cs="Arial" w:eastAsia="Arial" w:hAnsi="Arial"/>
          <w:sz w:val="14"/>
          <w:szCs w:val="14"/>
          <w:i w:val="1"/>
          <w:iCs w:val="1"/>
          <w:color w:val="auto"/>
        </w:rPr>
        <w:t>Compensation Discussion and Analysis―2025</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Decisions for Our NEOs―Modification of Outstanding Stock Options.</w:t>
      </w:r>
      <w:r>
        <w:rPr>
          <w:rFonts w:ascii="Arial" w:cs="Arial" w:eastAsia="Arial" w:hAnsi="Arial"/>
          <w:sz w:val="14"/>
          <w:szCs w:val="14"/>
          <w:color w:val="auto"/>
        </w:rPr>
        <w:t>” Pursuant to accounting guidance prescribed under FASB ASC 718, the amendment</w:t>
      </w:r>
      <w:r>
        <w:rPr>
          <w:rFonts w:ascii="Arial" w:cs="Arial" w:eastAsia="Arial" w:hAnsi="Arial"/>
          <w:sz w:val="14"/>
          <w:szCs w:val="14"/>
          <w:i w:val="1"/>
          <w:iCs w:val="1"/>
          <w:color w:val="auto"/>
        </w:rPr>
        <w:t xml:space="preserve"> </w:t>
      </w:r>
      <w:r>
        <w:rPr>
          <w:rFonts w:ascii="Arial" w:cs="Arial" w:eastAsia="Arial" w:hAnsi="Arial"/>
          <w:sz w:val="14"/>
          <w:szCs w:val="14"/>
          <w:color w:val="auto"/>
        </w:rPr>
        <w:t>resulted in a grant modification that caused incremental fair value determined by comparing the aggregate fair value of the outstanding awards immediately before and after the modification.</w:t>
      </w:r>
    </w:p>
    <w:p>
      <w:pPr>
        <w:spacing w:after="0" w:line="223" w:lineRule="exact"/>
        <w:rPr>
          <w:rFonts w:ascii="Arial" w:cs="Arial" w:eastAsia="Arial" w:hAnsi="Arial"/>
          <w:sz w:val="14"/>
          <w:szCs w:val="14"/>
          <w:color w:val="auto"/>
        </w:rPr>
      </w:pPr>
    </w:p>
    <w:p>
      <w:pPr>
        <w:ind w:left="340" w:right="60" w:hanging="332"/>
        <w:spacing w:after="0" w:line="273" w:lineRule="auto"/>
        <w:tabs>
          <w:tab w:leader="none" w:pos="327"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dollar amounts in this column represent the cash bonus awarded under the performance bonus plan for the indicated fiscal year. For more information on the cash bonus awards for 2025, see “</w:t>
      </w:r>
      <w:r>
        <w:rPr>
          <w:rFonts w:ascii="Arial" w:cs="Arial" w:eastAsia="Arial" w:hAnsi="Arial"/>
          <w:sz w:val="14"/>
          <w:szCs w:val="14"/>
          <w:i w:val="1"/>
          <w:iCs w:val="1"/>
          <w:color w:val="auto"/>
        </w:rPr>
        <w:t>Compensation Discussion and Analysis—Goals for and Achievement of 2025 Performance-Based Compensation—2025 Performance Bonus</w:t>
      </w:r>
      <w:r>
        <w:rPr>
          <w:rFonts w:ascii="Arial" w:cs="Arial" w:eastAsia="Arial" w:hAnsi="Arial"/>
          <w:sz w:val="14"/>
          <w:szCs w:val="14"/>
          <w:color w:val="auto"/>
        </w:rPr>
        <w:t xml:space="preserve"> </w:t>
      </w:r>
      <w:r>
        <w:rPr>
          <w:rFonts w:ascii="Arial" w:cs="Arial" w:eastAsia="Arial" w:hAnsi="Arial"/>
          <w:sz w:val="14"/>
          <w:szCs w:val="14"/>
          <w:i w:val="1"/>
          <w:iCs w:val="1"/>
          <w:color w:val="auto"/>
        </w:rPr>
        <w:t>Program</w:t>
      </w:r>
      <w:r>
        <w:rPr>
          <w:rFonts w:ascii="Arial" w:cs="Arial" w:eastAsia="Arial" w:hAnsi="Arial"/>
          <w:sz w:val="14"/>
          <w:szCs w:val="14"/>
          <w:color w:val="auto"/>
        </w:rPr>
        <w:t>” and “</w:t>
      </w:r>
      <w:r>
        <w:rPr>
          <w:rFonts w:ascii="Arial" w:cs="Arial" w:eastAsia="Arial" w:hAnsi="Arial"/>
          <w:sz w:val="14"/>
          <w:szCs w:val="14"/>
          <w:i w:val="1"/>
          <w:iCs w:val="1"/>
          <w:color w:val="auto"/>
        </w:rPr>
        <w:t>Compensation Discussion and Analysis—2025 Compensation Decisions for Our NEOs</w:t>
      </w:r>
      <w:r>
        <w:rPr>
          <w:rFonts w:ascii="Arial" w:cs="Arial" w:eastAsia="Arial" w:hAnsi="Arial"/>
          <w:sz w:val="14"/>
          <w:szCs w:val="14"/>
          <w:color w:val="auto"/>
        </w:rPr>
        <w:t>” above.</w:t>
      </w:r>
    </w:p>
    <w:p>
      <w:pPr>
        <w:spacing w:after="0" w:line="44" w:lineRule="exact"/>
        <w:rPr>
          <w:rFonts w:ascii="Arial" w:cs="Arial" w:eastAsia="Arial" w:hAnsi="Arial"/>
          <w:sz w:val="14"/>
          <w:szCs w:val="14"/>
          <w:color w:val="auto"/>
        </w:rPr>
      </w:pPr>
    </w:p>
    <w:p>
      <w:pPr>
        <w:ind w:left="340" w:right="40" w:hanging="332"/>
        <w:spacing w:after="0" w:line="276" w:lineRule="auto"/>
        <w:tabs>
          <w:tab w:leader="none" w:pos="327"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dollar amounts in this column for 2025 consisted of group term life insurance premiums paid, matching contributions under our 401(k) Plan, work from home expenses, healthcare contributions, well-being-reimbursements, tax reimbursement and gross up payments. Matching contributions under our 401(k) Plan in 2025 consisted of $17,500 for Ms. Gala, Mr. Johnson, Mr. Cozadd, Dr. Iannone, and Ms. Pearce, respectively, and $16,139 for Ms. Patil. The dollar amount for Mr. Cozadd for 2025 includes $51,827 he received in fees paid in cash for his service as a non-employee director following his retirement in September 2025.</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Ms. Gala was appointed our President, CEO and Director effective August 11, 2025.</w:t>
      </w:r>
    </w:p>
    <w:p>
      <w:pPr>
        <w:spacing w:after="0" w:line="95"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 Johnson was appointed our Executive Vice President and CFO effective March 1, 2024.</w:t>
      </w:r>
    </w:p>
    <w:p>
      <w:pPr>
        <w:spacing w:after="0" w:line="95" w:lineRule="exact"/>
        <w:rPr>
          <w:rFonts w:ascii="Arial" w:cs="Arial" w:eastAsia="Arial" w:hAnsi="Arial"/>
          <w:sz w:val="14"/>
          <w:szCs w:val="14"/>
          <w:color w:val="auto"/>
        </w:rPr>
      </w:pPr>
    </w:p>
    <w:p>
      <w:pPr>
        <w:ind w:left="340" w:right="20" w:hanging="332"/>
        <w:spacing w:after="0" w:line="266" w:lineRule="auto"/>
        <w:tabs>
          <w:tab w:leader="none" w:pos="339"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 Cozadd served as CEO until August 11, 2025, following which he served in a transition role through September 14, 2025 and subsequently retired on September 14, 2025. Due to Mr. Cozadd’s retirement in September 2025, his 2025 bonus was prorated to $971,094, pursuant to the retirement provision of our annual bonus plan. To be eligible for a prorated bonus in the year of retirement, the annual bonus plan requires the recipient be at least 55 years of age with no less than five years of service and retire on or after July 1. Mr. Cozadd met all such requirements. In connection with Mr. Cozadd’s retirement as CEO and transition to a non-employee director role as Chairperson in September 2025, Mr. Cozadd received a pro-rated annual non-employee director RSU grant value equal to $440,404 on November 20, 2025, which amount is included in the “Stock Awards” column. Mr. Cozadd also received $51,827 in director fees paid in cash, which amount is include in the “All Other Compensation” column.</w:t>
      </w:r>
    </w:p>
    <w:p>
      <w:pPr>
        <w:spacing w:after="0" w:line="49" w:lineRule="exact"/>
        <w:rPr>
          <w:rFonts w:ascii="Arial" w:cs="Arial" w:eastAsia="Arial" w:hAnsi="Arial"/>
          <w:sz w:val="14"/>
          <w:szCs w:val="14"/>
          <w:color w:val="auto"/>
        </w:rPr>
      </w:pPr>
    </w:p>
    <w:p>
      <w:pPr>
        <w:ind w:left="340" w:right="160" w:hanging="332"/>
        <w:spacing w:after="0" w:line="273" w:lineRule="auto"/>
        <w:tabs>
          <w:tab w:leader="none" w:pos="329" w:val="left"/>
        </w:tabs>
        <w:numPr>
          <w:ilvl w:val="0"/>
          <w:numId w:val="75"/>
        </w:numPr>
        <w:rPr>
          <w:rFonts w:ascii="Arial" w:cs="Arial" w:eastAsia="Arial" w:hAnsi="Arial"/>
          <w:sz w:val="14"/>
          <w:szCs w:val="14"/>
          <w:color w:val="auto"/>
        </w:rPr>
      </w:pPr>
      <w:r>
        <w:rPr>
          <w:rFonts w:ascii="Arial" w:cs="Arial" w:eastAsia="Arial" w:hAnsi="Arial"/>
          <w:sz w:val="14"/>
          <w:szCs w:val="14"/>
          <w:color w:val="auto"/>
        </w:rPr>
        <w:t>Ms. Pearce was promoted to Executive Vice President, Chief Commercial Officer, effective August 1, 2024; prior to that, she served as our Senior Vice President, Europe and International. Ms. Pearce was paid her annual salary in pounds from January 2024 to September 2024 until her relocation to the U.S. Her actual salary paid before relocation consisted of £356,026 converted to USD using the monthly average exchange rate from January 2024 to September 2024 of 1.2733.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240030</wp:posOffset>
            </wp:positionV>
            <wp:extent cx="1242695" cy="2057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77</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5" w:name="page86"/>
    <w:bookmarkEnd w:id="85"/>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Grants of Plan-Based Awards in Fiscal 2025</w:t>
      </w:r>
    </w:p>
    <w:p>
      <w:pPr>
        <w:spacing w:after="0" w:line="198"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The following table shows, for the fiscal year ended December 31, 2025, certain information regarding grants of plan-based awards to the NEOs. Except as specified, all awards were granted under our 2011 Plan.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80" w:type="dxa"/>
            <w:vAlign w:val="bottom"/>
            <w:shd w:val="clear" w:color="auto" w:fill="001C71"/>
          </w:tcPr>
          <w:p>
            <w:pPr>
              <w:spacing w:after="0"/>
              <w:rPr>
                <w:sz w:val="24"/>
                <w:szCs w:val="24"/>
                <w:color w:val="auto"/>
              </w:rPr>
            </w:pPr>
          </w:p>
        </w:tc>
        <w:tc>
          <w:tcPr>
            <w:tcW w:w="800" w:type="dxa"/>
            <w:vAlign w:val="bottom"/>
            <w:shd w:val="clear" w:color="auto" w:fill="001C71"/>
          </w:tcPr>
          <w:p>
            <w:pPr>
              <w:spacing w:after="0"/>
              <w:rPr>
                <w:sz w:val="24"/>
                <w:szCs w:val="24"/>
                <w:color w:val="auto"/>
              </w:rPr>
            </w:pPr>
          </w:p>
        </w:tc>
        <w:tc>
          <w:tcPr>
            <w:tcW w:w="740" w:type="dxa"/>
            <w:vAlign w:val="bottom"/>
            <w:shd w:val="clear" w:color="auto" w:fill="001C71"/>
          </w:tcPr>
          <w:p>
            <w:pPr>
              <w:spacing w:after="0"/>
              <w:rPr>
                <w:sz w:val="24"/>
                <w:szCs w:val="24"/>
                <w:color w:val="auto"/>
              </w:rPr>
            </w:pPr>
          </w:p>
        </w:tc>
        <w:tc>
          <w:tcPr>
            <w:tcW w:w="820" w:type="dxa"/>
            <w:vAlign w:val="bottom"/>
            <w:shd w:val="clear" w:color="auto" w:fill="001C71"/>
          </w:tcPr>
          <w:p>
            <w:pPr>
              <w:spacing w:after="0"/>
              <w:rPr>
                <w:sz w:val="24"/>
                <w:szCs w:val="24"/>
                <w:color w:val="auto"/>
              </w:rPr>
            </w:pPr>
          </w:p>
        </w:tc>
        <w:tc>
          <w:tcPr>
            <w:tcW w:w="760" w:type="dxa"/>
            <w:vAlign w:val="bottom"/>
            <w:shd w:val="clear" w:color="auto" w:fill="001C71"/>
          </w:tcPr>
          <w:p>
            <w:pPr>
              <w:spacing w:after="0"/>
              <w:rPr>
                <w:sz w:val="24"/>
                <w:szCs w:val="24"/>
                <w:color w:val="auto"/>
              </w:rPr>
            </w:pPr>
          </w:p>
        </w:tc>
        <w:tc>
          <w:tcPr>
            <w:tcW w:w="2260" w:type="dxa"/>
            <w:vAlign w:val="bottom"/>
            <w:gridSpan w:val="3"/>
            <w:shd w:val="clear" w:color="auto" w:fill="001C71"/>
          </w:tcPr>
          <w:p>
            <w:pPr>
              <w:jc w:val="right"/>
              <w:ind w:right="86"/>
              <w:spacing w:after="0"/>
              <w:rPr>
                <w:sz w:val="20"/>
                <w:szCs w:val="20"/>
                <w:color w:val="auto"/>
              </w:rPr>
            </w:pPr>
            <w:r>
              <w:rPr>
                <w:rFonts w:ascii="Arial" w:cs="Arial" w:eastAsia="Arial" w:hAnsi="Arial"/>
                <w:sz w:val="11"/>
                <w:szCs w:val="11"/>
                <w:b w:val="1"/>
                <w:bCs w:val="1"/>
                <w:color w:val="FFFFFF"/>
              </w:rPr>
              <w:t>Estimated Possible Payouts Under Non-</w:t>
            </w:r>
          </w:p>
        </w:tc>
        <w:tc>
          <w:tcPr>
            <w:tcW w:w="2220" w:type="dxa"/>
            <w:vAlign w:val="bottom"/>
            <w:gridSpan w:val="3"/>
            <w:shd w:val="clear" w:color="auto" w:fill="001C71"/>
          </w:tcPr>
          <w:p>
            <w:pPr>
              <w:jc w:val="right"/>
              <w:ind w:right="26"/>
              <w:spacing w:after="0"/>
              <w:rPr>
                <w:sz w:val="20"/>
                <w:szCs w:val="20"/>
                <w:color w:val="auto"/>
              </w:rPr>
            </w:pPr>
            <w:r>
              <w:rPr>
                <w:rFonts w:ascii="Arial" w:cs="Arial" w:eastAsia="Arial" w:hAnsi="Arial"/>
                <w:sz w:val="11"/>
                <w:szCs w:val="11"/>
                <w:b w:val="1"/>
                <w:bCs w:val="1"/>
                <w:color w:val="FFFFFF"/>
              </w:rPr>
              <w:t>Estimated Future Payouts Under Equity</w:t>
            </w:r>
          </w:p>
        </w:tc>
        <w:tc>
          <w:tcPr>
            <w:tcW w:w="860" w:type="dxa"/>
            <w:vAlign w:val="bottom"/>
            <w:vMerge w:val="restart"/>
            <w:shd w:val="clear" w:color="auto" w:fill="001C71"/>
          </w:tcPr>
          <w:p>
            <w:pPr>
              <w:jc w:val="right"/>
              <w:spacing w:after="0"/>
              <w:rPr>
                <w:sz w:val="20"/>
                <w:szCs w:val="20"/>
                <w:color w:val="auto"/>
              </w:rPr>
            </w:pPr>
            <w:r>
              <w:rPr>
                <w:rFonts w:ascii="Arial" w:cs="Arial" w:eastAsia="Arial" w:hAnsi="Arial"/>
                <w:sz w:val="11"/>
                <w:szCs w:val="11"/>
                <w:b w:val="1"/>
                <w:bCs w:val="1"/>
                <w:color w:val="FFFFFF"/>
              </w:rPr>
              <w:t>All Other Stock</w:t>
            </w:r>
          </w:p>
        </w:tc>
        <w:tc>
          <w:tcPr>
            <w:tcW w:w="880" w:type="dxa"/>
            <w:vAlign w:val="bottom"/>
            <w:vMerge w:val="restart"/>
            <w:shd w:val="clear" w:color="auto" w:fill="001C71"/>
          </w:tcPr>
          <w:p>
            <w:pPr>
              <w:jc w:val="right"/>
              <w:spacing w:after="0"/>
              <w:rPr>
                <w:sz w:val="20"/>
                <w:szCs w:val="20"/>
                <w:color w:val="auto"/>
              </w:rPr>
            </w:pPr>
            <w:r>
              <w:rPr>
                <w:rFonts w:ascii="Arial" w:cs="Arial" w:eastAsia="Arial" w:hAnsi="Arial"/>
                <w:sz w:val="11"/>
                <w:szCs w:val="11"/>
                <w:b w:val="1"/>
                <w:bCs w:val="1"/>
                <w:color w:val="FFFFFF"/>
              </w:rPr>
              <w:t>All Other</w:t>
            </w:r>
          </w:p>
        </w:tc>
        <w:tc>
          <w:tcPr>
            <w:tcW w:w="880" w:type="dxa"/>
            <w:vAlign w:val="bottom"/>
            <w:shd w:val="clear" w:color="auto" w:fill="001C71"/>
          </w:tcPr>
          <w:p>
            <w:pPr>
              <w:spacing w:after="0"/>
              <w:rPr>
                <w:sz w:val="24"/>
                <w:szCs w:val="24"/>
                <w:color w:val="auto"/>
              </w:rPr>
            </w:pPr>
          </w:p>
        </w:tc>
        <w:tc>
          <w:tcPr>
            <w:tcW w:w="840" w:type="dxa"/>
            <w:vAlign w:val="bottom"/>
            <w:shd w:val="clear" w:color="auto" w:fill="001C71"/>
          </w:tcPr>
          <w:p>
            <w:pPr>
              <w:spacing w:after="0"/>
              <w:rPr>
                <w:sz w:val="24"/>
                <w:szCs w:val="24"/>
                <w:color w:val="auto"/>
              </w:rPr>
            </w:pPr>
          </w:p>
        </w:tc>
        <w:tc>
          <w:tcPr>
            <w:tcW w:w="100" w:type="dxa"/>
            <w:vAlign w:val="bottom"/>
            <w:shd w:val="clear" w:color="auto" w:fill="001C71"/>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0" w:type="dxa"/>
            <w:vAlign w:val="bottom"/>
            <w:shd w:val="clear" w:color="auto" w:fill="001C71"/>
          </w:tcPr>
          <w:p>
            <w:pPr>
              <w:spacing w:after="0"/>
              <w:rPr>
                <w:sz w:val="9"/>
                <w:szCs w:val="9"/>
                <w:color w:val="auto"/>
              </w:rPr>
            </w:pPr>
          </w:p>
        </w:tc>
        <w:tc>
          <w:tcPr>
            <w:tcW w:w="800" w:type="dxa"/>
            <w:vAlign w:val="bottom"/>
            <w:shd w:val="clear" w:color="auto" w:fill="001C71"/>
          </w:tcPr>
          <w:p>
            <w:pPr>
              <w:spacing w:after="0"/>
              <w:rPr>
                <w:sz w:val="9"/>
                <w:szCs w:val="9"/>
                <w:color w:val="auto"/>
              </w:rPr>
            </w:pPr>
          </w:p>
        </w:tc>
        <w:tc>
          <w:tcPr>
            <w:tcW w:w="740" w:type="dxa"/>
            <w:vAlign w:val="bottom"/>
            <w:shd w:val="clear" w:color="auto" w:fill="001C71"/>
          </w:tcPr>
          <w:p>
            <w:pPr>
              <w:spacing w:after="0"/>
              <w:rPr>
                <w:sz w:val="9"/>
                <w:szCs w:val="9"/>
                <w:color w:val="auto"/>
              </w:rPr>
            </w:pPr>
          </w:p>
        </w:tc>
        <w:tc>
          <w:tcPr>
            <w:tcW w:w="820" w:type="dxa"/>
            <w:vAlign w:val="bottom"/>
            <w:shd w:val="clear" w:color="auto" w:fill="001C71"/>
          </w:tcPr>
          <w:p>
            <w:pPr>
              <w:spacing w:after="0"/>
              <w:rPr>
                <w:sz w:val="9"/>
                <w:szCs w:val="9"/>
                <w:color w:val="auto"/>
              </w:rPr>
            </w:pPr>
          </w:p>
        </w:tc>
        <w:tc>
          <w:tcPr>
            <w:tcW w:w="760" w:type="dxa"/>
            <w:vAlign w:val="bottom"/>
            <w:shd w:val="clear" w:color="auto" w:fill="001C71"/>
          </w:tcPr>
          <w:p>
            <w:pPr>
              <w:spacing w:after="0"/>
              <w:rPr>
                <w:sz w:val="9"/>
                <w:szCs w:val="9"/>
                <w:color w:val="auto"/>
              </w:rPr>
            </w:pPr>
          </w:p>
        </w:tc>
        <w:tc>
          <w:tcPr>
            <w:tcW w:w="2260" w:type="dxa"/>
            <w:vAlign w:val="bottom"/>
            <w:gridSpan w:val="3"/>
            <w:shd w:val="clear" w:color="auto" w:fill="001C71"/>
          </w:tcPr>
          <w:p>
            <w:pPr>
              <w:jc w:val="right"/>
              <w:ind w:right="326"/>
              <w:spacing w:after="0" w:line="110" w:lineRule="exact"/>
              <w:rPr>
                <w:sz w:val="20"/>
                <w:szCs w:val="20"/>
                <w:color w:val="auto"/>
              </w:rPr>
            </w:pPr>
            <w:r>
              <w:rPr>
                <w:rFonts w:ascii="Arial" w:cs="Arial" w:eastAsia="Arial" w:hAnsi="Arial"/>
                <w:sz w:val="9"/>
                <w:szCs w:val="9"/>
                <w:b w:val="1"/>
                <w:bCs w:val="1"/>
                <w:color w:val="FFFFFF"/>
              </w:rPr>
              <w:t>Equity Incentive Plan Awards</w:t>
            </w:r>
            <w:r>
              <w:rPr>
                <w:rFonts w:ascii="Arial" w:cs="Arial" w:eastAsia="Arial" w:hAnsi="Arial"/>
                <w:sz w:val="12"/>
                <w:szCs w:val="12"/>
                <w:b w:val="1"/>
                <w:bCs w:val="1"/>
                <w:color w:val="FFFFFF"/>
                <w:vertAlign w:val="superscript"/>
              </w:rPr>
              <w:t>(1)</w:t>
            </w:r>
          </w:p>
        </w:tc>
        <w:tc>
          <w:tcPr>
            <w:tcW w:w="2220" w:type="dxa"/>
            <w:vAlign w:val="bottom"/>
            <w:gridSpan w:val="3"/>
            <w:shd w:val="clear" w:color="auto" w:fill="001C71"/>
          </w:tcPr>
          <w:p>
            <w:pPr>
              <w:jc w:val="right"/>
              <w:ind w:right="426"/>
              <w:spacing w:after="0" w:line="110" w:lineRule="exact"/>
              <w:rPr>
                <w:sz w:val="20"/>
                <w:szCs w:val="20"/>
                <w:color w:val="auto"/>
              </w:rPr>
            </w:pPr>
            <w:r>
              <w:rPr>
                <w:rFonts w:ascii="Arial" w:cs="Arial" w:eastAsia="Arial" w:hAnsi="Arial"/>
                <w:sz w:val="9"/>
                <w:szCs w:val="9"/>
                <w:b w:val="1"/>
                <w:bCs w:val="1"/>
                <w:color w:val="FFFFFF"/>
              </w:rPr>
              <w:t>Incentive Plan Awards</w:t>
            </w:r>
            <w:r>
              <w:rPr>
                <w:rFonts w:ascii="Arial" w:cs="Arial" w:eastAsia="Arial" w:hAnsi="Arial"/>
                <w:sz w:val="12"/>
                <w:szCs w:val="12"/>
                <w:b w:val="1"/>
                <w:bCs w:val="1"/>
                <w:color w:val="FFFFFF"/>
                <w:vertAlign w:val="superscript"/>
              </w:rPr>
              <w:t>(2)</w:t>
            </w:r>
          </w:p>
        </w:tc>
        <w:tc>
          <w:tcPr>
            <w:tcW w:w="860" w:type="dxa"/>
            <w:vAlign w:val="bottom"/>
            <w:vMerge w:val="continue"/>
            <w:shd w:val="clear" w:color="auto" w:fill="001C71"/>
          </w:tcPr>
          <w:p>
            <w:pPr>
              <w:spacing w:after="0"/>
              <w:rPr>
                <w:sz w:val="9"/>
                <w:szCs w:val="9"/>
                <w:color w:val="auto"/>
              </w:rPr>
            </w:pPr>
          </w:p>
        </w:tc>
        <w:tc>
          <w:tcPr>
            <w:tcW w:w="880" w:type="dxa"/>
            <w:vAlign w:val="bottom"/>
            <w:vMerge w:val="continue"/>
            <w:shd w:val="clear" w:color="auto" w:fill="001C71"/>
          </w:tcPr>
          <w:p>
            <w:pPr>
              <w:spacing w:after="0"/>
              <w:rPr>
                <w:sz w:val="9"/>
                <w:szCs w:val="9"/>
                <w:color w:val="auto"/>
              </w:rPr>
            </w:pPr>
          </w:p>
        </w:tc>
        <w:tc>
          <w:tcPr>
            <w:tcW w:w="880" w:type="dxa"/>
            <w:vAlign w:val="bottom"/>
            <w:shd w:val="clear" w:color="auto" w:fill="001C71"/>
          </w:tcPr>
          <w:p>
            <w:pPr>
              <w:spacing w:after="0"/>
              <w:rPr>
                <w:sz w:val="9"/>
                <w:szCs w:val="9"/>
                <w:color w:val="auto"/>
              </w:rPr>
            </w:pPr>
          </w:p>
        </w:tc>
        <w:tc>
          <w:tcPr>
            <w:tcW w:w="840" w:type="dxa"/>
            <w:vAlign w:val="bottom"/>
            <w:shd w:val="clear" w:color="auto" w:fill="001C71"/>
          </w:tcPr>
          <w:p>
            <w:pPr>
              <w:spacing w:after="0"/>
              <w:rPr>
                <w:sz w:val="9"/>
                <w:szCs w:val="9"/>
                <w:color w:val="auto"/>
              </w:rPr>
            </w:pPr>
          </w:p>
        </w:tc>
        <w:tc>
          <w:tcPr>
            <w:tcW w:w="100" w:type="dxa"/>
            <w:vAlign w:val="bottom"/>
            <w:shd w:val="clear" w:color="auto" w:fill="001C71"/>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0" w:type="dxa"/>
            <w:vAlign w:val="bottom"/>
            <w:shd w:val="clear" w:color="auto" w:fill="001C71"/>
          </w:tcPr>
          <w:p>
            <w:pPr>
              <w:spacing w:after="0"/>
              <w:rPr>
                <w:sz w:val="11"/>
                <w:szCs w:val="11"/>
                <w:color w:val="auto"/>
              </w:rPr>
            </w:pPr>
          </w:p>
        </w:tc>
        <w:tc>
          <w:tcPr>
            <w:tcW w:w="800" w:type="dxa"/>
            <w:vAlign w:val="bottom"/>
            <w:shd w:val="clear" w:color="auto" w:fill="001C71"/>
          </w:tcPr>
          <w:p>
            <w:pPr>
              <w:spacing w:after="0"/>
              <w:rPr>
                <w:sz w:val="11"/>
                <w:szCs w:val="11"/>
                <w:color w:val="auto"/>
              </w:rPr>
            </w:pPr>
          </w:p>
        </w:tc>
        <w:tc>
          <w:tcPr>
            <w:tcW w:w="740" w:type="dxa"/>
            <w:vAlign w:val="bottom"/>
            <w:shd w:val="clear" w:color="auto" w:fill="001C71"/>
          </w:tcPr>
          <w:p>
            <w:pPr>
              <w:spacing w:after="0"/>
              <w:rPr>
                <w:sz w:val="11"/>
                <w:szCs w:val="11"/>
                <w:color w:val="auto"/>
              </w:rPr>
            </w:pPr>
          </w:p>
        </w:tc>
        <w:tc>
          <w:tcPr>
            <w:tcW w:w="820" w:type="dxa"/>
            <w:vAlign w:val="bottom"/>
            <w:shd w:val="clear" w:color="auto" w:fill="001C71"/>
          </w:tcPr>
          <w:p>
            <w:pPr>
              <w:spacing w:after="0"/>
              <w:rPr>
                <w:sz w:val="11"/>
                <w:szCs w:val="11"/>
                <w:color w:val="auto"/>
              </w:rPr>
            </w:pPr>
          </w:p>
        </w:tc>
        <w:tc>
          <w:tcPr>
            <w:tcW w:w="760" w:type="dxa"/>
            <w:vAlign w:val="bottom"/>
            <w:shd w:val="clear" w:color="auto" w:fill="001C71"/>
          </w:tcPr>
          <w:p>
            <w:pPr>
              <w:spacing w:after="0"/>
              <w:rPr>
                <w:sz w:val="11"/>
                <w:szCs w:val="11"/>
                <w:color w:val="auto"/>
              </w:rPr>
            </w:pPr>
          </w:p>
        </w:tc>
        <w:tc>
          <w:tcPr>
            <w:tcW w:w="740" w:type="dxa"/>
            <w:vAlign w:val="bottom"/>
            <w:shd w:val="clear" w:color="auto" w:fill="001C71"/>
          </w:tcPr>
          <w:p>
            <w:pPr>
              <w:spacing w:after="0"/>
              <w:rPr>
                <w:sz w:val="11"/>
                <w:szCs w:val="11"/>
                <w:color w:val="auto"/>
              </w:rPr>
            </w:pPr>
          </w:p>
        </w:tc>
        <w:tc>
          <w:tcPr>
            <w:tcW w:w="780" w:type="dxa"/>
            <w:vAlign w:val="bottom"/>
            <w:shd w:val="clear" w:color="auto" w:fill="001C71"/>
          </w:tcPr>
          <w:p>
            <w:pPr>
              <w:spacing w:after="0"/>
              <w:rPr>
                <w:sz w:val="11"/>
                <w:szCs w:val="11"/>
                <w:color w:val="auto"/>
              </w:rPr>
            </w:pPr>
          </w:p>
        </w:tc>
        <w:tc>
          <w:tcPr>
            <w:tcW w:w="740" w:type="dxa"/>
            <w:vAlign w:val="bottom"/>
            <w:shd w:val="clear" w:color="auto" w:fill="001C71"/>
          </w:tcPr>
          <w:p>
            <w:pPr>
              <w:spacing w:after="0"/>
              <w:rPr>
                <w:sz w:val="11"/>
                <w:szCs w:val="11"/>
                <w:color w:val="auto"/>
              </w:rPr>
            </w:pPr>
          </w:p>
        </w:tc>
        <w:tc>
          <w:tcPr>
            <w:tcW w:w="920" w:type="dxa"/>
            <w:vAlign w:val="bottom"/>
            <w:shd w:val="clear" w:color="auto" w:fill="001C71"/>
          </w:tcPr>
          <w:p>
            <w:pPr>
              <w:spacing w:after="0"/>
              <w:rPr>
                <w:sz w:val="11"/>
                <w:szCs w:val="11"/>
                <w:color w:val="auto"/>
              </w:rPr>
            </w:pPr>
          </w:p>
        </w:tc>
        <w:tc>
          <w:tcPr>
            <w:tcW w:w="640" w:type="dxa"/>
            <w:vAlign w:val="bottom"/>
            <w:shd w:val="clear" w:color="auto" w:fill="001C71"/>
          </w:tcPr>
          <w:p>
            <w:pPr>
              <w:spacing w:after="0"/>
              <w:rPr>
                <w:sz w:val="11"/>
                <w:szCs w:val="11"/>
                <w:color w:val="auto"/>
              </w:rPr>
            </w:pPr>
          </w:p>
        </w:tc>
        <w:tc>
          <w:tcPr>
            <w:tcW w:w="660" w:type="dxa"/>
            <w:vAlign w:val="bottom"/>
            <w:shd w:val="clear" w:color="auto" w:fill="001C71"/>
          </w:tcPr>
          <w:p>
            <w:pPr>
              <w:spacing w:after="0"/>
              <w:rPr>
                <w:sz w:val="11"/>
                <w:szCs w:val="11"/>
                <w:color w:val="auto"/>
              </w:rPr>
            </w:pPr>
          </w:p>
        </w:tc>
        <w:tc>
          <w:tcPr>
            <w:tcW w:w="86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Awards:</w:t>
            </w:r>
          </w:p>
        </w:tc>
        <w:tc>
          <w:tcPr>
            <w:tcW w:w="88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Option Awards:</w:t>
            </w:r>
          </w:p>
        </w:tc>
        <w:tc>
          <w:tcPr>
            <w:tcW w:w="880" w:type="dxa"/>
            <w:vAlign w:val="bottom"/>
            <w:shd w:val="clear" w:color="auto" w:fill="001C71"/>
          </w:tcPr>
          <w:p>
            <w:pPr>
              <w:spacing w:after="0"/>
              <w:rPr>
                <w:sz w:val="11"/>
                <w:szCs w:val="11"/>
                <w:color w:val="auto"/>
              </w:rPr>
            </w:pPr>
          </w:p>
        </w:tc>
        <w:tc>
          <w:tcPr>
            <w:tcW w:w="840" w:type="dxa"/>
            <w:vAlign w:val="bottom"/>
            <w:shd w:val="clear" w:color="auto" w:fill="001C71"/>
          </w:tcPr>
          <w:p>
            <w:pPr>
              <w:spacing w:after="0"/>
              <w:rPr>
                <w:sz w:val="11"/>
                <w:szCs w:val="11"/>
                <w:color w:val="auto"/>
              </w:rPr>
            </w:pPr>
          </w:p>
        </w:tc>
        <w:tc>
          <w:tcPr>
            <w:tcW w:w="100" w:type="dxa"/>
            <w:vAlign w:val="bottom"/>
            <w:shd w:val="clear" w:color="auto" w:fill="001C71"/>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80" w:type="dxa"/>
            <w:vAlign w:val="bottom"/>
            <w:shd w:val="clear" w:color="auto" w:fill="001C71"/>
          </w:tcPr>
          <w:p>
            <w:pPr>
              <w:spacing w:after="0"/>
              <w:rPr>
                <w:sz w:val="10"/>
                <w:szCs w:val="10"/>
                <w:color w:val="auto"/>
              </w:rPr>
            </w:pPr>
          </w:p>
        </w:tc>
        <w:tc>
          <w:tcPr>
            <w:tcW w:w="800" w:type="dxa"/>
            <w:vAlign w:val="bottom"/>
            <w:shd w:val="clear" w:color="auto" w:fill="001C71"/>
          </w:tcPr>
          <w:p>
            <w:pPr>
              <w:spacing w:after="0"/>
              <w:rPr>
                <w:sz w:val="10"/>
                <w:szCs w:val="10"/>
                <w:color w:val="auto"/>
              </w:rPr>
            </w:pPr>
          </w:p>
        </w:tc>
        <w:tc>
          <w:tcPr>
            <w:tcW w:w="740" w:type="dxa"/>
            <w:vAlign w:val="bottom"/>
            <w:shd w:val="clear" w:color="auto" w:fill="001C71"/>
          </w:tcPr>
          <w:p>
            <w:pPr>
              <w:spacing w:after="0"/>
              <w:rPr>
                <w:sz w:val="10"/>
                <w:szCs w:val="10"/>
                <w:color w:val="auto"/>
              </w:rPr>
            </w:pPr>
          </w:p>
        </w:tc>
        <w:tc>
          <w:tcPr>
            <w:tcW w:w="820" w:type="dxa"/>
            <w:vAlign w:val="bottom"/>
            <w:shd w:val="clear" w:color="auto" w:fill="001C71"/>
          </w:tcPr>
          <w:p>
            <w:pPr>
              <w:spacing w:after="0"/>
              <w:rPr>
                <w:sz w:val="10"/>
                <w:szCs w:val="10"/>
                <w:color w:val="auto"/>
              </w:rPr>
            </w:pPr>
          </w:p>
        </w:tc>
        <w:tc>
          <w:tcPr>
            <w:tcW w:w="760" w:type="dxa"/>
            <w:vAlign w:val="bottom"/>
            <w:shd w:val="clear" w:color="auto" w:fill="001C71"/>
          </w:tcPr>
          <w:p>
            <w:pPr>
              <w:spacing w:after="0"/>
              <w:rPr>
                <w:sz w:val="10"/>
                <w:szCs w:val="10"/>
                <w:color w:val="auto"/>
              </w:rPr>
            </w:pPr>
          </w:p>
        </w:tc>
        <w:tc>
          <w:tcPr>
            <w:tcW w:w="740" w:type="dxa"/>
            <w:vAlign w:val="bottom"/>
            <w:shd w:val="clear" w:color="auto" w:fill="001C71"/>
          </w:tcPr>
          <w:p>
            <w:pPr>
              <w:spacing w:after="0"/>
              <w:rPr>
                <w:sz w:val="10"/>
                <w:szCs w:val="10"/>
                <w:color w:val="auto"/>
              </w:rPr>
            </w:pPr>
          </w:p>
        </w:tc>
        <w:tc>
          <w:tcPr>
            <w:tcW w:w="780" w:type="dxa"/>
            <w:vAlign w:val="bottom"/>
            <w:shd w:val="clear" w:color="auto" w:fill="001C71"/>
          </w:tcPr>
          <w:p>
            <w:pPr>
              <w:spacing w:after="0"/>
              <w:rPr>
                <w:sz w:val="10"/>
                <w:szCs w:val="10"/>
                <w:color w:val="auto"/>
              </w:rPr>
            </w:pPr>
          </w:p>
        </w:tc>
        <w:tc>
          <w:tcPr>
            <w:tcW w:w="740" w:type="dxa"/>
            <w:vAlign w:val="bottom"/>
            <w:shd w:val="clear" w:color="auto" w:fill="001C71"/>
          </w:tcPr>
          <w:p>
            <w:pPr>
              <w:spacing w:after="0"/>
              <w:rPr>
                <w:sz w:val="10"/>
                <w:szCs w:val="10"/>
                <w:color w:val="auto"/>
              </w:rPr>
            </w:pPr>
          </w:p>
        </w:tc>
        <w:tc>
          <w:tcPr>
            <w:tcW w:w="920" w:type="dxa"/>
            <w:vAlign w:val="bottom"/>
            <w:shd w:val="clear" w:color="auto" w:fill="001C71"/>
          </w:tcPr>
          <w:p>
            <w:pPr>
              <w:spacing w:after="0"/>
              <w:rPr>
                <w:sz w:val="10"/>
                <w:szCs w:val="10"/>
                <w:color w:val="auto"/>
              </w:rPr>
            </w:pPr>
          </w:p>
        </w:tc>
        <w:tc>
          <w:tcPr>
            <w:tcW w:w="640" w:type="dxa"/>
            <w:vAlign w:val="bottom"/>
            <w:shd w:val="clear" w:color="auto" w:fill="001C71"/>
          </w:tcPr>
          <w:p>
            <w:pPr>
              <w:spacing w:after="0"/>
              <w:rPr>
                <w:sz w:val="10"/>
                <w:szCs w:val="10"/>
                <w:color w:val="auto"/>
              </w:rPr>
            </w:pPr>
          </w:p>
        </w:tc>
        <w:tc>
          <w:tcPr>
            <w:tcW w:w="660" w:type="dxa"/>
            <w:vAlign w:val="bottom"/>
            <w:shd w:val="clear" w:color="auto" w:fill="001C71"/>
          </w:tcPr>
          <w:p>
            <w:pPr>
              <w:spacing w:after="0"/>
              <w:rPr>
                <w:sz w:val="10"/>
                <w:szCs w:val="10"/>
                <w:color w:val="auto"/>
              </w:rPr>
            </w:pPr>
          </w:p>
        </w:tc>
        <w:tc>
          <w:tcPr>
            <w:tcW w:w="860" w:type="dxa"/>
            <w:vAlign w:val="bottom"/>
            <w:shd w:val="clear" w:color="auto" w:fill="001C71"/>
          </w:tcPr>
          <w:p>
            <w:pPr>
              <w:jc w:val="right"/>
              <w:spacing w:after="0" w:line="122" w:lineRule="exact"/>
              <w:rPr>
                <w:sz w:val="20"/>
                <w:szCs w:val="20"/>
                <w:color w:val="auto"/>
              </w:rPr>
            </w:pPr>
            <w:r>
              <w:rPr>
                <w:rFonts w:ascii="Arial" w:cs="Arial" w:eastAsia="Arial" w:hAnsi="Arial"/>
                <w:sz w:val="11"/>
                <w:szCs w:val="11"/>
                <w:b w:val="1"/>
                <w:bCs w:val="1"/>
                <w:color w:val="FFFFFF"/>
              </w:rPr>
              <w:t>Number of</w:t>
            </w:r>
          </w:p>
        </w:tc>
        <w:tc>
          <w:tcPr>
            <w:tcW w:w="880" w:type="dxa"/>
            <w:vAlign w:val="bottom"/>
            <w:shd w:val="clear" w:color="auto" w:fill="001C71"/>
          </w:tcPr>
          <w:p>
            <w:pPr>
              <w:jc w:val="right"/>
              <w:spacing w:after="0" w:line="122" w:lineRule="exact"/>
              <w:rPr>
                <w:sz w:val="20"/>
                <w:szCs w:val="20"/>
                <w:color w:val="auto"/>
              </w:rPr>
            </w:pPr>
            <w:r>
              <w:rPr>
                <w:rFonts w:ascii="Arial" w:cs="Arial" w:eastAsia="Arial" w:hAnsi="Arial"/>
                <w:sz w:val="11"/>
                <w:szCs w:val="11"/>
                <w:b w:val="1"/>
                <w:bCs w:val="1"/>
                <w:color w:val="FFFFFF"/>
              </w:rPr>
              <w:t>Number of</w:t>
            </w:r>
          </w:p>
        </w:tc>
        <w:tc>
          <w:tcPr>
            <w:tcW w:w="880" w:type="dxa"/>
            <w:vAlign w:val="bottom"/>
            <w:shd w:val="clear" w:color="auto" w:fill="001C71"/>
          </w:tcPr>
          <w:p>
            <w:pPr>
              <w:jc w:val="right"/>
              <w:ind w:right="10"/>
              <w:spacing w:after="0" w:line="122" w:lineRule="exact"/>
              <w:rPr>
                <w:sz w:val="20"/>
                <w:szCs w:val="20"/>
                <w:color w:val="auto"/>
              </w:rPr>
            </w:pPr>
            <w:r>
              <w:rPr>
                <w:rFonts w:ascii="Arial" w:cs="Arial" w:eastAsia="Arial" w:hAnsi="Arial"/>
                <w:sz w:val="11"/>
                <w:szCs w:val="11"/>
                <w:b w:val="1"/>
                <w:bCs w:val="1"/>
                <w:color w:val="FFFFFF"/>
              </w:rPr>
              <w:t>Exercise or</w:t>
            </w:r>
          </w:p>
        </w:tc>
        <w:tc>
          <w:tcPr>
            <w:tcW w:w="840" w:type="dxa"/>
            <w:vAlign w:val="bottom"/>
            <w:shd w:val="clear" w:color="auto" w:fill="001C71"/>
          </w:tcPr>
          <w:p>
            <w:pPr>
              <w:jc w:val="right"/>
              <w:spacing w:after="0" w:line="122" w:lineRule="exact"/>
              <w:rPr>
                <w:sz w:val="20"/>
                <w:szCs w:val="20"/>
                <w:color w:val="auto"/>
              </w:rPr>
            </w:pPr>
            <w:r>
              <w:rPr>
                <w:rFonts w:ascii="Arial" w:cs="Arial" w:eastAsia="Arial" w:hAnsi="Arial"/>
                <w:sz w:val="11"/>
                <w:szCs w:val="11"/>
                <w:b w:val="1"/>
                <w:bCs w:val="1"/>
                <w:color w:val="FFFFFF"/>
              </w:rPr>
              <w:t>Grant Date Fair</w:t>
            </w:r>
          </w:p>
        </w:tc>
        <w:tc>
          <w:tcPr>
            <w:tcW w:w="100" w:type="dxa"/>
            <w:vAlign w:val="bottom"/>
            <w:shd w:val="clear" w:color="auto" w:fill="001C71"/>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 w:type="dxa"/>
            <w:vAlign w:val="bottom"/>
            <w:shd w:val="clear" w:color="auto" w:fill="001C71"/>
          </w:tcPr>
          <w:p>
            <w:pPr>
              <w:spacing w:after="0"/>
              <w:rPr>
                <w:sz w:val="11"/>
                <w:szCs w:val="11"/>
                <w:color w:val="auto"/>
              </w:rPr>
            </w:pPr>
          </w:p>
        </w:tc>
        <w:tc>
          <w:tcPr>
            <w:tcW w:w="800" w:type="dxa"/>
            <w:vAlign w:val="bottom"/>
            <w:shd w:val="clear" w:color="auto" w:fill="001C71"/>
          </w:tcPr>
          <w:p>
            <w:pPr>
              <w:spacing w:after="0"/>
              <w:rPr>
                <w:sz w:val="11"/>
                <w:szCs w:val="11"/>
                <w:color w:val="auto"/>
              </w:rPr>
            </w:pPr>
          </w:p>
        </w:tc>
        <w:tc>
          <w:tcPr>
            <w:tcW w:w="740" w:type="dxa"/>
            <w:vAlign w:val="bottom"/>
            <w:shd w:val="clear" w:color="auto" w:fill="001C71"/>
          </w:tcPr>
          <w:p>
            <w:pPr>
              <w:spacing w:after="0"/>
              <w:rPr>
                <w:sz w:val="11"/>
                <w:szCs w:val="11"/>
                <w:color w:val="auto"/>
              </w:rPr>
            </w:pPr>
          </w:p>
        </w:tc>
        <w:tc>
          <w:tcPr>
            <w:tcW w:w="820" w:type="dxa"/>
            <w:vAlign w:val="bottom"/>
            <w:shd w:val="clear" w:color="auto" w:fill="001C71"/>
          </w:tcPr>
          <w:p>
            <w:pPr>
              <w:spacing w:after="0"/>
              <w:rPr>
                <w:sz w:val="11"/>
                <w:szCs w:val="11"/>
                <w:color w:val="auto"/>
              </w:rPr>
            </w:pPr>
          </w:p>
        </w:tc>
        <w:tc>
          <w:tcPr>
            <w:tcW w:w="760" w:type="dxa"/>
            <w:vAlign w:val="bottom"/>
            <w:shd w:val="clear" w:color="auto" w:fill="001C71"/>
          </w:tcPr>
          <w:p>
            <w:pPr>
              <w:spacing w:after="0"/>
              <w:rPr>
                <w:sz w:val="11"/>
                <w:szCs w:val="11"/>
                <w:color w:val="auto"/>
              </w:rPr>
            </w:pPr>
          </w:p>
        </w:tc>
        <w:tc>
          <w:tcPr>
            <w:tcW w:w="740" w:type="dxa"/>
            <w:vAlign w:val="bottom"/>
            <w:shd w:val="clear" w:color="auto" w:fill="001C71"/>
          </w:tcPr>
          <w:p>
            <w:pPr>
              <w:spacing w:after="0"/>
              <w:rPr>
                <w:sz w:val="11"/>
                <w:szCs w:val="11"/>
                <w:color w:val="auto"/>
              </w:rPr>
            </w:pPr>
          </w:p>
        </w:tc>
        <w:tc>
          <w:tcPr>
            <w:tcW w:w="780" w:type="dxa"/>
            <w:vAlign w:val="bottom"/>
            <w:shd w:val="clear" w:color="auto" w:fill="001C71"/>
          </w:tcPr>
          <w:p>
            <w:pPr>
              <w:spacing w:after="0"/>
              <w:rPr>
                <w:sz w:val="11"/>
                <w:szCs w:val="11"/>
                <w:color w:val="auto"/>
              </w:rPr>
            </w:pPr>
          </w:p>
        </w:tc>
        <w:tc>
          <w:tcPr>
            <w:tcW w:w="740" w:type="dxa"/>
            <w:vAlign w:val="bottom"/>
            <w:shd w:val="clear" w:color="auto" w:fill="001C71"/>
          </w:tcPr>
          <w:p>
            <w:pPr>
              <w:spacing w:after="0"/>
              <w:rPr>
                <w:sz w:val="11"/>
                <w:szCs w:val="11"/>
                <w:color w:val="auto"/>
              </w:rPr>
            </w:pPr>
          </w:p>
        </w:tc>
        <w:tc>
          <w:tcPr>
            <w:tcW w:w="920" w:type="dxa"/>
            <w:vAlign w:val="bottom"/>
            <w:shd w:val="clear" w:color="auto" w:fill="001C71"/>
          </w:tcPr>
          <w:p>
            <w:pPr>
              <w:spacing w:after="0"/>
              <w:rPr>
                <w:sz w:val="11"/>
                <w:szCs w:val="11"/>
                <w:color w:val="auto"/>
              </w:rPr>
            </w:pPr>
          </w:p>
        </w:tc>
        <w:tc>
          <w:tcPr>
            <w:tcW w:w="640" w:type="dxa"/>
            <w:vAlign w:val="bottom"/>
            <w:shd w:val="clear" w:color="auto" w:fill="001C71"/>
          </w:tcPr>
          <w:p>
            <w:pPr>
              <w:spacing w:after="0"/>
              <w:rPr>
                <w:sz w:val="11"/>
                <w:szCs w:val="11"/>
                <w:color w:val="auto"/>
              </w:rPr>
            </w:pPr>
          </w:p>
        </w:tc>
        <w:tc>
          <w:tcPr>
            <w:tcW w:w="660" w:type="dxa"/>
            <w:vAlign w:val="bottom"/>
            <w:shd w:val="clear" w:color="auto" w:fill="001C71"/>
          </w:tcPr>
          <w:p>
            <w:pPr>
              <w:spacing w:after="0"/>
              <w:rPr>
                <w:sz w:val="11"/>
                <w:szCs w:val="11"/>
                <w:color w:val="auto"/>
              </w:rPr>
            </w:pPr>
          </w:p>
        </w:tc>
        <w:tc>
          <w:tcPr>
            <w:tcW w:w="86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Shares of</w:t>
            </w:r>
          </w:p>
        </w:tc>
        <w:tc>
          <w:tcPr>
            <w:tcW w:w="88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Securities</w:t>
            </w:r>
          </w:p>
        </w:tc>
        <w:tc>
          <w:tcPr>
            <w:tcW w:w="880" w:type="dxa"/>
            <w:vAlign w:val="bottom"/>
            <w:shd w:val="clear" w:color="auto" w:fill="001C71"/>
          </w:tcPr>
          <w:p>
            <w:pPr>
              <w:jc w:val="right"/>
              <w:ind w:right="10"/>
              <w:spacing w:after="0"/>
              <w:rPr>
                <w:sz w:val="20"/>
                <w:szCs w:val="20"/>
                <w:color w:val="auto"/>
              </w:rPr>
            </w:pPr>
            <w:r>
              <w:rPr>
                <w:rFonts w:ascii="Arial" w:cs="Arial" w:eastAsia="Arial" w:hAnsi="Arial"/>
                <w:sz w:val="11"/>
                <w:szCs w:val="11"/>
                <w:b w:val="1"/>
                <w:bCs w:val="1"/>
                <w:color w:val="FFFFFF"/>
              </w:rPr>
              <w:t>Base Price of</w:t>
            </w:r>
          </w:p>
        </w:tc>
        <w:tc>
          <w:tcPr>
            <w:tcW w:w="84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Value of Stock</w:t>
            </w:r>
          </w:p>
        </w:tc>
        <w:tc>
          <w:tcPr>
            <w:tcW w:w="100" w:type="dxa"/>
            <w:vAlign w:val="bottom"/>
            <w:shd w:val="clear" w:color="auto" w:fill="001C71"/>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001C71"/>
          </w:tcPr>
          <w:p>
            <w:pPr>
              <w:spacing w:after="0"/>
              <w:rPr>
                <w:sz w:val="10"/>
                <w:szCs w:val="10"/>
                <w:color w:val="auto"/>
              </w:rPr>
            </w:pPr>
          </w:p>
        </w:tc>
        <w:tc>
          <w:tcPr>
            <w:tcW w:w="800" w:type="dxa"/>
            <w:vAlign w:val="bottom"/>
            <w:shd w:val="clear" w:color="auto" w:fill="001C71"/>
          </w:tcPr>
          <w:p>
            <w:pPr>
              <w:spacing w:after="0"/>
              <w:rPr>
                <w:sz w:val="10"/>
                <w:szCs w:val="10"/>
                <w:color w:val="auto"/>
              </w:rPr>
            </w:pPr>
          </w:p>
        </w:tc>
        <w:tc>
          <w:tcPr>
            <w:tcW w:w="740" w:type="dxa"/>
            <w:vAlign w:val="bottom"/>
            <w:shd w:val="clear" w:color="auto" w:fill="001C71"/>
          </w:tcPr>
          <w:p>
            <w:pPr>
              <w:ind w:left="20"/>
              <w:spacing w:after="0" w:line="122" w:lineRule="exact"/>
              <w:rPr>
                <w:sz w:val="20"/>
                <w:szCs w:val="20"/>
                <w:color w:val="auto"/>
              </w:rPr>
            </w:pPr>
            <w:r>
              <w:rPr>
                <w:rFonts w:ascii="Arial" w:cs="Arial" w:eastAsia="Arial" w:hAnsi="Arial"/>
                <w:sz w:val="11"/>
                <w:szCs w:val="11"/>
                <w:b w:val="1"/>
                <w:bCs w:val="1"/>
                <w:color w:val="FFFFFF"/>
              </w:rPr>
              <w:t>Award</w:t>
            </w:r>
          </w:p>
        </w:tc>
        <w:tc>
          <w:tcPr>
            <w:tcW w:w="820" w:type="dxa"/>
            <w:vAlign w:val="bottom"/>
            <w:shd w:val="clear" w:color="auto" w:fill="001C71"/>
          </w:tcPr>
          <w:p>
            <w:pPr>
              <w:jc w:val="center"/>
              <w:spacing w:after="0" w:line="122" w:lineRule="exact"/>
              <w:rPr>
                <w:sz w:val="20"/>
                <w:szCs w:val="20"/>
                <w:color w:val="auto"/>
              </w:rPr>
            </w:pPr>
            <w:r>
              <w:rPr>
                <w:rFonts w:ascii="Arial" w:cs="Arial" w:eastAsia="Arial" w:hAnsi="Arial"/>
                <w:sz w:val="11"/>
                <w:szCs w:val="11"/>
                <w:b w:val="1"/>
                <w:bCs w:val="1"/>
                <w:color w:val="FFFFFF"/>
              </w:rPr>
              <w:t>Grant</w:t>
            </w:r>
          </w:p>
        </w:tc>
        <w:tc>
          <w:tcPr>
            <w:tcW w:w="760" w:type="dxa"/>
            <w:vAlign w:val="bottom"/>
            <w:shd w:val="clear" w:color="auto" w:fill="001C71"/>
          </w:tcPr>
          <w:p>
            <w:pPr>
              <w:jc w:val="center"/>
              <w:spacing w:after="0" w:line="122" w:lineRule="exact"/>
              <w:rPr>
                <w:sz w:val="20"/>
                <w:szCs w:val="20"/>
                <w:color w:val="auto"/>
              </w:rPr>
            </w:pPr>
            <w:r>
              <w:rPr>
                <w:rFonts w:ascii="Arial" w:cs="Arial" w:eastAsia="Arial" w:hAnsi="Arial"/>
                <w:sz w:val="11"/>
                <w:szCs w:val="11"/>
                <w:b w:val="1"/>
                <w:bCs w:val="1"/>
                <w:color w:val="FFFFFF"/>
                <w:w w:val="96"/>
              </w:rPr>
              <w:t>Approval</w:t>
            </w:r>
          </w:p>
        </w:tc>
        <w:tc>
          <w:tcPr>
            <w:tcW w:w="740" w:type="dxa"/>
            <w:vAlign w:val="bottom"/>
            <w:shd w:val="clear" w:color="auto" w:fill="001C71"/>
          </w:tcPr>
          <w:p>
            <w:pPr>
              <w:jc w:val="right"/>
              <w:spacing w:after="0" w:line="122" w:lineRule="exact"/>
              <w:rPr>
                <w:sz w:val="20"/>
                <w:szCs w:val="20"/>
                <w:color w:val="auto"/>
              </w:rPr>
            </w:pPr>
            <w:r>
              <w:rPr>
                <w:rFonts w:ascii="Arial" w:cs="Arial" w:eastAsia="Arial" w:hAnsi="Arial"/>
                <w:sz w:val="11"/>
                <w:szCs w:val="11"/>
                <w:b w:val="1"/>
                <w:bCs w:val="1"/>
                <w:color w:val="FFFFFF"/>
              </w:rPr>
              <w:t>Threshold</w:t>
            </w:r>
          </w:p>
        </w:tc>
        <w:tc>
          <w:tcPr>
            <w:tcW w:w="780" w:type="dxa"/>
            <w:vAlign w:val="bottom"/>
            <w:shd w:val="clear" w:color="auto" w:fill="001C71"/>
          </w:tcPr>
          <w:p>
            <w:pPr>
              <w:jc w:val="right"/>
              <w:ind w:right="46"/>
              <w:spacing w:after="0" w:line="122" w:lineRule="exact"/>
              <w:rPr>
                <w:sz w:val="20"/>
                <w:szCs w:val="20"/>
                <w:color w:val="auto"/>
              </w:rPr>
            </w:pPr>
            <w:r>
              <w:rPr>
                <w:rFonts w:ascii="Arial" w:cs="Arial" w:eastAsia="Arial" w:hAnsi="Arial"/>
                <w:sz w:val="11"/>
                <w:szCs w:val="11"/>
                <w:b w:val="1"/>
                <w:bCs w:val="1"/>
                <w:color w:val="FFFFFF"/>
              </w:rPr>
              <w:t>Target</w:t>
            </w:r>
          </w:p>
        </w:tc>
        <w:tc>
          <w:tcPr>
            <w:tcW w:w="740" w:type="dxa"/>
            <w:vAlign w:val="bottom"/>
            <w:shd w:val="clear" w:color="auto" w:fill="001C71"/>
          </w:tcPr>
          <w:p>
            <w:pPr>
              <w:jc w:val="right"/>
              <w:ind w:right="66"/>
              <w:spacing w:after="0" w:line="122" w:lineRule="exact"/>
              <w:rPr>
                <w:sz w:val="20"/>
                <w:szCs w:val="20"/>
                <w:color w:val="auto"/>
              </w:rPr>
            </w:pPr>
            <w:r>
              <w:rPr>
                <w:rFonts w:ascii="Arial" w:cs="Arial" w:eastAsia="Arial" w:hAnsi="Arial"/>
                <w:sz w:val="11"/>
                <w:szCs w:val="11"/>
                <w:b w:val="1"/>
                <w:bCs w:val="1"/>
                <w:color w:val="FFFFFF"/>
              </w:rPr>
              <w:t>Maximum</w:t>
            </w:r>
          </w:p>
        </w:tc>
        <w:tc>
          <w:tcPr>
            <w:tcW w:w="920" w:type="dxa"/>
            <w:vAlign w:val="bottom"/>
            <w:shd w:val="clear" w:color="auto" w:fill="001C71"/>
          </w:tcPr>
          <w:p>
            <w:pPr>
              <w:jc w:val="right"/>
              <w:ind w:right="67"/>
              <w:spacing w:after="0" w:line="122" w:lineRule="exact"/>
              <w:rPr>
                <w:sz w:val="20"/>
                <w:szCs w:val="20"/>
                <w:color w:val="auto"/>
              </w:rPr>
            </w:pPr>
            <w:r>
              <w:rPr>
                <w:rFonts w:ascii="Arial" w:cs="Arial" w:eastAsia="Arial" w:hAnsi="Arial"/>
                <w:sz w:val="11"/>
                <w:szCs w:val="11"/>
                <w:b w:val="1"/>
                <w:bCs w:val="1"/>
                <w:color w:val="FFFFFF"/>
              </w:rPr>
              <w:t>Threshold</w:t>
            </w:r>
          </w:p>
        </w:tc>
        <w:tc>
          <w:tcPr>
            <w:tcW w:w="640" w:type="dxa"/>
            <w:vAlign w:val="bottom"/>
            <w:shd w:val="clear" w:color="auto" w:fill="001C71"/>
          </w:tcPr>
          <w:p>
            <w:pPr>
              <w:jc w:val="right"/>
              <w:ind w:right="106"/>
              <w:spacing w:after="0" w:line="122" w:lineRule="exact"/>
              <w:rPr>
                <w:sz w:val="20"/>
                <w:szCs w:val="20"/>
                <w:color w:val="auto"/>
              </w:rPr>
            </w:pPr>
            <w:r>
              <w:rPr>
                <w:rFonts w:ascii="Arial" w:cs="Arial" w:eastAsia="Arial" w:hAnsi="Arial"/>
                <w:sz w:val="11"/>
                <w:szCs w:val="11"/>
                <w:b w:val="1"/>
                <w:bCs w:val="1"/>
                <w:color w:val="FFFFFF"/>
              </w:rPr>
              <w:t>Target</w:t>
            </w:r>
          </w:p>
        </w:tc>
        <w:tc>
          <w:tcPr>
            <w:tcW w:w="660" w:type="dxa"/>
            <w:vAlign w:val="bottom"/>
            <w:shd w:val="clear" w:color="auto" w:fill="001C71"/>
          </w:tcPr>
          <w:p>
            <w:pPr>
              <w:jc w:val="right"/>
              <w:spacing w:after="0" w:line="122" w:lineRule="exact"/>
              <w:rPr>
                <w:sz w:val="20"/>
                <w:szCs w:val="20"/>
                <w:color w:val="auto"/>
              </w:rPr>
            </w:pPr>
            <w:r>
              <w:rPr>
                <w:rFonts w:ascii="Arial" w:cs="Arial" w:eastAsia="Arial" w:hAnsi="Arial"/>
                <w:sz w:val="11"/>
                <w:szCs w:val="11"/>
                <w:b w:val="1"/>
                <w:bCs w:val="1"/>
                <w:color w:val="FFFFFF"/>
              </w:rPr>
              <w:t>Maximum</w:t>
            </w:r>
          </w:p>
        </w:tc>
        <w:tc>
          <w:tcPr>
            <w:tcW w:w="860" w:type="dxa"/>
            <w:vAlign w:val="bottom"/>
            <w:shd w:val="clear" w:color="auto" w:fill="001C71"/>
          </w:tcPr>
          <w:p>
            <w:pPr>
              <w:jc w:val="right"/>
              <w:spacing w:after="0" w:line="122" w:lineRule="exact"/>
              <w:rPr>
                <w:sz w:val="20"/>
                <w:szCs w:val="20"/>
                <w:color w:val="auto"/>
              </w:rPr>
            </w:pPr>
            <w:r>
              <w:rPr>
                <w:rFonts w:ascii="Arial" w:cs="Arial" w:eastAsia="Arial" w:hAnsi="Arial"/>
                <w:sz w:val="11"/>
                <w:szCs w:val="11"/>
                <w:b w:val="1"/>
                <w:bCs w:val="1"/>
                <w:color w:val="FFFFFF"/>
              </w:rPr>
              <w:t>Stock or Units</w:t>
            </w:r>
          </w:p>
        </w:tc>
        <w:tc>
          <w:tcPr>
            <w:tcW w:w="880" w:type="dxa"/>
            <w:vAlign w:val="bottom"/>
            <w:shd w:val="clear" w:color="auto" w:fill="001C71"/>
          </w:tcPr>
          <w:p>
            <w:pPr>
              <w:jc w:val="right"/>
              <w:spacing w:after="0" w:line="122" w:lineRule="exact"/>
              <w:rPr>
                <w:sz w:val="20"/>
                <w:szCs w:val="20"/>
                <w:color w:val="auto"/>
              </w:rPr>
            </w:pPr>
            <w:r>
              <w:rPr>
                <w:rFonts w:ascii="Arial" w:cs="Arial" w:eastAsia="Arial" w:hAnsi="Arial"/>
                <w:sz w:val="11"/>
                <w:szCs w:val="11"/>
                <w:b w:val="1"/>
                <w:bCs w:val="1"/>
                <w:color w:val="FFFFFF"/>
              </w:rPr>
              <w:t>Underlying</w:t>
            </w:r>
          </w:p>
        </w:tc>
        <w:tc>
          <w:tcPr>
            <w:tcW w:w="880" w:type="dxa"/>
            <w:vAlign w:val="bottom"/>
            <w:shd w:val="clear" w:color="auto" w:fill="001C71"/>
          </w:tcPr>
          <w:p>
            <w:pPr>
              <w:jc w:val="right"/>
              <w:ind w:right="10"/>
              <w:spacing w:after="0" w:line="122" w:lineRule="exact"/>
              <w:rPr>
                <w:sz w:val="20"/>
                <w:szCs w:val="20"/>
                <w:color w:val="auto"/>
              </w:rPr>
            </w:pPr>
            <w:r>
              <w:rPr>
                <w:rFonts w:ascii="Arial" w:cs="Arial" w:eastAsia="Arial" w:hAnsi="Arial"/>
                <w:sz w:val="11"/>
                <w:szCs w:val="11"/>
                <w:b w:val="1"/>
                <w:bCs w:val="1"/>
                <w:color w:val="FFFFFF"/>
              </w:rPr>
              <w:t>Option Awards</w:t>
            </w:r>
          </w:p>
        </w:tc>
        <w:tc>
          <w:tcPr>
            <w:tcW w:w="840" w:type="dxa"/>
            <w:vAlign w:val="bottom"/>
            <w:shd w:val="clear" w:color="auto" w:fill="001C71"/>
          </w:tcPr>
          <w:p>
            <w:pPr>
              <w:jc w:val="right"/>
              <w:spacing w:after="0" w:line="122" w:lineRule="exact"/>
              <w:rPr>
                <w:sz w:val="20"/>
                <w:szCs w:val="20"/>
                <w:color w:val="auto"/>
              </w:rPr>
            </w:pPr>
            <w:r>
              <w:rPr>
                <w:rFonts w:ascii="Arial" w:cs="Arial" w:eastAsia="Arial" w:hAnsi="Arial"/>
                <w:sz w:val="11"/>
                <w:szCs w:val="11"/>
                <w:b w:val="1"/>
                <w:bCs w:val="1"/>
                <w:color w:val="FFFFFF"/>
              </w:rPr>
              <w:t>Awards</w:t>
            </w:r>
          </w:p>
        </w:tc>
        <w:tc>
          <w:tcPr>
            <w:tcW w:w="100" w:type="dxa"/>
            <w:vAlign w:val="bottom"/>
            <w:shd w:val="clear" w:color="auto" w:fill="001C71"/>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001C71"/>
            </w:tcBorders>
            <w:shd w:val="clear" w:color="auto" w:fill="001C71"/>
          </w:tcPr>
          <w:p>
            <w:pPr>
              <w:spacing w:after="0"/>
              <w:rPr>
                <w:sz w:val="19"/>
                <w:szCs w:val="19"/>
                <w:color w:val="auto"/>
              </w:rPr>
            </w:pPr>
          </w:p>
        </w:tc>
        <w:tc>
          <w:tcPr>
            <w:tcW w:w="800" w:type="dxa"/>
            <w:vAlign w:val="bottom"/>
            <w:tcBorders>
              <w:bottom w:val="single" w:sz="8" w:color="001C71"/>
            </w:tcBorders>
            <w:shd w:val="clear" w:color="auto" w:fill="001C71"/>
          </w:tcPr>
          <w:p>
            <w:pPr>
              <w:ind w:left="20"/>
              <w:spacing w:after="0"/>
              <w:rPr>
                <w:sz w:val="20"/>
                <w:szCs w:val="20"/>
                <w:color w:val="auto"/>
              </w:rPr>
            </w:pPr>
            <w:r>
              <w:rPr>
                <w:rFonts w:ascii="Arial" w:cs="Arial" w:eastAsia="Arial" w:hAnsi="Arial"/>
                <w:sz w:val="11"/>
                <w:szCs w:val="11"/>
                <w:b w:val="1"/>
                <w:bCs w:val="1"/>
                <w:color w:val="FFFFFF"/>
              </w:rPr>
              <w:t>Name</w:t>
            </w:r>
          </w:p>
        </w:tc>
        <w:tc>
          <w:tcPr>
            <w:tcW w:w="740" w:type="dxa"/>
            <w:vAlign w:val="bottom"/>
            <w:tcBorders>
              <w:bottom w:val="single" w:sz="8" w:color="001C71"/>
            </w:tcBorders>
            <w:shd w:val="clear" w:color="auto" w:fill="001C71"/>
          </w:tcPr>
          <w:p>
            <w:pPr>
              <w:ind w:left="20"/>
              <w:spacing w:after="0"/>
              <w:rPr>
                <w:sz w:val="20"/>
                <w:szCs w:val="20"/>
                <w:color w:val="auto"/>
              </w:rPr>
            </w:pPr>
            <w:r>
              <w:rPr>
                <w:rFonts w:ascii="Arial" w:cs="Arial" w:eastAsia="Arial" w:hAnsi="Arial"/>
                <w:sz w:val="11"/>
                <w:szCs w:val="11"/>
                <w:b w:val="1"/>
                <w:bCs w:val="1"/>
                <w:color w:val="FFFFFF"/>
              </w:rPr>
              <w:t>Type</w:t>
            </w:r>
          </w:p>
        </w:tc>
        <w:tc>
          <w:tcPr>
            <w:tcW w:w="820" w:type="dxa"/>
            <w:vAlign w:val="bottom"/>
            <w:tcBorders>
              <w:bottom w:val="single" w:sz="8" w:color="001C71"/>
            </w:tcBorders>
            <w:shd w:val="clear" w:color="auto" w:fill="001C71"/>
          </w:tcPr>
          <w:p>
            <w:pPr>
              <w:jc w:val="center"/>
              <w:spacing w:after="0"/>
              <w:rPr>
                <w:sz w:val="20"/>
                <w:szCs w:val="20"/>
                <w:color w:val="auto"/>
              </w:rPr>
            </w:pPr>
            <w:r>
              <w:rPr>
                <w:rFonts w:ascii="Arial" w:cs="Arial" w:eastAsia="Arial" w:hAnsi="Arial"/>
                <w:sz w:val="11"/>
                <w:szCs w:val="11"/>
                <w:b w:val="1"/>
                <w:bCs w:val="1"/>
                <w:color w:val="FFFFFF"/>
              </w:rPr>
              <w:t>Date</w:t>
            </w:r>
          </w:p>
        </w:tc>
        <w:tc>
          <w:tcPr>
            <w:tcW w:w="760" w:type="dxa"/>
            <w:vAlign w:val="bottom"/>
            <w:tcBorders>
              <w:bottom w:val="single" w:sz="8" w:color="001C71"/>
            </w:tcBorders>
            <w:shd w:val="clear" w:color="auto" w:fill="001C71"/>
          </w:tcPr>
          <w:p>
            <w:pPr>
              <w:jc w:val="center"/>
              <w:spacing w:after="0"/>
              <w:rPr>
                <w:sz w:val="20"/>
                <w:szCs w:val="20"/>
                <w:color w:val="auto"/>
              </w:rPr>
            </w:pPr>
            <w:r>
              <w:rPr>
                <w:rFonts w:ascii="Arial" w:cs="Arial" w:eastAsia="Arial" w:hAnsi="Arial"/>
                <w:sz w:val="11"/>
                <w:szCs w:val="11"/>
                <w:b w:val="1"/>
                <w:bCs w:val="1"/>
                <w:color w:val="FFFFFF"/>
                <w:w w:val="92"/>
              </w:rPr>
              <w:t>Date</w:t>
            </w:r>
          </w:p>
        </w:tc>
        <w:tc>
          <w:tcPr>
            <w:tcW w:w="74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1"/>
                <w:szCs w:val="11"/>
                <w:b w:val="1"/>
                <w:bCs w:val="1"/>
                <w:color w:val="FFFFFF"/>
              </w:rPr>
              <w:t>($)</w:t>
            </w:r>
          </w:p>
        </w:tc>
        <w:tc>
          <w:tcPr>
            <w:tcW w:w="780" w:type="dxa"/>
            <w:vAlign w:val="bottom"/>
            <w:tcBorders>
              <w:bottom w:val="single" w:sz="8" w:color="001C71"/>
            </w:tcBorders>
            <w:shd w:val="clear" w:color="auto" w:fill="001C71"/>
          </w:tcPr>
          <w:p>
            <w:pPr>
              <w:jc w:val="right"/>
              <w:ind w:right="46"/>
              <w:spacing w:after="0"/>
              <w:rPr>
                <w:sz w:val="20"/>
                <w:szCs w:val="20"/>
                <w:color w:val="auto"/>
              </w:rPr>
            </w:pPr>
            <w:r>
              <w:rPr>
                <w:rFonts w:ascii="Arial" w:cs="Arial" w:eastAsia="Arial" w:hAnsi="Arial"/>
                <w:sz w:val="11"/>
                <w:szCs w:val="11"/>
                <w:b w:val="1"/>
                <w:bCs w:val="1"/>
                <w:color w:val="FFFFFF"/>
              </w:rPr>
              <w:t>($)</w:t>
            </w:r>
          </w:p>
        </w:tc>
        <w:tc>
          <w:tcPr>
            <w:tcW w:w="740" w:type="dxa"/>
            <w:vAlign w:val="bottom"/>
            <w:tcBorders>
              <w:bottom w:val="single" w:sz="8" w:color="001C71"/>
            </w:tcBorders>
            <w:shd w:val="clear" w:color="auto" w:fill="001C71"/>
          </w:tcPr>
          <w:p>
            <w:pPr>
              <w:jc w:val="right"/>
              <w:ind w:right="66"/>
              <w:spacing w:after="0"/>
              <w:rPr>
                <w:sz w:val="20"/>
                <w:szCs w:val="20"/>
                <w:color w:val="auto"/>
              </w:rPr>
            </w:pPr>
            <w:r>
              <w:rPr>
                <w:rFonts w:ascii="Arial" w:cs="Arial" w:eastAsia="Arial" w:hAnsi="Arial"/>
                <w:sz w:val="11"/>
                <w:szCs w:val="11"/>
                <w:b w:val="1"/>
                <w:bCs w:val="1"/>
                <w:color w:val="FFFFFF"/>
              </w:rPr>
              <w:t>($)</w:t>
            </w:r>
          </w:p>
        </w:tc>
        <w:tc>
          <w:tcPr>
            <w:tcW w:w="920" w:type="dxa"/>
            <w:vAlign w:val="bottom"/>
            <w:tcBorders>
              <w:bottom w:val="single" w:sz="8" w:color="001C71"/>
            </w:tcBorders>
            <w:shd w:val="clear" w:color="auto" w:fill="001C71"/>
          </w:tcPr>
          <w:p>
            <w:pPr>
              <w:jc w:val="right"/>
              <w:ind w:right="67"/>
              <w:spacing w:after="0"/>
              <w:rPr>
                <w:sz w:val="20"/>
                <w:szCs w:val="20"/>
                <w:color w:val="auto"/>
              </w:rPr>
            </w:pPr>
            <w:r>
              <w:rPr>
                <w:rFonts w:ascii="Arial" w:cs="Arial" w:eastAsia="Arial" w:hAnsi="Arial"/>
                <w:sz w:val="11"/>
                <w:szCs w:val="11"/>
                <w:b w:val="1"/>
                <w:bCs w:val="1"/>
                <w:color w:val="FFFFFF"/>
              </w:rPr>
              <w:t>(#)</w:t>
            </w:r>
          </w:p>
        </w:tc>
        <w:tc>
          <w:tcPr>
            <w:tcW w:w="640" w:type="dxa"/>
            <w:vAlign w:val="bottom"/>
            <w:tcBorders>
              <w:bottom w:val="single" w:sz="8" w:color="001C71"/>
            </w:tcBorders>
            <w:shd w:val="clear" w:color="auto" w:fill="001C71"/>
          </w:tcPr>
          <w:p>
            <w:pPr>
              <w:jc w:val="right"/>
              <w:ind w:right="106"/>
              <w:spacing w:after="0"/>
              <w:rPr>
                <w:sz w:val="20"/>
                <w:szCs w:val="20"/>
                <w:color w:val="auto"/>
              </w:rPr>
            </w:pPr>
            <w:r>
              <w:rPr>
                <w:rFonts w:ascii="Arial" w:cs="Arial" w:eastAsia="Arial" w:hAnsi="Arial"/>
                <w:sz w:val="11"/>
                <w:szCs w:val="11"/>
                <w:b w:val="1"/>
                <w:bCs w:val="1"/>
                <w:color w:val="FFFFFF"/>
              </w:rPr>
              <w:t>(#)</w:t>
            </w:r>
          </w:p>
        </w:tc>
        <w:tc>
          <w:tcPr>
            <w:tcW w:w="66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1"/>
                <w:szCs w:val="11"/>
                <w:b w:val="1"/>
                <w:bCs w:val="1"/>
                <w:color w:val="FFFFFF"/>
              </w:rPr>
              <w:t>(#)</w:t>
            </w:r>
          </w:p>
        </w:tc>
        <w:tc>
          <w:tcPr>
            <w:tcW w:w="86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1"/>
                <w:szCs w:val="11"/>
                <w:b w:val="1"/>
                <w:bCs w:val="1"/>
                <w:color w:val="FFFFFF"/>
              </w:rPr>
              <w:t>(#)</w:t>
            </w:r>
          </w:p>
        </w:tc>
        <w:tc>
          <w:tcPr>
            <w:tcW w:w="88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1"/>
                <w:szCs w:val="11"/>
                <w:b w:val="1"/>
                <w:bCs w:val="1"/>
                <w:color w:val="FFFFFF"/>
              </w:rPr>
              <w:t>Options</w:t>
            </w:r>
          </w:p>
        </w:tc>
        <w:tc>
          <w:tcPr>
            <w:tcW w:w="880" w:type="dxa"/>
            <w:vAlign w:val="bottom"/>
            <w:tcBorders>
              <w:bottom w:val="single" w:sz="8" w:color="001C71"/>
            </w:tcBorders>
            <w:shd w:val="clear" w:color="auto" w:fill="001C71"/>
          </w:tcPr>
          <w:p>
            <w:pPr>
              <w:jc w:val="right"/>
              <w:ind w:right="10"/>
              <w:spacing w:after="0"/>
              <w:rPr>
                <w:sz w:val="20"/>
                <w:szCs w:val="20"/>
                <w:color w:val="auto"/>
              </w:rPr>
            </w:pPr>
            <w:r>
              <w:rPr>
                <w:rFonts w:ascii="Arial" w:cs="Arial" w:eastAsia="Arial" w:hAnsi="Arial"/>
                <w:sz w:val="11"/>
                <w:szCs w:val="11"/>
                <w:b w:val="1"/>
                <w:bCs w:val="1"/>
                <w:color w:val="FFFFFF"/>
              </w:rPr>
              <w:t>($)</w:t>
            </w:r>
          </w:p>
        </w:tc>
        <w:tc>
          <w:tcPr>
            <w:tcW w:w="84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1"/>
                <w:szCs w:val="11"/>
                <w:b w:val="1"/>
                <w:bCs w:val="1"/>
                <w:color w:val="FFFFFF"/>
              </w:rPr>
              <w:t>($)</w:t>
            </w:r>
            <w:r>
              <w:rPr>
                <w:rFonts w:ascii="Arial" w:cs="Arial" w:eastAsia="Arial" w:hAnsi="Arial"/>
                <w:sz w:val="14"/>
                <w:szCs w:val="14"/>
                <w:b w:val="1"/>
                <w:bCs w:val="1"/>
                <w:color w:val="FFFFFF"/>
                <w:vertAlign w:val="superscript"/>
              </w:rPr>
              <w:t>(3)</w:t>
            </w:r>
          </w:p>
        </w:tc>
        <w:tc>
          <w:tcPr>
            <w:tcW w:w="100" w:type="dxa"/>
            <w:vAlign w:val="bottom"/>
            <w:tcBorders>
              <w:bottom w:val="single" w:sz="8" w:color="001C71"/>
            </w:tcBorders>
            <w:shd w:val="clear" w:color="auto" w:fill="001C71"/>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Annual Cash</w:t>
            </w: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1,320,000</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2,640,000</w:t>
            </w: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820" w:type="dxa"/>
            <w:vAlign w:val="bottom"/>
            <w:tcBorders>
              <w:bottom w:val="single" w:sz="8" w:color="5673B8"/>
            </w:tcBorders>
          </w:tcPr>
          <w:p>
            <w:pPr>
              <w:spacing w:after="0"/>
              <w:rPr>
                <w:sz w:val="8"/>
                <w:szCs w:val="8"/>
                <w:color w:val="auto"/>
              </w:rPr>
            </w:pPr>
          </w:p>
        </w:tc>
        <w:tc>
          <w:tcPr>
            <w:tcW w:w="76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78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920" w:type="dxa"/>
            <w:vAlign w:val="bottom"/>
            <w:tcBorders>
              <w:bottom w:val="single" w:sz="8" w:color="5673B8"/>
            </w:tcBorders>
          </w:tcPr>
          <w:p>
            <w:pPr>
              <w:spacing w:after="0"/>
              <w:rPr>
                <w:sz w:val="8"/>
                <w:szCs w:val="8"/>
                <w:color w:val="auto"/>
              </w:rPr>
            </w:pPr>
          </w:p>
        </w:tc>
        <w:tc>
          <w:tcPr>
            <w:tcW w:w="640" w:type="dxa"/>
            <w:vAlign w:val="bottom"/>
            <w:tcBorders>
              <w:bottom w:val="single" w:sz="8" w:color="5673B8"/>
            </w:tcBorders>
          </w:tcPr>
          <w:p>
            <w:pPr>
              <w:spacing w:after="0"/>
              <w:rPr>
                <w:sz w:val="8"/>
                <w:szCs w:val="8"/>
                <w:color w:val="auto"/>
              </w:rPr>
            </w:pPr>
          </w:p>
        </w:tc>
        <w:tc>
          <w:tcPr>
            <w:tcW w:w="660" w:type="dxa"/>
            <w:vAlign w:val="bottom"/>
            <w:tcBorders>
              <w:bottom w:val="single" w:sz="8" w:color="5673B8"/>
            </w:tcBorders>
          </w:tcPr>
          <w:p>
            <w:pPr>
              <w:spacing w:after="0"/>
              <w:rPr>
                <w:sz w:val="8"/>
                <w:szCs w:val="8"/>
                <w:color w:val="auto"/>
              </w:rPr>
            </w:pPr>
          </w:p>
        </w:tc>
        <w:tc>
          <w:tcPr>
            <w:tcW w:w="86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40" w:type="dxa"/>
            <w:vAlign w:val="bottom"/>
            <w:tcBorders>
              <w:bottom w:val="single" w:sz="8" w:color="5673B8"/>
            </w:tcBorders>
          </w:tcPr>
          <w:p>
            <w:pPr>
              <w:spacing w:after="0"/>
              <w:rPr>
                <w:sz w:val="8"/>
                <w:szCs w:val="8"/>
                <w:color w:val="auto"/>
              </w:rPr>
            </w:pPr>
          </w:p>
        </w:tc>
        <w:tc>
          <w:tcPr>
            <w:tcW w:w="100" w:type="dxa"/>
            <w:vAlign w:val="bottom"/>
            <w:tcBorders>
              <w:bottom w:val="single" w:sz="8" w:color="5673B8"/>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Annual PSU</w:t>
            </w:r>
          </w:p>
        </w:tc>
        <w:tc>
          <w:tcPr>
            <w:tcW w:w="820" w:type="dxa"/>
            <w:vAlign w:val="bottom"/>
          </w:tcPr>
          <w:p>
            <w:pPr>
              <w:jc w:val="center"/>
              <w:spacing w:after="0"/>
              <w:rPr>
                <w:sz w:val="20"/>
                <w:szCs w:val="20"/>
                <w:color w:val="auto"/>
              </w:rPr>
            </w:pPr>
            <w:r>
              <w:rPr>
                <w:rFonts w:ascii="Arial" w:cs="Arial" w:eastAsia="Arial" w:hAnsi="Arial"/>
                <w:sz w:val="11"/>
                <w:szCs w:val="11"/>
                <w:color w:val="auto"/>
                <w:w w:val="97"/>
              </w:rPr>
              <w:t>2/27/2025</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jc w:val="right"/>
              <w:ind w:right="107"/>
              <w:spacing w:after="0"/>
              <w:rPr>
                <w:sz w:val="20"/>
                <w:szCs w:val="20"/>
                <w:color w:val="auto"/>
              </w:rPr>
            </w:pPr>
            <w:r>
              <w:rPr>
                <w:rFonts w:ascii="Arial" w:cs="Arial" w:eastAsia="Arial" w:hAnsi="Arial"/>
                <w:sz w:val="11"/>
                <w:szCs w:val="11"/>
                <w:color w:val="auto"/>
              </w:rPr>
              <w:t>3,813</w:t>
            </w:r>
          </w:p>
        </w:tc>
        <w:tc>
          <w:tcPr>
            <w:tcW w:w="640" w:type="dxa"/>
            <w:vAlign w:val="bottom"/>
          </w:tcPr>
          <w:p>
            <w:pPr>
              <w:jc w:val="right"/>
              <w:ind w:right="146"/>
              <w:spacing w:after="0"/>
              <w:rPr>
                <w:sz w:val="20"/>
                <w:szCs w:val="20"/>
                <w:color w:val="auto"/>
              </w:rPr>
            </w:pPr>
            <w:r>
              <w:rPr>
                <w:rFonts w:ascii="Arial" w:cs="Arial" w:eastAsia="Arial" w:hAnsi="Arial"/>
                <w:sz w:val="11"/>
                <w:szCs w:val="11"/>
                <w:color w:val="auto"/>
              </w:rPr>
              <w:t>23,111</w:t>
            </w:r>
          </w:p>
        </w:tc>
        <w:tc>
          <w:tcPr>
            <w:tcW w:w="660" w:type="dxa"/>
            <w:vAlign w:val="bottom"/>
          </w:tcPr>
          <w:p>
            <w:pPr>
              <w:jc w:val="right"/>
              <w:spacing w:after="0"/>
              <w:rPr>
                <w:sz w:val="20"/>
                <w:szCs w:val="20"/>
                <w:color w:val="auto"/>
              </w:rPr>
            </w:pPr>
            <w:r>
              <w:rPr>
                <w:rFonts w:ascii="Arial" w:cs="Arial" w:eastAsia="Arial" w:hAnsi="Arial"/>
                <w:sz w:val="11"/>
                <w:szCs w:val="11"/>
                <w:color w:val="auto"/>
              </w:rPr>
              <w:t>46,222</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4,103,863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820" w:type="dxa"/>
            <w:vAlign w:val="bottom"/>
            <w:tcBorders>
              <w:bottom w:val="single" w:sz="8" w:color="5673B8"/>
            </w:tcBorders>
          </w:tcPr>
          <w:p>
            <w:pPr>
              <w:spacing w:after="0"/>
              <w:rPr>
                <w:sz w:val="8"/>
                <w:szCs w:val="8"/>
                <w:color w:val="auto"/>
              </w:rPr>
            </w:pPr>
          </w:p>
        </w:tc>
        <w:tc>
          <w:tcPr>
            <w:tcW w:w="76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78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920" w:type="dxa"/>
            <w:vAlign w:val="bottom"/>
            <w:tcBorders>
              <w:bottom w:val="single" w:sz="8" w:color="5673B8"/>
            </w:tcBorders>
          </w:tcPr>
          <w:p>
            <w:pPr>
              <w:spacing w:after="0"/>
              <w:rPr>
                <w:sz w:val="8"/>
                <w:szCs w:val="8"/>
                <w:color w:val="auto"/>
              </w:rPr>
            </w:pPr>
          </w:p>
        </w:tc>
        <w:tc>
          <w:tcPr>
            <w:tcW w:w="640" w:type="dxa"/>
            <w:vAlign w:val="bottom"/>
            <w:tcBorders>
              <w:bottom w:val="single" w:sz="8" w:color="5673B8"/>
            </w:tcBorders>
          </w:tcPr>
          <w:p>
            <w:pPr>
              <w:spacing w:after="0"/>
              <w:rPr>
                <w:sz w:val="8"/>
                <w:szCs w:val="8"/>
                <w:color w:val="auto"/>
              </w:rPr>
            </w:pPr>
          </w:p>
        </w:tc>
        <w:tc>
          <w:tcPr>
            <w:tcW w:w="660" w:type="dxa"/>
            <w:vAlign w:val="bottom"/>
            <w:tcBorders>
              <w:bottom w:val="single" w:sz="8" w:color="5673B8"/>
            </w:tcBorders>
          </w:tcPr>
          <w:p>
            <w:pPr>
              <w:spacing w:after="0"/>
              <w:rPr>
                <w:sz w:val="8"/>
                <w:szCs w:val="8"/>
                <w:color w:val="auto"/>
              </w:rPr>
            </w:pPr>
          </w:p>
        </w:tc>
        <w:tc>
          <w:tcPr>
            <w:tcW w:w="86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40" w:type="dxa"/>
            <w:vAlign w:val="bottom"/>
            <w:tcBorders>
              <w:bottom w:val="single" w:sz="8" w:color="5673B8"/>
            </w:tcBorders>
          </w:tcPr>
          <w:p>
            <w:pPr>
              <w:spacing w:after="0"/>
              <w:rPr>
                <w:sz w:val="8"/>
                <w:szCs w:val="8"/>
                <w:color w:val="auto"/>
              </w:rPr>
            </w:pPr>
          </w:p>
        </w:tc>
        <w:tc>
          <w:tcPr>
            <w:tcW w:w="100" w:type="dxa"/>
            <w:vAlign w:val="bottom"/>
            <w:tcBorders>
              <w:bottom w:val="single" w:sz="8" w:color="5673B8"/>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Promotion</w:t>
            </w:r>
          </w:p>
        </w:tc>
        <w:tc>
          <w:tcPr>
            <w:tcW w:w="820" w:type="dxa"/>
            <w:vAlign w:val="bottom"/>
          </w:tcPr>
          <w:p>
            <w:pPr>
              <w:jc w:val="center"/>
              <w:spacing w:after="0"/>
              <w:rPr>
                <w:sz w:val="20"/>
                <w:szCs w:val="20"/>
                <w:color w:val="auto"/>
              </w:rPr>
            </w:pPr>
            <w:r>
              <w:rPr>
                <w:rFonts w:ascii="Arial" w:cs="Arial" w:eastAsia="Arial" w:hAnsi="Arial"/>
                <w:sz w:val="11"/>
                <w:szCs w:val="11"/>
                <w:color w:val="auto"/>
                <w:w w:val="92"/>
              </w:rPr>
              <w:t>8/7/2025</w:t>
            </w:r>
            <w:r>
              <w:rPr>
                <w:rFonts w:ascii="Arial" w:cs="Arial" w:eastAsia="Arial" w:hAnsi="Arial"/>
                <w:sz w:val="14"/>
                <w:szCs w:val="14"/>
                <w:color w:val="auto"/>
                <w:w w:val="92"/>
                <w:vertAlign w:val="superscript"/>
              </w:rPr>
              <w:t>(4)</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7/8/2025</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Arial" w:cs="Arial" w:eastAsia="Arial" w:hAnsi="Arial"/>
                <w:sz w:val="11"/>
                <w:szCs w:val="11"/>
                <w:color w:val="auto"/>
              </w:rPr>
              <w:t>12,792</w:t>
            </w:r>
          </w:p>
        </w:tc>
        <w:tc>
          <w:tcPr>
            <w:tcW w:w="640" w:type="dxa"/>
            <w:vAlign w:val="bottom"/>
          </w:tcPr>
          <w:p>
            <w:pPr>
              <w:jc w:val="right"/>
              <w:ind w:right="146"/>
              <w:spacing w:after="0"/>
              <w:rPr>
                <w:sz w:val="20"/>
                <w:szCs w:val="20"/>
                <w:color w:val="auto"/>
              </w:rPr>
            </w:pPr>
            <w:r>
              <w:rPr>
                <w:rFonts w:ascii="Arial" w:cs="Arial" w:eastAsia="Arial" w:hAnsi="Arial"/>
                <w:sz w:val="11"/>
                <w:szCs w:val="11"/>
                <w:color w:val="auto"/>
              </w:rPr>
              <w:t>38,185</w:t>
            </w:r>
          </w:p>
        </w:tc>
        <w:tc>
          <w:tcPr>
            <w:tcW w:w="660" w:type="dxa"/>
            <w:vAlign w:val="bottom"/>
          </w:tcPr>
          <w:p>
            <w:pPr>
              <w:jc w:val="right"/>
              <w:spacing w:after="0"/>
              <w:rPr>
                <w:sz w:val="20"/>
                <w:szCs w:val="20"/>
                <w:color w:val="auto"/>
              </w:rPr>
            </w:pPr>
            <w:r>
              <w:rPr>
                <w:rFonts w:ascii="Arial" w:cs="Arial" w:eastAsia="Arial" w:hAnsi="Arial"/>
                <w:sz w:val="11"/>
                <w:szCs w:val="11"/>
                <w:color w:val="auto"/>
              </w:rPr>
              <w:t>76,370</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4,959,977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852166"/>
              </w:rPr>
              <w:t>Renee D. Gala</w:t>
            </w:r>
          </w:p>
        </w:tc>
        <w:tc>
          <w:tcPr>
            <w:tcW w:w="740" w:type="dxa"/>
            <w:vAlign w:val="bottom"/>
            <w:tcBorders>
              <w:bottom w:val="single" w:sz="8" w:color="5673B8"/>
            </w:tcBorders>
          </w:tcPr>
          <w:p>
            <w:pPr>
              <w:ind w:left="20"/>
              <w:spacing w:after="0"/>
              <w:rPr>
                <w:sz w:val="20"/>
                <w:szCs w:val="20"/>
                <w:color w:val="auto"/>
              </w:rPr>
            </w:pPr>
            <w:r>
              <w:rPr>
                <w:rFonts w:ascii="Arial" w:cs="Arial" w:eastAsia="Arial" w:hAnsi="Arial"/>
                <w:sz w:val="11"/>
                <w:szCs w:val="11"/>
                <w:color w:val="auto"/>
              </w:rPr>
              <w:t>PSU</w:t>
            </w:r>
          </w:p>
        </w:tc>
        <w:tc>
          <w:tcPr>
            <w:tcW w:w="820" w:type="dxa"/>
            <w:vAlign w:val="bottom"/>
            <w:tcBorders>
              <w:bottom w:val="single" w:sz="8" w:color="5673B8"/>
            </w:tcBorders>
          </w:tcPr>
          <w:p>
            <w:pPr>
              <w:spacing w:after="0"/>
              <w:rPr>
                <w:sz w:val="11"/>
                <w:szCs w:val="11"/>
                <w:color w:val="auto"/>
              </w:rPr>
            </w:pPr>
          </w:p>
        </w:tc>
        <w:tc>
          <w:tcPr>
            <w:tcW w:w="76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78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920" w:type="dxa"/>
            <w:vAlign w:val="bottom"/>
            <w:tcBorders>
              <w:bottom w:val="single" w:sz="8" w:color="5673B8"/>
            </w:tcBorders>
          </w:tcPr>
          <w:p>
            <w:pPr>
              <w:spacing w:after="0"/>
              <w:rPr>
                <w:sz w:val="11"/>
                <w:szCs w:val="11"/>
                <w:color w:val="auto"/>
              </w:rPr>
            </w:pPr>
          </w:p>
        </w:tc>
        <w:tc>
          <w:tcPr>
            <w:tcW w:w="640" w:type="dxa"/>
            <w:vAlign w:val="bottom"/>
            <w:tcBorders>
              <w:bottom w:val="single" w:sz="8" w:color="5673B8"/>
            </w:tcBorders>
          </w:tcPr>
          <w:p>
            <w:pPr>
              <w:spacing w:after="0"/>
              <w:rPr>
                <w:sz w:val="11"/>
                <w:szCs w:val="11"/>
                <w:color w:val="auto"/>
              </w:rPr>
            </w:pPr>
          </w:p>
        </w:tc>
        <w:tc>
          <w:tcPr>
            <w:tcW w:w="660" w:type="dxa"/>
            <w:vAlign w:val="bottom"/>
            <w:tcBorders>
              <w:bottom w:val="single" w:sz="8" w:color="5673B8"/>
            </w:tcBorders>
          </w:tcPr>
          <w:p>
            <w:pPr>
              <w:spacing w:after="0"/>
              <w:rPr>
                <w:sz w:val="11"/>
                <w:szCs w:val="11"/>
                <w:color w:val="auto"/>
              </w:rPr>
            </w:pPr>
          </w:p>
        </w:tc>
        <w:tc>
          <w:tcPr>
            <w:tcW w:w="86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40" w:type="dxa"/>
            <w:vAlign w:val="bottom"/>
            <w:tcBorders>
              <w:bottom w:val="single" w:sz="8" w:color="5673B8"/>
            </w:tcBorders>
          </w:tcPr>
          <w:p>
            <w:pPr>
              <w:spacing w:after="0"/>
              <w:rPr>
                <w:sz w:val="11"/>
                <w:szCs w:val="11"/>
                <w:color w:val="auto"/>
              </w:rPr>
            </w:pPr>
          </w:p>
        </w:tc>
        <w:tc>
          <w:tcPr>
            <w:tcW w:w="100" w:type="dxa"/>
            <w:vAlign w:val="bottom"/>
            <w:tcBorders>
              <w:bottom w:val="single" w:sz="8" w:color="5673B8"/>
            </w:tcBorders>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color w:val="auto"/>
              </w:rPr>
              <w:t>Annual RSU</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(5)</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23,111</w:t>
            </w: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3,311,111</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820" w:type="dxa"/>
            <w:vAlign w:val="bottom"/>
            <w:tcBorders>
              <w:bottom w:val="single" w:sz="8" w:color="5673B8"/>
            </w:tcBorders>
          </w:tcPr>
          <w:p>
            <w:pPr>
              <w:spacing w:after="0"/>
              <w:rPr>
                <w:sz w:val="5"/>
                <w:szCs w:val="5"/>
                <w:color w:val="auto"/>
              </w:rPr>
            </w:pPr>
          </w:p>
        </w:tc>
        <w:tc>
          <w:tcPr>
            <w:tcW w:w="76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78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920" w:type="dxa"/>
            <w:vAlign w:val="bottom"/>
            <w:tcBorders>
              <w:bottom w:val="single" w:sz="8" w:color="5673B8"/>
            </w:tcBorders>
          </w:tcPr>
          <w:p>
            <w:pPr>
              <w:spacing w:after="0"/>
              <w:rPr>
                <w:sz w:val="5"/>
                <w:szCs w:val="5"/>
                <w:color w:val="auto"/>
              </w:rPr>
            </w:pPr>
          </w:p>
        </w:tc>
        <w:tc>
          <w:tcPr>
            <w:tcW w:w="640" w:type="dxa"/>
            <w:vAlign w:val="bottom"/>
            <w:tcBorders>
              <w:bottom w:val="single" w:sz="8" w:color="5673B8"/>
            </w:tcBorders>
          </w:tcPr>
          <w:p>
            <w:pPr>
              <w:spacing w:after="0"/>
              <w:rPr>
                <w:sz w:val="5"/>
                <w:szCs w:val="5"/>
                <w:color w:val="auto"/>
              </w:rPr>
            </w:pPr>
          </w:p>
        </w:tc>
        <w:tc>
          <w:tcPr>
            <w:tcW w:w="660" w:type="dxa"/>
            <w:vAlign w:val="bottom"/>
            <w:tcBorders>
              <w:bottom w:val="single" w:sz="8" w:color="5673B8"/>
            </w:tcBorders>
          </w:tcPr>
          <w:p>
            <w:pPr>
              <w:spacing w:after="0"/>
              <w:rPr>
                <w:sz w:val="5"/>
                <w:szCs w:val="5"/>
                <w:color w:val="auto"/>
              </w:rPr>
            </w:pPr>
          </w:p>
        </w:tc>
        <w:tc>
          <w:tcPr>
            <w:tcW w:w="8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4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Retention</w:t>
            </w:r>
          </w:p>
        </w:tc>
        <w:tc>
          <w:tcPr>
            <w:tcW w:w="820" w:type="dxa"/>
            <w:vAlign w:val="bottom"/>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(6)</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11,555</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1,655,484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Borders>
              <w:bottom w:val="single" w:sz="8" w:color="5673B8"/>
            </w:tcBorders>
          </w:tcPr>
          <w:p>
            <w:pPr>
              <w:ind w:left="20"/>
              <w:spacing w:after="0"/>
              <w:rPr>
                <w:sz w:val="20"/>
                <w:szCs w:val="20"/>
                <w:color w:val="auto"/>
              </w:rPr>
            </w:pPr>
            <w:r>
              <w:rPr>
                <w:rFonts w:ascii="Arial" w:cs="Arial" w:eastAsia="Arial" w:hAnsi="Arial"/>
                <w:sz w:val="11"/>
                <w:szCs w:val="11"/>
                <w:color w:val="auto"/>
              </w:rPr>
              <w:t>RSU</w:t>
            </w:r>
          </w:p>
        </w:tc>
        <w:tc>
          <w:tcPr>
            <w:tcW w:w="820" w:type="dxa"/>
            <w:vAlign w:val="bottom"/>
            <w:tcBorders>
              <w:bottom w:val="single" w:sz="8" w:color="5673B8"/>
            </w:tcBorders>
          </w:tcPr>
          <w:p>
            <w:pPr>
              <w:spacing w:after="0"/>
              <w:rPr>
                <w:sz w:val="11"/>
                <w:szCs w:val="11"/>
                <w:color w:val="auto"/>
              </w:rPr>
            </w:pPr>
          </w:p>
        </w:tc>
        <w:tc>
          <w:tcPr>
            <w:tcW w:w="76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78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920" w:type="dxa"/>
            <w:vAlign w:val="bottom"/>
            <w:tcBorders>
              <w:bottom w:val="single" w:sz="8" w:color="5673B8"/>
            </w:tcBorders>
          </w:tcPr>
          <w:p>
            <w:pPr>
              <w:spacing w:after="0"/>
              <w:rPr>
                <w:sz w:val="11"/>
                <w:szCs w:val="11"/>
                <w:color w:val="auto"/>
              </w:rPr>
            </w:pPr>
          </w:p>
        </w:tc>
        <w:tc>
          <w:tcPr>
            <w:tcW w:w="640" w:type="dxa"/>
            <w:vAlign w:val="bottom"/>
            <w:tcBorders>
              <w:bottom w:val="single" w:sz="8" w:color="5673B8"/>
            </w:tcBorders>
          </w:tcPr>
          <w:p>
            <w:pPr>
              <w:spacing w:after="0"/>
              <w:rPr>
                <w:sz w:val="11"/>
                <w:szCs w:val="11"/>
                <w:color w:val="auto"/>
              </w:rPr>
            </w:pPr>
          </w:p>
        </w:tc>
        <w:tc>
          <w:tcPr>
            <w:tcW w:w="660" w:type="dxa"/>
            <w:vAlign w:val="bottom"/>
            <w:tcBorders>
              <w:bottom w:val="single" w:sz="8" w:color="5673B8"/>
            </w:tcBorders>
          </w:tcPr>
          <w:p>
            <w:pPr>
              <w:spacing w:after="0"/>
              <w:rPr>
                <w:sz w:val="11"/>
                <w:szCs w:val="11"/>
                <w:color w:val="auto"/>
              </w:rPr>
            </w:pPr>
          </w:p>
        </w:tc>
        <w:tc>
          <w:tcPr>
            <w:tcW w:w="86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40" w:type="dxa"/>
            <w:vAlign w:val="bottom"/>
            <w:tcBorders>
              <w:bottom w:val="single" w:sz="8" w:color="5673B8"/>
            </w:tcBorders>
          </w:tcPr>
          <w:p>
            <w:pPr>
              <w:spacing w:after="0"/>
              <w:rPr>
                <w:sz w:val="11"/>
                <w:szCs w:val="11"/>
                <w:color w:val="auto"/>
              </w:rPr>
            </w:pPr>
          </w:p>
        </w:tc>
        <w:tc>
          <w:tcPr>
            <w:tcW w:w="100" w:type="dxa"/>
            <w:vAlign w:val="bottom"/>
            <w:tcBorders>
              <w:bottom w:val="single" w:sz="8" w:color="5673B8"/>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Promotion</w:t>
            </w:r>
          </w:p>
        </w:tc>
        <w:tc>
          <w:tcPr>
            <w:tcW w:w="820" w:type="dxa"/>
            <w:vAlign w:val="bottom"/>
          </w:tcPr>
          <w:p>
            <w:pPr>
              <w:jc w:val="center"/>
              <w:spacing w:after="0"/>
              <w:rPr>
                <w:sz w:val="20"/>
                <w:szCs w:val="20"/>
                <w:color w:val="auto"/>
              </w:rPr>
            </w:pPr>
            <w:r>
              <w:rPr>
                <w:rFonts w:ascii="Arial" w:cs="Arial" w:eastAsia="Arial" w:hAnsi="Arial"/>
                <w:sz w:val="11"/>
                <w:szCs w:val="11"/>
                <w:color w:val="auto"/>
                <w:w w:val="92"/>
              </w:rPr>
              <w:t>8/7/2025</w:t>
            </w:r>
            <w:r>
              <w:rPr>
                <w:rFonts w:ascii="Arial" w:cs="Arial" w:eastAsia="Arial" w:hAnsi="Arial"/>
                <w:sz w:val="14"/>
                <w:szCs w:val="14"/>
                <w:color w:val="auto"/>
                <w:w w:val="92"/>
                <w:vertAlign w:val="superscript"/>
              </w:rPr>
              <w:t>(4)</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7/8/2025</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18,808</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2,107,999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 w:type="dxa"/>
            <w:vAlign w:val="bottom"/>
            <w:tcBorders>
              <w:bottom w:val="single" w:sz="8" w:color="5673B8"/>
            </w:tcBorders>
          </w:tcPr>
          <w:p>
            <w:pPr>
              <w:spacing w:after="0"/>
              <w:rPr>
                <w:sz w:val="11"/>
                <w:szCs w:val="11"/>
                <w:color w:val="auto"/>
              </w:rPr>
            </w:pPr>
          </w:p>
        </w:tc>
        <w:tc>
          <w:tcPr>
            <w:tcW w:w="80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ind w:left="20"/>
              <w:spacing w:after="0"/>
              <w:rPr>
                <w:sz w:val="20"/>
                <w:szCs w:val="20"/>
                <w:color w:val="auto"/>
              </w:rPr>
            </w:pPr>
            <w:r>
              <w:rPr>
                <w:rFonts w:ascii="Arial" w:cs="Arial" w:eastAsia="Arial" w:hAnsi="Arial"/>
                <w:sz w:val="11"/>
                <w:szCs w:val="11"/>
                <w:color w:val="auto"/>
              </w:rPr>
              <w:t>RSU</w:t>
            </w:r>
          </w:p>
        </w:tc>
        <w:tc>
          <w:tcPr>
            <w:tcW w:w="820" w:type="dxa"/>
            <w:vAlign w:val="bottom"/>
            <w:tcBorders>
              <w:bottom w:val="single" w:sz="8" w:color="5673B8"/>
            </w:tcBorders>
          </w:tcPr>
          <w:p>
            <w:pPr>
              <w:spacing w:after="0"/>
              <w:rPr>
                <w:sz w:val="11"/>
                <w:szCs w:val="11"/>
                <w:color w:val="auto"/>
              </w:rPr>
            </w:pPr>
          </w:p>
        </w:tc>
        <w:tc>
          <w:tcPr>
            <w:tcW w:w="76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78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920" w:type="dxa"/>
            <w:vAlign w:val="bottom"/>
            <w:tcBorders>
              <w:bottom w:val="single" w:sz="8" w:color="5673B8"/>
            </w:tcBorders>
          </w:tcPr>
          <w:p>
            <w:pPr>
              <w:spacing w:after="0"/>
              <w:rPr>
                <w:sz w:val="11"/>
                <w:szCs w:val="11"/>
                <w:color w:val="auto"/>
              </w:rPr>
            </w:pPr>
          </w:p>
        </w:tc>
        <w:tc>
          <w:tcPr>
            <w:tcW w:w="640" w:type="dxa"/>
            <w:vAlign w:val="bottom"/>
            <w:tcBorders>
              <w:bottom w:val="single" w:sz="8" w:color="5673B8"/>
            </w:tcBorders>
          </w:tcPr>
          <w:p>
            <w:pPr>
              <w:spacing w:after="0"/>
              <w:rPr>
                <w:sz w:val="11"/>
                <w:szCs w:val="11"/>
                <w:color w:val="auto"/>
              </w:rPr>
            </w:pPr>
          </w:p>
        </w:tc>
        <w:tc>
          <w:tcPr>
            <w:tcW w:w="660" w:type="dxa"/>
            <w:vAlign w:val="bottom"/>
            <w:tcBorders>
              <w:bottom w:val="single" w:sz="8" w:color="5673B8"/>
            </w:tcBorders>
          </w:tcPr>
          <w:p>
            <w:pPr>
              <w:spacing w:after="0"/>
              <w:rPr>
                <w:sz w:val="11"/>
                <w:szCs w:val="11"/>
                <w:color w:val="auto"/>
              </w:rPr>
            </w:pPr>
          </w:p>
        </w:tc>
        <w:tc>
          <w:tcPr>
            <w:tcW w:w="86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40" w:type="dxa"/>
            <w:vAlign w:val="bottom"/>
            <w:tcBorders>
              <w:bottom w:val="single" w:sz="8" w:color="5673B8"/>
            </w:tcBorders>
          </w:tcPr>
          <w:p>
            <w:pPr>
              <w:spacing w:after="0"/>
              <w:rPr>
                <w:sz w:val="11"/>
                <w:szCs w:val="11"/>
                <w:color w:val="auto"/>
              </w:rPr>
            </w:pPr>
          </w:p>
        </w:tc>
        <w:tc>
          <w:tcPr>
            <w:tcW w:w="100" w:type="dxa"/>
            <w:vAlign w:val="bottom"/>
            <w:tcBorders>
              <w:bottom w:val="single" w:sz="8" w:color="5673B8"/>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Annual Cash</w:t>
            </w: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487,500</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1,462,500</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820" w:type="dxa"/>
            <w:vAlign w:val="bottom"/>
            <w:tcBorders>
              <w:bottom w:val="single" w:sz="8" w:color="5673B8"/>
            </w:tcBorders>
          </w:tcPr>
          <w:p>
            <w:pPr>
              <w:spacing w:after="0"/>
              <w:rPr>
                <w:sz w:val="8"/>
                <w:szCs w:val="8"/>
                <w:color w:val="auto"/>
              </w:rPr>
            </w:pPr>
          </w:p>
        </w:tc>
        <w:tc>
          <w:tcPr>
            <w:tcW w:w="76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78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920" w:type="dxa"/>
            <w:vAlign w:val="bottom"/>
            <w:tcBorders>
              <w:bottom w:val="single" w:sz="8" w:color="5673B8"/>
            </w:tcBorders>
          </w:tcPr>
          <w:p>
            <w:pPr>
              <w:spacing w:after="0"/>
              <w:rPr>
                <w:sz w:val="8"/>
                <w:szCs w:val="8"/>
                <w:color w:val="auto"/>
              </w:rPr>
            </w:pPr>
          </w:p>
        </w:tc>
        <w:tc>
          <w:tcPr>
            <w:tcW w:w="640" w:type="dxa"/>
            <w:vAlign w:val="bottom"/>
            <w:tcBorders>
              <w:bottom w:val="single" w:sz="8" w:color="5673B8"/>
            </w:tcBorders>
          </w:tcPr>
          <w:p>
            <w:pPr>
              <w:spacing w:after="0"/>
              <w:rPr>
                <w:sz w:val="8"/>
                <w:szCs w:val="8"/>
                <w:color w:val="auto"/>
              </w:rPr>
            </w:pPr>
          </w:p>
        </w:tc>
        <w:tc>
          <w:tcPr>
            <w:tcW w:w="660" w:type="dxa"/>
            <w:vAlign w:val="bottom"/>
            <w:tcBorders>
              <w:bottom w:val="single" w:sz="8" w:color="5673B8"/>
            </w:tcBorders>
          </w:tcPr>
          <w:p>
            <w:pPr>
              <w:spacing w:after="0"/>
              <w:rPr>
                <w:sz w:val="8"/>
                <w:szCs w:val="8"/>
                <w:color w:val="auto"/>
              </w:rPr>
            </w:pPr>
          </w:p>
        </w:tc>
        <w:tc>
          <w:tcPr>
            <w:tcW w:w="86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40" w:type="dxa"/>
            <w:vAlign w:val="bottom"/>
            <w:tcBorders>
              <w:bottom w:val="single" w:sz="8" w:color="5673B8"/>
            </w:tcBorders>
          </w:tcPr>
          <w:p>
            <w:pPr>
              <w:spacing w:after="0"/>
              <w:rPr>
                <w:sz w:val="8"/>
                <w:szCs w:val="8"/>
                <w:color w:val="auto"/>
              </w:rPr>
            </w:pPr>
          </w:p>
        </w:tc>
        <w:tc>
          <w:tcPr>
            <w:tcW w:w="100" w:type="dxa"/>
            <w:vAlign w:val="bottom"/>
            <w:tcBorders>
              <w:bottom w:val="single" w:sz="8" w:color="5673B8"/>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852166"/>
              </w:rPr>
              <w:t>Philip L.</w:t>
            </w:r>
          </w:p>
        </w:tc>
        <w:tc>
          <w:tcPr>
            <w:tcW w:w="740" w:type="dxa"/>
            <w:vAlign w:val="bottom"/>
          </w:tcPr>
          <w:p>
            <w:pPr>
              <w:ind w:left="20"/>
              <w:spacing w:after="0"/>
              <w:rPr>
                <w:sz w:val="20"/>
                <w:szCs w:val="20"/>
                <w:color w:val="auto"/>
              </w:rPr>
            </w:pPr>
            <w:r>
              <w:rPr>
                <w:rFonts w:ascii="Arial" w:cs="Arial" w:eastAsia="Arial" w:hAnsi="Arial"/>
                <w:sz w:val="11"/>
                <w:szCs w:val="11"/>
                <w:color w:val="auto"/>
              </w:rPr>
              <w:t>Annual PSU</w:t>
            </w:r>
          </w:p>
        </w:tc>
        <w:tc>
          <w:tcPr>
            <w:tcW w:w="820" w:type="dxa"/>
            <w:vAlign w:val="bottom"/>
          </w:tcPr>
          <w:p>
            <w:pPr>
              <w:jc w:val="center"/>
              <w:spacing w:after="0"/>
              <w:rPr>
                <w:sz w:val="20"/>
                <w:szCs w:val="20"/>
                <w:color w:val="auto"/>
              </w:rPr>
            </w:pPr>
            <w:r>
              <w:rPr>
                <w:rFonts w:ascii="Arial" w:cs="Arial" w:eastAsia="Arial" w:hAnsi="Arial"/>
                <w:sz w:val="11"/>
                <w:szCs w:val="11"/>
                <w:color w:val="auto"/>
                <w:w w:val="97"/>
              </w:rPr>
              <w:t>2/27/2025</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jc w:val="right"/>
              <w:ind w:right="107"/>
              <w:spacing w:after="0"/>
              <w:rPr>
                <w:sz w:val="20"/>
                <w:szCs w:val="20"/>
                <w:color w:val="auto"/>
              </w:rPr>
            </w:pPr>
            <w:r>
              <w:rPr>
                <w:rFonts w:ascii="Arial" w:cs="Arial" w:eastAsia="Arial" w:hAnsi="Arial"/>
                <w:sz w:val="11"/>
                <w:szCs w:val="11"/>
                <w:color w:val="auto"/>
              </w:rPr>
              <w:t>2,542</w:t>
            </w:r>
          </w:p>
        </w:tc>
        <w:tc>
          <w:tcPr>
            <w:tcW w:w="640" w:type="dxa"/>
            <w:vAlign w:val="bottom"/>
          </w:tcPr>
          <w:p>
            <w:pPr>
              <w:jc w:val="right"/>
              <w:ind w:right="146"/>
              <w:spacing w:after="0"/>
              <w:rPr>
                <w:sz w:val="20"/>
                <w:szCs w:val="20"/>
                <w:color w:val="auto"/>
              </w:rPr>
            </w:pPr>
            <w:r>
              <w:rPr>
                <w:rFonts w:ascii="Arial" w:cs="Arial" w:eastAsia="Arial" w:hAnsi="Arial"/>
                <w:sz w:val="11"/>
                <w:szCs w:val="11"/>
                <w:color w:val="auto"/>
              </w:rPr>
              <w:t>15,407</w:t>
            </w:r>
          </w:p>
        </w:tc>
        <w:tc>
          <w:tcPr>
            <w:tcW w:w="660" w:type="dxa"/>
            <w:vAlign w:val="bottom"/>
          </w:tcPr>
          <w:p>
            <w:pPr>
              <w:jc w:val="right"/>
              <w:spacing w:after="0"/>
              <w:rPr>
                <w:sz w:val="20"/>
                <w:szCs w:val="20"/>
                <w:color w:val="auto"/>
              </w:rPr>
            </w:pPr>
            <w:r>
              <w:rPr>
                <w:rFonts w:ascii="Arial" w:cs="Arial" w:eastAsia="Arial" w:hAnsi="Arial"/>
                <w:sz w:val="11"/>
                <w:szCs w:val="11"/>
                <w:color w:val="auto"/>
              </w:rPr>
              <w:t>30,814</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2,735,792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820" w:type="dxa"/>
            <w:vAlign w:val="bottom"/>
            <w:tcBorders>
              <w:bottom w:val="single" w:sz="8" w:color="5673B8"/>
            </w:tcBorders>
          </w:tcPr>
          <w:p>
            <w:pPr>
              <w:spacing w:after="0"/>
              <w:rPr>
                <w:sz w:val="8"/>
                <w:szCs w:val="8"/>
                <w:color w:val="auto"/>
              </w:rPr>
            </w:pPr>
          </w:p>
        </w:tc>
        <w:tc>
          <w:tcPr>
            <w:tcW w:w="76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78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920" w:type="dxa"/>
            <w:vAlign w:val="bottom"/>
            <w:tcBorders>
              <w:bottom w:val="single" w:sz="8" w:color="5673B8"/>
            </w:tcBorders>
          </w:tcPr>
          <w:p>
            <w:pPr>
              <w:spacing w:after="0"/>
              <w:rPr>
                <w:sz w:val="8"/>
                <w:szCs w:val="8"/>
                <w:color w:val="auto"/>
              </w:rPr>
            </w:pPr>
          </w:p>
        </w:tc>
        <w:tc>
          <w:tcPr>
            <w:tcW w:w="640" w:type="dxa"/>
            <w:vAlign w:val="bottom"/>
            <w:tcBorders>
              <w:bottom w:val="single" w:sz="8" w:color="5673B8"/>
            </w:tcBorders>
          </w:tcPr>
          <w:p>
            <w:pPr>
              <w:spacing w:after="0"/>
              <w:rPr>
                <w:sz w:val="8"/>
                <w:szCs w:val="8"/>
                <w:color w:val="auto"/>
              </w:rPr>
            </w:pPr>
          </w:p>
        </w:tc>
        <w:tc>
          <w:tcPr>
            <w:tcW w:w="660" w:type="dxa"/>
            <w:vAlign w:val="bottom"/>
            <w:tcBorders>
              <w:bottom w:val="single" w:sz="8" w:color="5673B8"/>
            </w:tcBorders>
          </w:tcPr>
          <w:p>
            <w:pPr>
              <w:spacing w:after="0"/>
              <w:rPr>
                <w:sz w:val="8"/>
                <w:szCs w:val="8"/>
                <w:color w:val="auto"/>
              </w:rPr>
            </w:pPr>
          </w:p>
        </w:tc>
        <w:tc>
          <w:tcPr>
            <w:tcW w:w="86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40" w:type="dxa"/>
            <w:vAlign w:val="bottom"/>
            <w:tcBorders>
              <w:bottom w:val="single" w:sz="8" w:color="5673B8"/>
            </w:tcBorders>
          </w:tcPr>
          <w:p>
            <w:pPr>
              <w:spacing w:after="0"/>
              <w:rPr>
                <w:sz w:val="8"/>
                <w:szCs w:val="8"/>
                <w:color w:val="auto"/>
              </w:rPr>
            </w:pPr>
          </w:p>
        </w:tc>
        <w:tc>
          <w:tcPr>
            <w:tcW w:w="100" w:type="dxa"/>
            <w:vAlign w:val="bottom"/>
            <w:tcBorders>
              <w:bottom w:val="single" w:sz="8" w:color="5673B8"/>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800" w:type="dxa"/>
            <w:vAlign w:val="bottom"/>
          </w:tcPr>
          <w:p>
            <w:pPr>
              <w:ind w:left="20"/>
              <w:spacing w:after="0" w:line="121" w:lineRule="exact"/>
              <w:rPr>
                <w:sz w:val="20"/>
                <w:szCs w:val="20"/>
                <w:color w:val="auto"/>
              </w:rPr>
            </w:pPr>
            <w:r>
              <w:rPr>
                <w:rFonts w:ascii="Arial" w:cs="Arial" w:eastAsia="Arial" w:hAnsi="Arial"/>
                <w:sz w:val="11"/>
                <w:szCs w:val="11"/>
                <w:b w:val="1"/>
                <w:bCs w:val="1"/>
                <w:color w:val="852166"/>
              </w:rPr>
              <w:t>Johnson</w:t>
            </w:r>
          </w:p>
        </w:tc>
        <w:tc>
          <w:tcPr>
            <w:tcW w:w="740" w:type="dxa"/>
            <w:vAlign w:val="bottom"/>
            <w:vMerge w:val="restart"/>
          </w:tcPr>
          <w:p>
            <w:pPr>
              <w:ind w:left="20"/>
              <w:spacing w:after="0"/>
              <w:rPr>
                <w:sz w:val="20"/>
                <w:szCs w:val="20"/>
                <w:color w:val="auto"/>
              </w:rPr>
            </w:pPr>
            <w:r>
              <w:rPr>
                <w:rFonts w:ascii="Arial" w:cs="Arial" w:eastAsia="Arial" w:hAnsi="Arial"/>
                <w:sz w:val="11"/>
                <w:szCs w:val="11"/>
                <w:color w:val="auto"/>
              </w:rPr>
              <w:t>Annual RSU</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(5)</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15,407</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2,207,359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820" w:type="dxa"/>
            <w:vAlign w:val="bottom"/>
            <w:tcBorders>
              <w:bottom w:val="single" w:sz="8" w:color="5673B8"/>
            </w:tcBorders>
          </w:tcPr>
          <w:p>
            <w:pPr>
              <w:spacing w:after="0"/>
              <w:rPr>
                <w:sz w:val="5"/>
                <w:szCs w:val="5"/>
                <w:color w:val="auto"/>
              </w:rPr>
            </w:pPr>
          </w:p>
        </w:tc>
        <w:tc>
          <w:tcPr>
            <w:tcW w:w="76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78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920" w:type="dxa"/>
            <w:vAlign w:val="bottom"/>
            <w:tcBorders>
              <w:bottom w:val="single" w:sz="8" w:color="5673B8"/>
            </w:tcBorders>
          </w:tcPr>
          <w:p>
            <w:pPr>
              <w:spacing w:after="0"/>
              <w:rPr>
                <w:sz w:val="5"/>
                <w:szCs w:val="5"/>
                <w:color w:val="auto"/>
              </w:rPr>
            </w:pPr>
          </w:p>
        </w:tc>
        <w:tc>
          <w:tcPr>
            <w:tcW w:w="640" w:type="dxa"/>
            <w:vAlign w:val="bottom"/>
            <w:tcBorders>
              <w:bottom w:val="single" w:sz="8" w:color="5673B8"/>
            </w:tcBorders>
          </w:tcPr>
          <w:p>
            <w:pPr>
              <w:spacing w:after="0"/>
              <w:rPr>
                <w:sz w:val="5"/>
                <w:szCs w:val="5"/>
                <w:color w:val="auto"/>
              </w:rPr>
            </w:pPr>
          </w:p>
        </w:tc>
        <w:tc>
          <w:tcPr>
            <w:tcW w:w="660" w:type="dxa"/>
            <w:vAlign w:val="bottom"/>
            <w:tcBorders>
              <w:bottom w:val="single" w:sz="8" w:color="5673B8"/>
            </w:tcBorders>
          </w:tcPr>
          <w:p>
            <w:pPr>
              <w:spacing w:after="0"/>
              <w:rPr>
                <w:sz w:val="5"/>
                <w:szCs w:val="5"/>
                <w:color w:val="auto"/>
              </w:rPr>
            </w:pPr>
          </w:p>
        </w:tc>
        <w:tc>
          <w:tcPr>
            <w:tcW w:w="8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4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Retention</w:t>
            </w:r>
          </w:p>
        </w:tc>
        <w:tc>
          <w:tcPr>
            <w:tcW w:w="820" w:type="dxa"/>
            <w:vAlign w:val="bottom"/>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(6)</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7,704</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1,103,751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 w:type="dxa"/>
            <w:vAlign w:val="bottom"/>
            <w:tcBorders>
              <w:bottom w:val="single" w:sz="8" w:color="5673B8"/>
            </w:tcBorders>
          </w:tcPr>
          <w:p>
            <w:pPr>
              <w:spacing w:after="0"/>
              <w:rPr>
                <w:sz w:val="11"/>
                <w:szCs w:val="11"/>
                <w:color w:val="auto"/>
              </w:rPr>
            </w:pPr>
          </w:p>
        </w:tc>
        <w:tc>
          <w:tcPr>
            <w:tcW w:w="80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ind w:left="20"/>
              <w:spacing w:after="0"/>
              <w:rPr>
                <w:sz w:val="20"/>
                <w:szCs w:val="20"/>
                <w:color w:val="auto"/>
              </w:rPr>
            </w:pPr>
            <w:r>
              <w:rPr>
                <w:rFonts w:ascii="Arial" w:cs="Arial" w:eastAsia="Arial" w:hAnsi="Arial"/>
                <w:sz w:val="11"/>
                <w:szCs w:val="11"/>
                <w:color w:val="auto"/>
              </w:rPr>
              <w:t>RSU</w:t>
            </w:r>
          </w:p>
        </w:tc>
        <w:tc>
          <w:tcPr>
            <w:tcW w:w="820" w:type="dxa"/>
            <w:vAlign w:val="bottom"/>
            <w:tcBorders>
              <w:bottom w:val="single" w:sz="8" w:color="5673B8"/>
            </w:tcBorders>
          </w:tcPr>
          <w:p>
            <w:pPr>
              <w:spacing w:after="0"/>
              <w:rPr>
                <w:sz w:val="11"/>
                <w:szCs w:val="11"/>
                <w:color w:val="auto"/>
              </w:rPr>
            </w:pPr>
          </w:p>
        </w:tc>
        <w:tc>
          <w:tcPr>
            <w:tcW w:w="76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78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920" w:type="dxa"/>
            <w:vAlign w:val="bottom"/>
            <w:tcBorders>
              <w:bottom w:val="single" w:sz="8" w:color="5673B8"/>
            </w:tcBorders>
          </w:tcPr>
          <w:p>
            <w:pPr>
              <w:spacing w:after="0"/>
              <w:rPr>
                <w:sz w:val="11"/>
                <w:szCs w:val="11"/>
                <w:color w:val="auto"/>
              </w:rPr>
            </w:pPr>
          </w:p>
        </w:tc>
        <w:tc>
          <w:tcPr>
            <w:tcW w:w="640" w:type="dxa"/>
            <w:vAlign w:val="bottom"/>
            <w:tcBorders>
              <w:bottom w:val="single" w:sz="8" w:color="5673B8"/>
            </w:tcBorders>
          </w:tcPr>
          <w:p>
            <w:pPr>
              <w:spacing w:after="0"/>
              <w:rPr>
                <w:sz w:val="11"/>
                <w:szCs w:val="11"/>
                <w:color w:val="auto"/>
              </w:rPr>
            </w:pPr>
          </w:p>
        </w:tc>
        <w:tc>
          <w:tcPr>
            <w:tcW w:w="660" w:type="dxa"/>
            <w:vAlign w:val="bottom"/>
            <w:tcBorders>
              <w:bottom w:val="single" w:sz="8" w:color="5673B8"/>
            </w:tcBorders>
          </w:tcPr>
          <w:p>
            <w:pPr>
              <w:spacing w:after="0"/>
              <w:rPr>
                <w:sz w:val="11"/>
                <w:szCs w:val="11"/>
                <w:color w:val="auto"/>
              </w:rPr>
            </w:pPr>
          </w:p>
        </w:tc>
        <w:tc>
          <w:tcPr>
            <w:tcW w:w="86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40" w:type="dxa"/>
            <w:vAlign w:val="bottom"/>
            <w:tcBorders>
              <w:bottom w:val="single" w:sz="8" w:color="5673B8"/>
            </w:tcBorders>
          </w:tcPr>
          <w:p>
            <w:pPr>
              <w:spacing w:after="0"/>
              <w:rPr>
                <w:sz w:val="11"/>
                <w:szCs w:val="11"/>
                <w:color w:val="auto"/>
              </w:rPr>
            </w:pPr>
          </w:p>
        </w:tc>
        <w:tc>
          <w:tcPr>
            <w:tcW w:w="100" w:type="dxa"/>
            <w:vAlign w:val="bottom"/>
            <w:tcBorders>
              <w:bottom w:val="single" w:sz="8" w:color="5673B8"/>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Annual Cash</w:t>
            </w: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1,379,180</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2,758,360</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820" w:type="dxa"/>
            <w:vAlign w:val="bottom"/>
            <w:tcBorders>
              <w:bottom w:val="single" w:sz="8" w:color="5673B8"/>
            </w:tcBorders>
          </w:tcPr>
          <w:p>
            <w:pPr>
              <w:spacing w:after="0"/>
              <w:rPr>
                <w:sz w:val="8"/>
                <w:szCs w:val="8"/>
                <w:color w:val="auto"/>
              </w:rPr>
            </w:pPr>
          </w:p>
        </w:tc>
        <w:tc>
          <w:tcPr>
            <w:tcW w:w="76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78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920" w:type="dxa"/>
            <w:vAlign w:val="bottom"/>
            <w:tcBorders>
              <w:bottom w:val="single" w:sz="8" w:color="5673B8"/>
            </w:tcBorders>
          </w:tcPr>
          <w:p>
            <w:pPr>
              <w:spacing w:after="0"/>
              <w:rPr>
                <w:sz w:val="8"/>
                <w:szCs w:val="8"/>
                <w:color w:val="auto"/>
              </w:rPr>
            </w:pPr>
          </w:p>
        </w:tc>
        <w:tc>
          <w:tcPr>
            <w:tcW w:w="640" w:type="dxa"/>
            <w:vAlign w:val="bottom"/>
            <w:tcBorders>
              <w:bottom w:val="single" w:sz="8" w:color="5673B8"/>
            </w:tcBorders>
          </w:tcPr>
          <w:p>
            <w:pPr>
              <w:spacing w:after="0"/>
              <w:rPr>
                <w:sz w:val="8"/>
                <w:szCs w:val="8"/>
                <w:color w:val="auto"/>
              </w:rPr>
            </w:pPr>
          </w:p>
        </w:tc>
        <w:tc>
          <w:tcPr>
            <w:tcW w:w="660" w:type="dxa"/>
            <w:vAlign w:val="bottom"/>
            <w:tcBorders>
              <w:bottom w:val="single" w:sz="8" w:color="5673B8"/>
            </w:tcBorders>
          </w:tcPr>
          <w:p>
            <w:pPr>
              <w:spacing w:after="0"/>
              <w:rPr>
                <w:sz w:val="8"/>
                <w:szCs w:val="8"/>
                <w:color w:val="auto"/>
              </w:rPr>
            </w:pPr>
          </w:p>
        </w:tc>
        <w:tc>
          <w:tcPr>
            <w:tcW w:w="86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40" w:type="dxa"/>
            <w:vAlign w:val="bottom"/>
            <w:tcBorders>
              <w:bottom w:val="single" w:sz="8" w:color="5673B8"/>
            </w:tcBorders>
          </w:tcPr>
          <w:p>
            <w:pPr>
              <w:spacing w:after="0"/>
              <w:rPr>
                <w:sz w:val="8"/>
                <w:szCs w:val="8"/>
                <w:color w:val="auto"/>
              </w:rPr>
            </w:pPr>
          </w:p>
        </w:tc>
        <w:tc>
          <w:tcPr>
            <w:tcW w:w="100" w:type="dxa"/>
            <w:vAlign w:val="bottom"/>
            <w:tcBorders>
              <w:bottom w:val="single" w:sz="8" w:color="5673B8"/>
            </w:tcBorders>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80" w:type="dxa"/>
            <w:vAlign w:val="bottom"/>
          </w:tcPr>
          <w:p>
            <w:pPr>
              <w:spacing w:after="0"/>
              <w:rPr>
                <w:sz w:val="21"/>
                <w:szCs w:val="21"/>
                <w:color w:val="auto"/>
              </w:rPr>
            </w:pPr>
          </w:p>
        </w:tc>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852166"/>
              </w:rPr>
              <w:t>Bruce C.</w:t>
            </w:r>
          </w:p>
        </w:tc>
        <w:tc>
          <w:tcPr>
            <w:tcW w:w="740" w:type="dxa"/>
            <w:vAlign w:val="bottom"/>
          </w:tcPr>
          <w:p>
            <w:pPr>
              <w:ind w:left="20"/>
              <w:spacing w:after="0"/>
              <w:rPr>
                <w:sz w:val="20"/>
                <w:szCs w:val="20"/>
                <w:color w:val="auto"/>
              </w:rPr>
            </w:pPr>
            <w:r>
              <w:rPr>
                <w:rFonts w:ascii="Arial" w:cs="Arial" w:eastAsia="Arial" w:hAnsi="Arial"/>
                <w:sz w:val="11"/>
                <w:szCs w:val="11"/>
                <w:color w:val="auto"/>
              </w:rPr>
              <w:t>Annual RSU</w:t>
            </w:r>
          </w:p>
        </w:tc>
        <w:tc>
          <w:tcPr>
            <w:tcW w:w="820" w:type="dxa"/>
            <w:vAlign w:val="bottom"/>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(5)</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30,814</w:t>
            </w: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4,414,719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40" w:type="dxa"/>
            <w:vAlign w:val="bottom"/>
            <w:tcBorders>
              <w:bottom w:val="single" w:sz="8" w:color="5673B8"/>
            </w:tcBorders>
          </w:tcPr>
          <w:p>
            <w:pPr>
              <w:spacing w:after="0"/>
              <w:rPr>
                <w:sz w:val="4"/>
                <w:szCs w:val="4"/>
                <w:color w:val="auto"/>
              </w:rPr>
            </w:pPr>
          </w:p>
        </w:tc>
        <w:tc>
          <w:tcPr>
            <w:tcW w:w="820" w:type="dxa"/>
            <w:vAlign w:val="bottom"/>
            <w:tcBorders>
              <w:bottom w:val="single" w:sz="8" w:color="5673B8"/>
            </w:tcBorders>
          </w:tcPr>
          <w:p>
            <w:pPr>
              <w:spacing w:after="0"/>
              <w:rPr>
                <w:sz w:val="4"/>
                <w:szCs w:val="4"/>
                <w:color w:val="auto"/>
              </w:rPr>
            </w:pPr>
          </w:p>
        </w:tc>
        <w:tc>
          <w:tcPr>
            <w:tcW w:w="760" w:type="dxa"/>
            <w:vAlign w:val="bottom"/>
            <w:tcBorders>
              <w:bottom w:val="single" w:sz="8" w:color="5673B8"/>
            </w:tcBorders>
          </w:tcPr>
          <w:p>
            <w:pPr>
              <w:spacing w:after="0"/>
              <w:rPr>
                <w:sz w:val="4"/>
                <w:szCs w:val="4"/>
                <w:color w:val="auto"/>
              </w:rPr>
            </w:pPr>
          </w:p>
        </w:tc>
        <w:tc>
          <w:tcPr>
            <w:tcW w:w="740" w:type="dxa"/>
            <w:vAlign w:val="bottom"/>
            <w:tcBorders>
              <w:bottom w:val="single" w:sz="8" w:color="5673B8"/>
            </w:tcBorders>
          </w:tcPr>
          <w:p>
            <w:pPr>
              <w:spacing w:after="0"/>
              <w:rPr>
                <w:sz w:val="4"/>
                <w:szCs w:val="4"/>
                <w:color w:val="auto"/>
              </w:rPr>
            </w:pPr>
          </w:p>
        </w:tc>
        <w:tc>
          <w:tcPr>
            <w:tcW w:w="780" w:type="dxa"/>
            <w:vAlign w:val="bottom"/>
            <w:tcBorders>
              <w:bottom w:val="single" w:sz="8" w:color="5673B8"/>
            </w:tcBorders>
          </w:tcPr>
          <w:p>
            <w:pPr>
              <w:spacing w:after="0"/>
              <w:rPr>
                <w:sz w:val="4"/>
                <w:szCs w:val="4"/>
                <w:color w:val="auto"/>
              </w:rPr>
            </w:pPr>
          </w:p>
        </w:tc>
        <w:tc>
          <w:tcPr>
            <w:tcW w:w="740" w:type="dxa"/>
            <w:vAlign w:val="bottom"/>
            <w:tcBorders>
              <w:bottom w:val="single" w:sz="8" w:color="5673B8"/>
            </w:tcBorders>
          </w:tcPr>
          <w:p>
            <w:pPr>
              <w:spacing w:after="0"/>
              <w:rPr>
                <w:sz w:val="4"/>
                <w:szCs w:val="4"/>
                <w:color w:val="auto"/>
              </w:rPr>
            </w:pPr>
          </w:p>
        </w:tc>
        <w:tc>
          <w:tcPr>
            <w:tcW w:w="920" w:type="dxa"/>
            <w:vAlign w:val="bottom"/>
            <w:tcBorders>
              <w:bottom w:val="single" w:sz="8" w:color="5673B8"/>
            </w:tcBorders>
          </w:tcPr>
          <w:p>
            <w:pPr>
              <w:spacing w:after="0"/>
              <w:rPr>
                <w:sz w:val="4"/>
                <w:szCs w:val="4"/>
                <w:color w:val="auto"/>
              </w:rPr>
            </w:pPr>
          </w:p>
        </w:tc>
        <w:tc>
          <w:tcPr>
            <w:tcW w:w="640" w:type="dxa"/>
            <w:vAlign w:val="bottom"/>
            <w:tcBorders>
              <w:bottom w:val="single" w:sz="8" w:color="5673B8"/>
            </w:tcBorders>
          </w:tcPr>
          <w:p>
            <w:pPr>
              <w:spacing w:after="0"/>
              <w:rPr>
                <w:sz w:val="4"/>
                <w:szCs w:val="4"/>
                <w:color w:val="auto"/>
              </w:rPr>
            </w:pPr>
          </w:p>
        </w:tc>
        <w:tc>
          <w:tcPr>
            <w:tcW w:w="660" w:type="dxa"/>
            <w:vAlign w:val="bottom"/>
            <w:tcBorders>
              <w:bottom w:val="single" w:sz="8" w:color="5673B8"/>
            </w:tcBorders>
          </w:tcPr>
          <w:p>
            <w:pPr>
              <w:spacing w:after="0"/>
              <w:rPr>
                <w:sz w:val="4"/>
                <w:szCs w:val="4"/>
                <w:color w:val="auto"/>
              </w:rPr>
            </w:pPr>
          </w:p>
        </w:tc>
        <w:tc>
          <w:tcPr>
            <w:tcW w:w="860" w:type="dxa"/>
            <w:vAlign w:val="bottom"/>
            <w:tcBorders>
              <w:bottom w:val="single" w:sz="8" w:color="5673B8"/>
            </w:tcBorders>
          </w:tcPr>
          <w:p>
            <w:pPr>
              <w:spacing w:after="0"/>
              <w:rPr>
                <w:sz w:val="4"/>
                <w:szCs w:val="4"/>
                <w:color w:val="auto"/>
              </w:rPr>
            </w:pPr>
          </w:p>
        </w:tc>
        <w:tc>
          <w:tcPr>
            <w:tcW w:w="880" w:type="dxa"/>
            <w:vAlign w:val="bottom"/>
            <w:tcBorders>
              <w:bottom w:val="single" w:sz="8" w:color="5673B8"/>
            </w:tcBorders>
          </w:tcPr>
          <w:p>
            <w:pPr>
              <w:spacing w:after="0"/>
              <w:rPr>
                <w:sz w:val="4"/>
                <w:szCs w:val="4"/>
                <w:color w:val="auto"/>
              </w:rPr>
            </w:pPr>
          </w:p>
        </w:tc>
        <w:tc>
          <w:tcPr>
            <w:tcW w:w="880" w:type="dxa"/>
            <w:vAlign w:val="bottom"/>
            <w:tcBorders>
              <w:bottom w:val="single" w:sz="8" w:color="5673B8"/>
            </w:tcBorders>
          </w:tcPr>
          <w:p>
            <w:pPr>
              <w:spacing w:after="0"/>
              <w:rPr>
                <w:sz w:val="4"/>
                <w:szCs w:val="4"/>
                <w:color w:val="auto"/>
              </w:rPr>
            </w:pPr>
          </w:p>
        </w:tc>
        <w:tc>
          <w:tcPr>
            <w:tcW w:w="840" w:type="dxa"/>
            <w:vAlign w:val="bottom"/>
            <w:tcBorders>
              <w:bottom w:val="single" w:sz="8" w:color="5673B8"/>
            </w:tcBorders>
          </w:tcPr>
          <w:p>
            <w:pPr>
              <w:spacing w:after="0"/>
              <w:rPr>
                <w:sz w:val="4"/>
                <w:szCs w:val="4"/>
                <w:color w:val="auto"/>
              </w:rPr>
            </w:pPr>
          </w:p>
        </w:tc>
        <w:tc>
          <w:tcPr>
            <w:tcW w:w="100" w:type="dxa"/>
            <w:vAlign w:val="bottom"/>
            <w:tcBorders>
              <w:bottom w:val="single" w:sz="8" w:color="5673B8"/>
            </w:tcBorders>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800" w:type="dxa"/>
            <w:vAlign w:val="bottom"/>
          </w:tcPr>
          <w:p>
            <w:pPr>
              <w:ind w:left="20"/>
              <w:spacing w:after="0" w:line="121" w:lineRule="exact"/>
              <w:rPr>
                <w:sz w:val="20"/>
                <w:szCs w:val="20"/>
                <w:color w:val="auto"/>
              </w:rPr>
            </w:pPr>
            <w:r>
              <w:rPr>
                <w:rFonts w:ascii="Arial" w:cs="Arial" w:eastAsia="Arial" w:hAnsi="Arial"/>
                <w:sz w:val="11"/>
                <w:szCs w:val="11"/>
                <w:b w:val="1"/>
                <w:bCs w:val="1"/>
                <w:color w:val="852166"/>
              </w:rPr>
              <w:t>Cozadd</w:t>
            </w:r>
          </w:p>
        </w:tc>
        <w:tc>
          <w:tcPr>
            <w:tcW w:w="740" w:type="dxa"/>
            <w:vAlign w:val="bottom"/>
            <w:vMerge w:val="restart"/>
          </w:tcPr>
          <w:p>
            <w:pPr>
              <w:ind w:left="20"/>
              <w:spacing w:after="0"/>
              <w:rPr>
                <w:sz w:val="20"/>
                <w:szCs w:val="20"/>
                <w:color w:val="auto"/>
              </w:rPr>
            </w:pPr>
            <w:r>
              <w:rPr>
                <w:rFonts w:ascii="Arial" w:cs="Arial" w:eastAsia="Arial" w:hAnsi="Arial"/>
                <w:sz w:val="11"/>
                <w:szCs w:val="11"/>
                <w:color w:val="auto"/>
              </w:rPr>
              <w:t>Director RSU</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w w:val="93"/>
              </w:rPr>
              <w:t>11/20/2025</w:t>
            </w:r>
            <w:r>
              <w:rPr>
                <w:rFonts w:ascii="Arial" w:cs="Arial" w:eastAsia="Arial" w:hAnsi="Arial"/>
                <w:sz w:val="14"/>
                <w:szCs w:val="14"/>
                <w:color w:val="auto"/>
                <w:w w:val="93"/>
                <w:vertAlign w:val="superscript"/>
              </w:rPr>
              <w:t>(7)</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8"/>
              </w:rPr>
              <w:t>10/22/2025</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2,506</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440,404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820" w:type="dxa"/>
            <w:vAlign w:val="bottom"/>
            <w:tcBorders>
              <w:bottom w:val="single" w:sz="8" w:color="5673B8"/>
            </w:tcBorders>
          </w:tcPr>
          <w:p>
            <w:pPr>
              <w:spacing w:after="0"/>
              <w:rPr>
                <w:sz w:val="5"/>
                <w:szCs w:val="5"/>
                <w:color w:val="auto"/>
              </w:rPr>
            </w:pPr>
          </w:p>
        </w:tc>
        <w:tc>
          <w:tcPr>
            <w:tcW w:w="76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78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920" w:type="dxa"/>
            <w:vAlign w:val="bottom"/>
            <w:tcBorders>
              <w:bottom w:val="single" w:sz="8" w:color="5673B8"/>
            </w:tcBorders>
          </w:tcPr>
          <w:p>
            <w:pPr>
              <w:spacing w:after="0"/>
              <w:rPr>
                <w:sz w:val="5"/>
                <w:szCs w:val="5"/>
                <w:color w:val="auto"/>
              </w:rPr>
            </w:pPr>
          </w:p>
        </w:tc>
        <w:tc>
          <w:tcPr>
            <w:tcW w:w="640" w:type="dxa"/>
            <w:vAlign w:val="bottom"/>
            <w:tcBorders>
              <w:bottom w:val="single" w:sz="8" w:color="5673B8"/>
            </w:tcBorders>
          </w:tcPr>
          <w:p>
            <w:pPr>
              <w:spacing w:after="0"/>
              <w:rPr>
                <w:sz w:val="5"/>
                <w:szCs w:val="5"/>
                <w:color w:val="auto"/>
              </w:rPr>
            </w:pPr>
          </w:p>
        </w:tc>
        <w:tc>
          <w:tcPr>
            <w:tcW w:w="660" w:type="dxa"/>
            <w:vAlign w:val="bottom"/>
            <w:tcBorders>
              <w:bottom w:val="single" w:sz="8" w:color="5673B8"/>
            </w:tcBorders>
          </w:tcPr>
          <w:p>
            <w:pPr>
              <w:spacing w:after="0"/>
              <w:rPr>
                <w:sz w:val="5"/>
                <w:szCs w:val="5"/>
                <w:color w:val="auto"/>
              </w:rPr>
            </w:pPr>
          </w:p>
        </w:tc>
        <w:tc>
          <w:tcPr>
            <w:tcW w:w="8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4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Modified</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ind w:right="107"/>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14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511,500</w:t>
            </w:r>
          </w:p>
        </w:tc>
        <w:tc>
          <w:tcPr>
            <w:tcW w:w="880" w:type="dxa"/>
            <w:vAlign w:val="bottom"/>
          </w:tcPr>
          <w:p>
            <w:pPr>
              <w:jc w:val="right"/>
              <w:ind w:right="10"/>
              <w:spacing w:after="0"/>
              <w:rPr>
                <w:sz w:val="20"/>
                <w:szCs w:val="20"/>
                <w:color w:val="auto"/>
              </w:rPr>
            </w:pPr>
            <w:r>
              <w:rPr>
                <w:rFonts w:ascii="Arial" w:cs="Arial" w:eastAsia="Arial" w:hAnsi="Arial"/>
                <w:sz w:val="7"/>
                <w:szCs w:val="7"/>
                <w:color w:val="auto"/>
              </w:rPr>
              <w:t>(8)</w:t>
            </w: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12,041,389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5673B8"/>
            </w:tcBorders>
          </w:tcPr>
          <w:p>
            <w:pPr>
              <w:spacing w:after="0"/>
              <w:rPr>
                <w:sz w:val="15"/>
                <w:szCs w:val="15"/>
                <w:color w:val="auto"/>
              </w:rPr>
            </w:pPr>
          </w:p>
        </w:tc>
        <w:tc>
          <w:tcPr>
            <w:tcW w:w="800" w:type="dxa"/>
            <w:vAlign w:val="bottom"/>
            <w:tcBorders>
              <w:bottom w:val="single" w:sz="8" w:color="5673B8"/>
            </w:tcBorders>
          </w:tcPr>
          <w:p>
            <w:pPr>
              <w:spacing w:after="0"/>
              <w:rPr>
                <w:sz w:val="15"/>
                <w:szCs w:val="15"/>
                <w:color w:val="auto"/>
              </w:rPr>
            </w:pPr>
          </w:p>
        </w:tc>
        <w:tc>
          <w:tcPr>
            <w:tcW w:w="740" w:type="dxa"/>
            <w:vAlign w:val="bottom"/>
            <w:tcBorders>
              <w:bottom w:val="single" w:sz="8" w:color="5673B8"/>
            </w:tcBorders>
          </w:tcPr>
          <w:p>
            <w:pPr>
              <w:ind w:left="20"/>
              <w:spacing w:after="0"/>
              <w:rPr>
                <w:sz w:val="20"/>
                <w:szCs w:val="20"/>
                <w:color w:val="auto"/>
              </w:rPr>
            </w:pPr>
            <w:r>
              <w:rPr>
                <w:rFonts w:ascii="Arial" w:cs="Arial" w:eastAsia="Arial" w:hAnsi="Arial"/>
                <w:sz w:val="11"/>
                <w:szCs w:val="11"/>
                <w:color w:val="auto"/>
              </w:rPr>
              <w:t>Options</w:t>
            </w:r>
            <w:r>
              <w:rPr>
                <w:rFonts w:ascii="Arial" w:cs="Arial" w:eastAsia="Arial" w:hAnsi="Arial"/>
                <w:sz w:val="14"/>
                <w:szCs w:val="14"/>
                <w:color w:val="auto"/>
                <w:vertAlign w:val="superscript"/>
              </w:rPr>
              <w:t>(8)</w:t>
            </w:r>
          </w:p>
        </w:tc>
        <w:tc>
          <w:tcPr>
            <w:tcW w:w="820" w:type="dxa"/>
            <w:vAlign w:val="bottom"/>
            <w:tcBorders>
              <w:bottom w:val="single" w:sz="8" w:color="5673B8"/>
            </w:tcBorders>
            <w:vMerge w:val="continue"/>
          </w:tcPr>
          <w:p>
            <w:pPr>
              <w:spacing w:after="0"/>
              <w:rPr>
                <w:sz w:val="15"/>
                <w:szCs w:val="15"/>
                <w:color w:val="auto"/>
              </w:rPr>
            </w:pPr>
          </w:p>
        </w:tc>
        <w:tc>
          <w:tcPr>
            <w:tcW w:w="760" w:type="dxa"/>
            <w:vAlign w:val="bottom"/>
            <w:tcBorders>
              <w:bottom w:val="single" w:sz="8" w:color="5673B8"/>
            </w:tcBorders>
            <w:vMerge w:val="continue"/>
          </w:tcPr>
          <w:p>
            <w:pPr>
              <w:spacing w:after="0"/>
              <w:rPr>
                <w:sz w:val="15"/>
                <w:szCs w:val="15"/>
                <w:color w:val="auto"/>
              </w:rPr>
            </w:pPr>
          </w:p>
        </w:tc>
        <w:tc>
          <w:tcPr>
            <w:tcW w:w="740" w:type="dxa"/>
            <w:vAlign w:val="bottom"/>
            <w:tcBorders>
              <w:bottom w:val="single" w:sz="8" w:color="5673B8"/>
            </w:tcBorders>
            <w:vMerge w:val="continue"/>
          </w:tcPr>
          <w:p>
            <w:pPr>
              <w:spacing w:after="0"/>
              <w:rPr>
                <w:sz w:val="15"/>
                <w:szCs w:val="15"/>
                <w:color w:val="auto"/>
              </w:rPr>
            </w:pPr>
          </w:p>
        </w:tc>
        <w:tc>
          <w:tcPr>
            <w:tcW w:w="780" w:type="dxa"/>
            <w:vAlign w:val="bottom"/>
            <w:tcBorders>
              <w:bottom w:val="single" w:sz="8" w:color="5673B8"/>
            </w:tcBorders>
            <w:vMerge w:val="continue"/>
          </w:tcPr>
          <w:p>
            <w:pPr>
              <w:spacing w:after="0"/>
              <w:rPr>
                <w:sz w:val="15"/>
                <w:szCs w:val="15"/>
                <w:color w:val="auto"/>
              </w:rPr>
            </w:pPr>
          </w:p>
        </w:tc>
        <w:tc>
          <w:tcPr>
            <w:tcW w:w="740" w:type="dxa"/>
            <w:vAlign w:val="bottom"/>
            <w:tcBorders>
              <w:bottom w:val="single" w:sz="8" w:color="5673B8"/>
            </w:tcBorders>
            <w:vMerge w:val="continue"/>
          </w:tcPr>
          <w:p>
            <w:pPr>
              <w:spacing w:after="0"/>
              <w:rPr>
                <w:sz w:val="15"/>
                <w:szCs w:val="15"/>
                <w:color w:val="auto"/>
              </w:rPr>
            </w:pPr>
          </w:p>
        </w:tc>
        <w:tc>
          <w:tcPr>
            <w:tcW w:w="920" w:type="dxa"/>
            <w:vAlign w:val="bottom"/>
            <w:tcBorders>
              <w:bottom w:val="single" w:sz="8" w:color="5673B8"/>
            </w:tcBorders>
            <w:vMerge w:val="continue"/>
          </w:tcPr>
          <w:p>
            <w:pPr>
              <w:spacing w:after="0"/>
              <w:rPr>
                <w:sz w:val="15"/>
                <w:szCs w:val="15"/>
                <w:color w:val="auto"/>
              </w:rPr>
            </w:pPr>
          </w:p>
        </w:tc>
        <w:tc>
          <w:tcPr>
            <w:tcW w:w="640" w:type="dxa"/>
            <w:vAlign w:val="bottom"/>
            <w:tcBorders>
              <w:bottom w:val="single" w:sz="8" w:color="5673B8"/>
            </w:tcBorders>
            <w:vMerge w:val="continue"/>
          </w:tcPr>
          <w:p>
            <w:pPr>
              <w:spacing w:after="0"/>
              <w:rPr>
                <w:sz w:val="15"/>
                <w:szCs w:val="15"/>
                <w:color w:val="auto"/>
              </w:rPr>
            </w:pPr>
          </w:p>
        </w:tc>
        <w:tc>
          <w:tcPr>
            <w:tcW w:w="660" w:type="dxa"/>
            <w:vAlign w:val="bottom"/>
            <w:tcBorders>
              <w:bottom w:val="single" w:sz="8" w:color="5673B8"/>
            </w:tcBorders>
            <w:vMerge w:val="continue"/>
          </w:tcPr>
          <w:p>
            <w:pPr>
              <w:spacing w:after="0"/>
              <w:rPr>
                <w:sz w:val="15"/>
                <w:szCs w:val="15"/>
                <w:color w:val="auto"/>
              </w:rPr>
            </w:pPr>
          </w:p>
        </w:tc>
        <w:tc>
          <w:tcPr>
            <w:tcW w:w="860" w:type="dxa"/>
            <w:vAlign w:val="bottom"/>
            <w:tcBorders>
              <w:bottom w:val="single" w:sz="8" w:color="5673B8"/>
            </w:tcBorders>
            <w:vMerge w:val="continue"/>
          </w:tcPr>
          <w:p>
            <w:pPr>
              <w:spacing w:after="0"/>
              <w:rPr>
                <w:sz w:val="15"/>
                <w:szCs w:val="15"/>
                <w:color w:val="auto"/>
              </w:rPr>
            </w:pPr>
          </w:p>
        </w:tc>
        <w:tc>
          <w:tcPr>
            <w:tcW w:w="880" w:type="dxa"/>
            <w:vAlign w:val="bottom"/>
            <w:tcBorders>
              <w:bottom w:val="single" w:sz="8" w:color="5673B8"/>
            </w:tcBorders>
            <w:vMerge w:val="continue"/>
          </w:tcPr>
          <w:p>
            <w:pPr>
              <w:spacing w:after="0"/>
              <w:rPr>
                <w:sz w:val="15"/>
                <w:szCs w:val="15"/>
                <w:color w:val="auto"/>
              </w:rPr>
            </w:pPr>
          </w:p>
        </w:tc>
        <w:tc>
          <w:tcPr>
            <w:tcW w:w="880" w:type="dxa"/>
            <w:vAlign w:val="bottom"/>
            <w:tcBorders>
              <w:bottom w:val="single" w:sz="8" w:color="5673B8"/>
            </w:tcBorders>
          </w:tcPr>
          <w:p>
            <w:pPr>
              <w:spacing w:after="0"/>
              <w:rPr>
                <w:sz w:val="15"/>
                <w:szCs w:val="15"/>
                <w:color w:val="auto"/>
              </w:rPr>
            </w:pPr>
          </w:p>
        </w:tc>
        <w:tc>
          <w:tcPr>
            <w:tcW w:w="840" w:type="dxa"/>
            <w:vAlign w:val="bottom"/>
            <w:tcBorders>
              <w:bottom w:val="single" w:sz="8" w:color="5673B8"/>
            </w:tcBorders>
            <w:vMerge w:val="continue"/>
          </w:tcPr>
          <w:p>
            <w:pPr>
              <w:spacing w:after="0"/>
              <w:rPr>
                <w:sz w:val="15"/>
                <w:szCs w:val="15"/>
                <w:color w:val="auto"/>
              </w:rPr>
            </w:pPr>
          </w:p>
        </w:tc>
        <w:tc>
          <w:tcPr>
            <w:tcW w:w="100" w:type="dxa"/>
            <w:vAlign w:val="bottom"/>
            <w:tcBorders>
              <w:bottom w:val="single" w:sz="8" w:color="5673B8"/>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Annual Cash</w:t>
            </w: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520,000</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1,560,000</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820" w:type="dxa"/>
            <w:vAlign w:val="bottom"/>
            <w:tcBorders>
              <w:bottom w:val="single" w:sz="8" w:color="5673B8"/>
            </w:tcBorders>
          </w:tcPr>
          <w:p>
            <w:pPr>
              <w:spacing w:after="0"/>
              <w:rPr>
                <w:sz w:val="8"/>
                <w:szCs w:val="8"/>
                <w:color w:val="auto"/>
              </w:rPr>
            </w:pPr>
          </w:p>
        </w:tc>
        <w:tc>
          <w:tcPr>
            <w:tcW w:w="76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78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920" w:type="dxa"/>
            <w:vAlign w:val="bottom"/>
            <w:tcBorders>
              <w:bottom w:val="single" w:sz="8" w:color="5673B8"/>
            </w:tcBorders>
          </w:tcPr>
          <w:p>
            <w:pPr>
              <w:spacing w:after="0"/>
              <w:rPr>
                <w:sz w:val="8"/>
                <w:szCs w:val="8"/>
                <w:color w:val="auto"/>
              </w:rPr>
            </w:pPr>
          </w:p>
        </w:tc>
        <w:tc>
          <w:tcPr>
            <w:tcW w:w="640" w:type="dxa"/>
            <w:vAlign w:val="bottom"/>
            <w:tcBorders>
              <w:bottom w:val="single" w:sz="8" w:color="5673B8"/>
            </w:tcBorders>
          </w:tcPr>
          <w:p>
            <w:pPr>
              <w:spacing w:after="0"/>
              <w:rPr>
                <w:sz w:val="8"/>
                <w:szCs w:val="8"/>
                <w:color w:val="auto"/>
              </w:rPr>
            </w:pPr>
          </w:p>
        </w:tc>
        <w:tc>
          <w:tcPr>
            <w:tcW w:w="660" w:type="dxa"/>
            <w:vAlign w:val="bottom"/>
            <w:tcBorders>
              <w:bottom w:val="single" w:sz="8" w:color="5673B8"/>
            </w:tcBorders>
          </w:tcPr>
          <w:p>
            <w:pPr>
              <w:spacing w:after="0"/>
              <w:rPr>
                <w:sz w:val="8"/>
                <w:szCs w:val="8"/>
                <w:color w:val="auto"/>
              </w:rPr>
            </w:pPr>
          </w:p>
        </w:tc>
        <w:tc>
          <w:tcPr>
            <w:tcW w:w="86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40" w:type="dxa"/>
            <w:vAlign w:val="bottom"/>
            <w:tcBorders>
              <w:bottom w:val="single" w:sz="8" w:color="5673B8"/>
            </w:tcBorders>
          </w:tcPr>
          <w:p>
            <w:pPr>
              <w:spacing w:after="0"/>
              <w:rPr>
                <w:sz w:val="8"/>
                <w:szCs w:val="8"/>
                <w:color w:val="auto"/>
              </w:rPr>
            </w:pPr>
          </w:p>
        </w:tc>
        <w:tc>
          <w:tcPr>
            <w:tcW w:w="100" w:type="dxa"/>
            <w:vAlign w:val="bottom"/>
            <w:tcBorders>
              <w:bottom w:val="single" w:sz="8" w:color="5673B8"/>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1"/>
                <w:szCs w:val="11"/>
                <w:b w:val="1"/>
                <w:bCs w:val="1"/>
                <w:color w:val="852166"/>
              </w:rPr>
              <w:t>Robert</w:t>
            </w:r>
          </w:p>
        </w:tc>
        <w:tc>
          <w:tcPr>
            <w:tcW w:w="740" w:type="dxa"/>
            <w:vAlign w:val="bottom"/>
          </w:tcPr>
          <w:p>
            <w:pPr>
              <w:ind w:left="20"/>
              <w:spacing w:after="0"/>
              <w:rPr>
                <w:sz w:val="20"/>
                <w:szCs w:val="20"/>
                <w:color w:val="auto"/>
              </w:rPr>
            </w:pPr>
            <w:r>
              <w:rPr>
                <w:rFonts w:ascii="Arial" w:cs="Arial" w:eastAsia="Arial" w:hAnsi="Arial"/>
                <w:sz w:val="11"/>
                <w:szCs w:val="11"/>
                <w:color w:val="auto"/>
              </w:rPr>
              <w:t>Annual PSU</w:t>
            </w:r>
          </w:p>
        </w:tc>
        <w:tc>
          <w:tcPr>
            <w:tcW w:w="820" w:type="dxa"/>
            <w:vAlign w:val="bottom"/>
          </w:tcPr>
          <w:p>
            <w:pPr>
              <w:jc w:val="center"/>
              <w:spacing w:after="0"/>
              <w:rPr>
                <w:sz w:val="20"/>
                <w:szCs w:val="20"/>
                <w:color w:val="auto"/>
              </w:rPr>
            </w:pPr>
            <w:r>
              <w:rPr>
                <w:rFonts w:ascii="Arial" w:cs="Arial" w:eastAsia="Arial" w:hAnsi="Arial"/>
                <w:sz w:val="11"/>
                <w:szCs w:val="11"/>
                <w:color w:val="auto"/>
                <w:w w:val="97"/>
              </w:rPr>
              <w:t>2/27/2025</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jc w:val="right"/>
              <w:ind w:right="107"/>
              <w:spacing w:after="0"/>
              <w:rPr>
                <w:sz w:val="20"/>
                <w:szCs w:val="20"/>
                <w:color w:val="auto"/>
              </w:rPr>
            </w:pPr>
            <w:r>
              <w:rPr>
                <w:rFonts w:ascii="Arial" w:cs="Arial" w:eastAsia="Arial" w:hAnsi="Arial"/>
                <w:sz w:val="11"/>
                <w:szCs w:val="11"/>
                <w:color w:val="auto"/>
              </w:rPr>
              <w:t>2,923</w:t>
            </w:r>
          </w:p>
        </w:tc>
        <w:tc>
          <w:tcPr>
            <w:tcW w:w="640" w:type="dxa"/>
            <w:vAlign w:val="bottom"/>
          </w:tcPr>
          <w:p>
            <w:pPr>
              <w:jc w:val="right"/>
              <w:ind w:right="146"/>
              <w:spacing w:after="0"/>
              <w:rPr>
                <w:sz w:val="20"/>
                <w:szCs w:val="20"/>
                <w:color w:val="auto"/>
              </w:rPr>
            </w:pPr>
            <w:r>
              <w:rPr>
                <w:rFonts w:ascii="Arial" w:cs="Arial" w:eastAsia="Arial" w:hAnsi="Arial"/>
                <w:sz w:val="11"/>
                <w:szCs w:val="11"/>
                <w:color w:val="auto"/>
              </w:rPr>
              <w:t>17,718</w:t>
            </w:r>
          </w:p>
        </w:tc>
        <w:tc>
          <w:tcPr>
            <w:tcW w:w="660" w:type="dxa"/>
            <w:vAlign w:val="bottom"/>
          </w:tcPr>
          <w:p>
            <w:pPr>
              <w:jc w:val="right"/>
              <w:spacing w:after="0"/>
              <w:rPr>
                <w:sz w:val="20"/>
                <w:szCs w:val="20"/>
                <w:color w:val="auto"/>
              </w:rPr>
            </w:pPr>
            <w:r>
              <w:rPr>
                <w:rFonts w:ascii="Arial" w:cs="Arial" w:eastAsia="Arial" w:hAnsi="Arial"/>
                <w:sz w:val="11"/>
                <w:szCs w:val="11"/>
                <w:color w:val="auto"/>
              </w:rPr>
              <w:t>35,436</w:t>
            </w: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3,146,195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852166"/>
              </w:rPr>
              <w:t>Iannone, M.D.,</w:t>
            </w:r>
          </w:p>
        </w:tc>
        <w:tc>
          <w:tcPr>
            <w:tcW w:w="740" w:type="dxa"/>
            <w:vAlign w:val="bottom"/>
            <w:tcBorders>
              <w:bottom w:val="single" w:sz="8" w:color="5673B8"/>
            </w:tcBorders>
          </w:tcPr>
          <w:p>
            <w:pPr>
              <w:spacing w:after="0"/>
              <w:rPr>
                <w:sz w:val="7"/>
                <w:szCs w:val="7"/>
                <w:color w:val="auto"/>
              </w:rPr>
            </w:pPr>
          </w:p>
        </w:tc>
        <w:tc>
          <w:tcPr>
            <w:tcW w:w="820" w:type="dxa"/>
            <w:vAlign w:val="bottom"/>
            <w:tcBorders>
              <w:bottom w:val="single" w:sz="8" w:color="5673B8"/>
            </w:tcBorders>
          </w:tcPr>
          <w:p>
            <w:pPr>
              <w:spacing w:after="0"/>
              <w:rPr>
                <w:sz w:val="7"/>
                <w:szCs w:val="7"/>
                <w:color w:val="auto"/>
              </w:rPr>
            </w:pPr>
          </w:p>
        </w:tc>
        <w:tc>
          <w:tcPr>
            <w:tcW w:w="760" w:type="dxa"/>
            <w:vAlign w:val="bottom"/>
            <w:tcBorders>
              <w:bottom w:val="single" w:sz="8" w:color="5673B8"/>
            </w:tcBorders>
          </w:tcPr>
          <w:p>
            <w:pPr>
              <w:spacing w:after="0"/>
              <w:rPr>
                <w:sz w:val="7"/>
                <w:szCs w:val="7"/>
                <w:color w:val="auto"/>
              </w:rPr>
            </w:pPr>
          </w:p>
        </w:tc>
        <w:tc>
          <w:tcPr>
            <w:tcW w:w="740" w:type="dxa"/>
            <w:vAlign w:val="bottom"/>
            <w:tcBorders>
              <w:bottom w:val="single" w:sz="8" w:color="5673B8"/>
            </w:tcBorders>
          </w:tcPr>
          <w:p>
            <w:pPr>
              <w:spacing w:after="0"/>
              <w:rPr>
                <w:sz w:val="7"/>
                <w:szCs w:val="7"/>
                <w:color w:val="auto"/>
              </w:rPr>
            </w:pPr>
          </w:p>
        </w:tc>
        <w:tc>
          <w:tcPr>
            <w:tcW w:w="780" w:type="dxa"/>
            <w:vAlign w:val="bottom"/>
            <w:tcBorders>
              <w:bottom w:val="single" w:sz="8" w:color="5673B8"/>
            </w:tcBorders>
          </w:tcPr>
          <w:p>
            <w:pPr>
              <w:spacing w:after="0"/>
              <w:rPr>
                <w:sz w:val="7"/>
                <w:szCs w:val="7"/>
                <w:color w:val="auto"/>
              </w:rPr>
            </w:pPr>
          </w:p>
        </w:tc>
        <w:tc>
          <w:tcPr>
            <w:tcW w:w="740" w:type="dxa"/>
            <w:vAlign w:val="bottom"/>
            <w:tcBorders>
              <w:bottom w:val="single" w:sz="8" w:color="5673B8"/>
            </w:tcBorders>
          </w:tcPr>
          <w:p>
            <w:pPr>
              <w:spacing w:after="0"/>
              <w:rPr>
                <w:sz w:val="7"/>
                <w:szCs w:val="7"/>
                <w:color w:val="auto"/>
              </w:rPr>
            </w:pPr>
          </w:p>
        </w:tc>
        <w:tc>
          <w:tcPr>
            <w:tcW w:w="920" w:type="dxa"/>
            <w:vAlign w:val="bottom"/>
            <w:tcBorders>
              <w:bottom w:val="single" w:sz="8" w:color="5673B8"/>
            </w:tcBorders>
          </w:tcPr>
          <w:p>
            <w:pPr>
              <w:spacing w:after="0"/>
              <w:rPr>
                <w:sz w:val="7"/>
                <w:szCs w:val="7"/>
                <w:color w:val="auto"/>
              </w:rPr>
            </w:pPr>
          </w:p>
        </w:tc>
        <w:tc>
          <w:tcPr>
            <w:tcW w:w="640" w:type="dxa"/>
            <w:vAlign w:val="bottom"/>
            <w:tcBorders>
              <w:bottom w:val="single" w:sz="8" w:color="5673B8"/>
            </w:tcBorders>
          </w:tcPr>
          <w:p>
            <w:pPr>
              <w:spacing w:after="0"/>
              <w:rPr>
                <w:sz w:val="7"/>
                <w:szCs w:val="7"/>
                <w:color w:val="auto"/>
              </w:rPr>
            </w:pPr>
          </w:p>
        </w:tc>
        <w:tc>
          <w:tcPr>
            <w:tcW w:w="660" w:type="dxa"/>
            <w:vAlign w:val="bottom"/>
            <w:tcBorders>
              <w:bottom w:val="single" w:sz="8" w:color="5673B8"/>
            </w:tcBorders>
          </w:tcPr>
          <w:p>
            <w:pPr>
              <w:spacing w:after="0"/>
              <w:rPr>
                <w:sz w:val="7"/>
                <w:szCs w:val="7"/>
                <w:color w:val="auto"/>
              </w:rPr>
            </w:pPr>
          </w:p>
        </w:tc>
        <w:tc>
          <w:tcPr>
            <w:tcW w:w="860" w:type="dxa"/>
            <w:vAlign w:val="bottom"/>
            <w:tcBorders>
              <w:bottom w:val="single" w:sz="8" w:color="5673B8"/>
            </w:tcBorders>
          </w:tcPr>
          <w:p>
            <w:pPr>
              <w:spacing w:after="0"/>
              <w:rPr>
                <w:sz w:val="7"/>
                <w:szCs w:val="7"/>
                <w:color w:val="auto"/>
              </w:rPr>
            </w:pPr>
          </w:p>
        </w:tc>
        <w:tc>
          <w:tcPr>
            <w:tcW w:w="880" w:type="dxa"/>
            <w:vAlign w:val="bottom"/>
            <w:tcBorders>
              <w:bottom w:val="single" w:sz="8" w:color="5673B8"/>
            </w:tcBorders>
          </w:tcPr>
          <w:p>
            <w:pPr>
              <w:spacing w:after="0"/>
              <w:rPr>
                <w:sz w:val="7"/>
                <w:szCs w:val="7"/>
                <w:color w:val="auto"/>
              </w:rPr>
            </w:pPr>
          </w:p>
        </w:tc>
        <w:tc>
          <w:tcPr>
            <w:tcW w:w="880" w:type="dxa"/>
            <w:vAlign w:val="bottom"/>
            <w:tcBorders>
              <w:bottom w:val="single" w:sz="8" w:color="5673B8"/>
            </w:tcBorders>
          </w:tcPr>
          <w:p>
            <w:pPr>
              <w:spacing w:after="0"/>
              <w:rPr>
                <w:sz w:val="7"/>
                <w:szCs w:val="7"/>
                <w:color w:val="auto"/>
              </w:rPr>
            </w:pPr>
          </w:p>
        </w:tc>
        <w:tc>
          <w:tcPr>
            <w:tcW w:w="840" w:type="dxa"/>
            <w:vAlign w:val="bottom"/>
            <w:tcBorders>
              <w:bottom w:val="single" w:sz="8" w:color="5673B8"/>
            </w:tcBorders>
          </w:tcPr>
          <w:p>
            <w:pPr>
              <w:spacing w:after="0"/>
              <w:rPr>
                <w:sz w:val="7"/>
                <w:szCs w:val="7"/>
                <w:color w:val="auto"/>
              </w:rPr>
            </w:pPr>
          </w:p>
        </w:tc>
        <w:tc>
          <w:tcPr>
            <w:tcW w:w="100" w:type="dxa"/>
            <w:vAlign w:val="bottom"/>
            <w:tcBorders>
              <w:bottom w:val="single" w:sz="8" w:color="5673B8"/>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1"/>
                <w:szCs w:val="11"/>
                <w:b w:val="1"/>
                <w:bCs w:val="1"/>
                <w:color w:val="852166"/>
              </w:rPr>
              <w:t>M.S.C.E</w:t>
            </w:r>
          </w:p>
        </w:tc>
        <w:tc>
          <w:tcPr>
            <w:tcW w:w="740" w:type="dxa"/>
            <w:vAlign w:val="bottom"/>
          </w:tcPr>
          <w:p>
            <w:pPr>
              <w:ind w:left="20"/>
              <w:spacing w:after="0"/>
              <w:rPr>
                <w:sz w:val="20"/>
                <w:szCs w:val="20"/>
                <w:color w:val="auto"/>
              </w:rPr>
            </w:pPr>
            <w:r>
              <w:rPr>
                <w:rFonts w:ascii="Arial" w:cs="Arial" w:eastAsia="Arial" w:hAnsi="Arial"/>
                <w:sz w:val="11"/>
                <w:szCs w:val="11"/>
                <w:color w:val="auto"/>
              </w:rPr>
              <w:t>Annual RSU</w:t>
            </w:r>
          </w:p>
        </w:tc>
        <w:tc>
          <w:tcPr>
            <w:tcW w:w="820" w:type="dxa"/>
            <w:vAlign w:val="bottom"/>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(5)</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17,718</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2,538,456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820" w:type="dxa"/>
            <w:vAlign w:val="bottom"/>
            <w:tcBorders>
              <w:bottom w:val="single" w:sz="8" w:color="5673B8"/>
            </w:tcBorders>
          </w:tcPr>
          <w:p>
            <w:pPr>
              <w:spacing w:after="0"/>
              <w:rPr>
                <w:sz w:val="5"/>
                <w:szCs w:val="5"/>
                <w:color w:val="auto"/>
              </w:rPr>
            </w:pPr>
          </w:p>
        </w:tc>
        <w:tc>
          <w:tcPr>
            <w:tcW w:w="76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78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920" w:type="dxa"/>
            <w:vAlign w:val="bottom"/>
            <w:tcBorders>
              <w:bottom w:val="single" w:sz="8" w:color="5673B8"/>
            </w:tcBorders>
          </w:tcPr>
          <w:p>
            <w:pPr>
              <w:spacing w:after="0"/>
              <w:rPr>
                <w:sz w:val="5"/>
                <w:szCs w:val="5"/>
                <w:color w:val="auto"/>
              </w:rPr>
            </w:pPr>
          </w:p>
        </w:tc>
        <w:tc>
          <w:tcPr>
            <w:tcW w:w="640" w:type="dxa"/>
            <w:vAlign w:val="bottom"/>
            <w:tcBorders>
              <w:bottom w:val="single" w:sz="8" w:color="5673B8"/>
            </w:tcBorders>
          </w:tcPr>
          <w:p>
            <w:pPr>
              <w:spacing w:after="0"/>
              <w:rPr>
                <w:sz w:val="5"/>
                <w:szCs w:val="5"/>
                <w:color w:val="auto"/>
              </w:rPr>
            </w:pPr>
          </w:p>
        </w:tc>
        <w:tc>
          <w:tcPr>
            <w:tcW w:w="660" w:type="dxa"/>
            <w:vAlign w:val="bottom"/>
            <w:tcBorders>
              <w:bottom w:val="single" w:sz="8" w:color="5673B8"/>
            </w:tcBorders>
          </w:tcPr>
          <w:p>
            <w:pPr>
              <w:spacing w:after="0"/>
              <w:rPr>
                <w:sz w:val="5"/>
                <w:szCs w:val="5"/>
                <w:color w:val="auto"/>
              </w:rPr>
            </w:pPr>
          </w:p>
        </w:tc>
        <w:tc>
          <w:tcPr>
            <w:tcW w:w="8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4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Retention</w:t>
            </w:r>
          </w:p>
        </w:tc>
        <w:tc>
          <w:tcPr>
            <w:tcW w:w="820" w:type="dxa"/>
            <w:vAlign w:val="bottom"/>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(6)</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8,859</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1,269,228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 w:type="dxa"/>
            <w:vAlign w:val="bottom"/>
            <w:tcBorders>
              <w:bottom w:val="single" w:sz="8" w:color="5673B8"/>
            </w:tcBorders>
          </w:tcPr>
          <w:p>
            <w:pPr>
              <w:spacing w:after="0"/>
              <w:rPr>
                <w:sz w:val="11"/>
                <w:szCs w:val="11"/>
                <w:color w:val="auto"/>
              </w:rPr>
            </w:pPr>
          </w:p>
        </w:tc>
        <w:tc>
          <w:tcPr>
            <w:tcW w:w="80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ind w:left="20"/>
              <w:spacing w:after="0"/>
              <w:rPr>
                <w:sz w:val="20"/>
                <w:szCs w:val="20"/>
                <w:color w:val="auto"/>
              </w:rPr>
            </w:pPr>
            <w:r>
              <w:rPr>
                <w:rFonts w:ascii="Arial" w:cs="Arial" w:eastAsia="Arial" w:hAnsi="Arial"/>
                <w:sz w:val="11"/>
                <w:szCs w:val="11"/>
                <w:color w:val="auto"/>
              </w:rPr>
              <w:t>RSU</w:t>
            </w:r>
          </w:p>
        </w:tc>
        <w:tc>
          <w:tcPr>
            <w:tcW w:w="820" w:type="dxa"/>
            <w:vAlign w:val="bottom"/>
            <w:tcBorders>
              <w:bottom w:val="single" w:sz="8" w:color="5673B8"/>
            </w:tcBorders>
          </w:tcPr>
          <w:p>
            <w:pPr>
              <w:spacing w:after="0"/>
              <w:rPr>
                <w:sz w:val="11"/>
                <w:szCs w:val="11"/>
                <w:color w:val="auto"/>
              </w:rPr>
            </w:pPr>
          </w:p>
        </w:tc>
        <w:tc>
          <w:tcPr>
            <w:tcW w:w="76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78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920" w:type="dxa"/>
            <w:vAlign w:val="bottom"/>
            <w:tcBorders>
              <w:bottom w:val="single" w:sz="8" w:color="5673B8"/>
            </w:tcBorders>
          </w:tcPr>
          <w:p>
            <w:pPr>
              <w:spacing w:after="0"/>
              <w:rPr>
                <w:sz w:val="11"/>
                <w:szCs w:val="11"/>
                <w:color w:val="auto"/>
              </w:rPr>
            </w:pPr>
          </w:p>
        </w:tc>
        <w:tc>
          <w:tcPr>
            <w:tcW w:w="640" w:type="dxa"/>
            <w:vAlign w:val="bottom"/>
            <w:tcBorders>
              <w:bottom w:val="single" w:sz="8" w:color="5673B8"/>
            </w:tcBorders>
          </w:tcPr>
          <w:p>
            <w:pPr>
              <w:spacing w:after="0"/>
              <w:rPr>
                <w:sz w:val="11"/>
                <w:szCs w:val="11"/>
                <w:color w:val="auto"/>
              </w:rPr>
            </w:pPr>
          </w:p>
        </w:tc>
        <w:tc>
          <w:tcPr>
            <w:tcW w:w="660" w:type="dxa"/>
            <w:vAlign w:val="bottom"/>
            <w:tcBorders>
              <w:bottom w:val="single" w:sz="8" w:color="5673B8"/>
            </w:tcBorders>
          </w:tcPr>
          <w:p>
            <w:pPr>
              <w:spacing w:after="0"/>
              <w:rPr>
                <w:sz w:val="11"/>
                <w:szCs w:val="11"/>
                <w:color w:val="auto"/>
              </w:rPr>
            </w:pPr>
          </w:p>
        </w:tc>
        <w:tc>
          <w:tcPr>
            <w:tcW w:w="86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40" w:type="dxa"/>
            <w:vAlign w:val="bottom"/>
            <w:tcBorders>
              <w:bottom w:val="single" w:sz="8" w:color="5673B8"/>
            </w:tcBorders>
          </w:tcPr>
          <w:p>
            <w:pPr>
              <w:spacing w:after="0"/>
              <w:rPr>
                <w:sz w:val="11"/>
                <w:szCs w:val="11"/>
                <w:color w:val="auto"/>
              </w:rPr>
            </w:pPr>
          </w:p>
        </w:tc>
        <w:tc>
          <w:tcPr>
            <w:tcW w:w="100" w:type="dxa"/>
            <w:vAlign w:val="bottom"/>
            <w:tcBorders>
              <w:bottom w:val="single" w:sz="8" w:color="5673B8"/>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Annual Cash</w:t>
            </w: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471,250</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1,413,750</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820" w:type="dxa"/>
            <w:vAlign w:val="bottom"/>
            <w:tcBorders>
              <w:bottom w:val="single" w:sz="8" w:color="5673B8"/>
            </w:tcBorders>
          </w:tcPr>
          <w:p>
            <w:pPr>
              <w:spacing w:after="0"/>
              <w:rPr>
                <w:sz w:val="8"/>
                <w:szCs w:val="8"/>
                <w:color w:val="auto"/>
              </w:rPr>
            </w:pPr>
          </w:p>
        </w:tc>
        <w:tc>
          <w:tcPr>
            <w:tcW w:w="76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78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920" w:type="dxa"/>
            <w:vAlign w:val="bottom"/>
            <w:tcBorders>
              <w:bottom w:val="single" w:sz="8" w:color="5673B8"/>
            </w:tcBorders>
          </w:tcPr>
          <w:p>
            <w:pPr>
              <w:spacing w:after="0"/>
              <w:rPr>
                <w:sz w:val="8"/>
                <w:szCs w:val="8"/>
                <w:color w:val="auto"/>
              </w:rPr>
            </w:pPr>
          </w:p>
        </w:tc>
        <w:tc>
          <w:tcPr>
            <w:tcW w:w="640" w:type="dxa"/>
            <w:vAlign w:val="bottom"/>
            <w:tcBorders>
              <w:bottom w:val="single" w:sz="8" w:color="5673B8"/>
            </w:tcBorders>
          </w:tcPr>
          <w:p>
            <w:pPr>
              <w:spacing w:after="0"/>
              <w:rPr>
                <w:sz w:val="8"/>
                <w:szCs w:val="8"/>
                <w:color w:val="auto"/>
              </w:rPr>
            </w:pPr>
          </w:p>
        </w:tc>
        <w:tc>
          <w:tcPr>
            <w:tcW w:w="660" w:type="dxa"/>
            <w:vAlign w:val="bottom"/>
            <w:tcBorders>
              <w:bottom w:val="single" w:sz="8" w:color="5673B8"/>
            </w:tcBorders>
          </w:tcPr>
          <w:p>
            <w:pPr>
              <w:spacing w:after="0"/>
              <w:rPr>
                <w:sz w:val="8"/>
                <w:szCs w:val="8"/>
                <w:color w:val="auto"/>
              </w:rPr>
            </w:pPr>
          </w:p>
        </w:tc>
        <w:tc>
          <w:tcPr>
            <w:tcW w:w="86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40" w:type="dxa"/>
            <w:vAlign w:val="bottom"/>
            <w:tcBorders>
              <w:bottom w:val="single" w:sz="8" w:color="5673B8"/>
            </w:tcBorders>
          </w:tcPr>
          <w:p>
            <w:pPr>
              <w:spacing w:after="0"/>
              <w:rPr>
                <w:sz w:val="8"/>
                <w:szCs w:val="8"/>
                <w:color w:val="auto"/>
              </w:rPr>
            </w:pPr>
          </w:p>
        </w:tc>
        <w:tc>
          <w:tcPr>
            <w:tcW w:w="100" w:type="dxa"/>
            <w:vAlign w:val="bottom"/>
            <w:tcBorders>
              <w:bottom w:val="single" w:sz="8" w:color="5673B8"/>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Annual PSU</w:t>
            </w:r>
          </w:p>
        </w:tc>
        <w:tc>
          <w:tcPr>
            <w:tcW w:w="820" w:type="dxa"/>
            <w:vAlign w:val="bottom"/>
          </w:tcPr>
          <w:p>
            <w:pPr>
              <w:jc w:val="center"/>
              <w:spacing w:after="0"/>
              <w:rPr>
                <w:sz w:val="20"/>
                <w:szCs w:val="20"/>
                <w:color w:val="auto"/>
              </w:rPr>
            </w:pPr>
            <w:r>
              <w:rPr>
                <w:rFonts w:ascii="Arial" w:cs="Arial" w:eastAsia="Arial" w:hAnsi="Arial"/>
                <w:sz w:val="11"/>
                <w:szCs w:val="11"/>
                <w:color w:val="auto"/>
                <w:w w:val="97"/>
              </w:rPr>
              <w:t>2/27/2025</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jc w:val="right"/>
              <w:ind w:right="107"/>
              <w:spacing w:after="0"/>
              <w:rPr>
                <w:sz w:val="20"/>
                <w:szCs w:val="20"/>
                <w:color w:val="auto"/>
              </w:rPr>
            </w:pPr>
            <w:r>
              <w:rPr>
                <w:rFonts w:ascii="Arial" w:cs="Arial" w:eastAsia="Arial" w:hAnsi="Arial"/>
                <w:sz w:val="11"/>
                <w:szCs w:val="11"/>
                <w:color w:val="auto"/>
              </w:rPr>
              <w:t>2,065</w:t>
            </w:r>
          </w:p>
        </w:tc>
        <w:tc>
          <w:tcPr>
            <w:tcW w:w="640" w:type="dxa"/>
            <w:vAlign w:val="bottom"/>
          </w:tcPr>
          <w:p>
            <w:pPr>
              <w:jc w:val="right"/>
              <w:ind w:right="146"/>
              <w:spacing w:after="0"/>
              <w:rPr>
                <w:sz w:val="20"/>
                <w:szCs w:val="20"/>
                <w:color w:val="auto"/>
              </w:rPr>
            </w:pPr>
            <w:r>
              <w:rPr>
                <w:rFonts w:ascii="Arial" w:cs="Arial" w:eastAsia="Arial" w:hAnsi="Arial"/>
                <w:sz w:val="11"/>
                <w:szCs w:val="11"/>
                <w:color w:val="auto"/>
              </w:rPr>
              <w:t>12,518</w:t>
            </w:r>
          </w:p>
        </w:tc>
        <w:tc>
          <w:tcPr>
            <w:tcW w:w="660" w:type="dxa"/>
            <w:vAlign w:val="bottom"/>
          </w:tcPr>
          <w:p>
            <w:pPr>
              <w:jc w:val="right"/>
              <w:spacing w:after="0"/>
              <w:rPr>
                <w:sz w:val="20"/>
                <w:szCs w:val="20"/>
                <w:color w:val="auto"/>
              </w:rPr>
            </w:pPr>
            <w:r>
              <w:rPr>
                <w:rFonts w:ascii="Arial" w:cs="Arial" w:eastAsia="Arial" w:hAnsi="Arial"/>
                <w:sz w:val="11"/>
                <w:szCs w:val="11"/>
                <w:color w:val="auto"/>
              </w:rPr>
              <w:t>25,036</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2,222,830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852166"/>
              </w:rPr>
              <w:t>Neena M. Patil</w:t>
            </w:r>
          </w:p>
        </w:tc>
        <w:tc>
          <w:tcPr>
            <w:tcW w:w="740" w:type="dxa"/>
            <w:vAlign w:val="bottom"/>
            <w:tcBorders>
              <w:bottom w:val="single" w:sz="8" w:color="5673B8"/>
            </w:tcBorders>
          </w:tcPr>
          <w:p>
            <w:pPr>
              <w:spacing w:after="0"/>
              <w:rPr>
                <w:sz w:val="8"/>
                <w:szCs w:val="8"/>
                <w:color w:val="auto"/>
              </w:rPr>
            </w:pPr>
          </w:p>
        </w:tc>
        <w:tc>
          <w:tcPr>
            <w:tcW w:w="820" w:type="dxa"/>
            <w:vAlign w:val="bottom"/>
            <w:tcBorders>
              <w:bottom w:val="single" w:sz="8" w:color="5673B8"/>
            </w:tcBorders>
          </w:tcPr>
          <w:p>
            <w:pPr>
              <w:spacing w:after="0"/>
              <w:rPr>
                <w:sz w:val="8"/>
                <w:szCs w:val="8"/>
                <w:color w:val="auto"/>
              </w:rPr>
            </w:pPr>
          </w:p>
        </w:tc>
        <w:tc>
          <w:tcPr>
            <w:tcW w:w="76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78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920" w:type="dxa"/>
            <w:vAlign w:val="bottom"/>
            <w:tcBorders>
              <w:bottom w:val="single" w:sz="8" w:color="5673B8"/>
            </w:tcBorders>
          </w:tcPr>
          <w:p>
            <w:pPr>
              <w:spacing w:after="0"/>
              <w:rPr>
                <w:sz w:val="8"/>
                <w:szCs w:val="8"/>
                <w:color w:val="auto"/>
              </w:rPr>
            </w:pPr>
          </w:p>
        </w:tc>
        <w:tc>
          <w:tcPr>
            <w:tcW w:w="640" w:type="dxa"/>
            <w:vAlign w:val="bottom"/>
            <w:tcBorders>
              <w:bottom w:val="single" w:sz="8" w:color="5673B8"/>
            </w:tcBorders>
          </w:tcPr>
          <w:p>
            <w:pPr>
              <w:spacing w:after="0"/>
              <w:rPr>
                <w:sz w:val="8"/>
                <w:szCs w:val="8"/>
                <w:color w:val="auto"/>
              </w:rPr>
            </w:pPr>
          </w:p>
        </w:tc>
        <w:tc>
          <w:tcPr>
            <w:tcW w:w="660" w:type="dxa"/>
            <w:vAlign w:val="bottom"/>
            <w:tcBorders>
              <w:bottom w:val="single" w:sz="8" w:color="5673B8"/>
            </w:tcBorders>
          </w:tcPr>
          <w:p>
            <w:pPr>
              <w:spacing w:after="0"/>
              <w:rPr>
                <w:sz w:val="8"/>
                <w:szCs w:val="8"/>
                <w:color w:val="auto"/>
              </w:rPr>
            </w:pPr>
          </w:p>
        </w:tc>
        <w:tc>
          <w:tcPr>
            <w:tcW w:w="86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40" w:type="dxa"/>
            <w:vAlign w:val="bottom"/>
            <w:tcBorders>
              <w:bottom w:val="single" w:sz="8" w:color="5673B8"/>
            </w:tcBorders>
          </w:tcPr>
          <w:p>
            <w:pPr>
              <w:spacing w:after="0"/>
              <w:rPr>
                <w:sz w:val="8"/>
                <w:szCs w:val="8"/>
                <w:color w:val="auto"/>
              </w:rPr>
            </w:pPr>
          </w:p>
        </w:tc>
        <w:tc>
          <w:tcPr>
            <w:tcW w:w="100" w:type="dxa"/>
            <w:vAlign w:val="bottom"/>
            <w:tcBorders>
              <w:bottom w:val="single" w:sz="8" w:color="5673B8"/>
            </w:tcBorders>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color w:val="auto"/>
              </w:rPr>
              <w:t>Annual RSU</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(5)</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12,518</w:t>
            </w: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1,793,453</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820" w:type="dxa"/>
            <w:vAlign w:val="bottom"/>
            <w:tcBorders>
              <w:bottom w:val="single" w:sz="8" w:color="5673B8"/>
            </w:tcBorders>
          </w:tcPr>
          <w:p>
            <w:pPr>
              <w:spacing w:after="0"/>
              <w:rPr>
                <w:sz w:val="5"/>
                <w:szCs w:val="5"/>
                <w:color w:val="auto"/>
              </w:rPr>
            </w:pPr>
          </w:p>
        </w:tc>
        <w:tc>
          <w:tcPr>
            <w:tcW w:w="76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78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920" w:type="dxa"/>
            <w:vAlign w:val="bottom"/>
            <w:tcBorders>
              <w:bottom w:val="single" w:sz="8" w:color="5673B8"/>
            </w:tcBorders>
          </w:tcPr>
          <w:p>
            <w:pPr>
              <w:spacing w:after="0"/>
              <w:rPr>
                <w:sz w:val="5"/>
                <w:szCs w:val="5"/>
                <w:color w:val="auto"/>
              </w:rPr>
            </w:pPr>
          </w:p>
        </w:tc>
        <w:tc>
          <w:tcPr>
            <w:tcW w:w="640" w:type="dxa"/>
            <w:vAlign w:val="bottom"/>
            <w:tcBorders>
              <w:bottom w:val="single" w:sz="8" w:color="5673B8"/>
            </w:tcBorders>
          </w:tcPr>
          <w:p>
            <w:pPr>
              <w:spacing w:after="0"/>
              <w:rPr>
                <w:sz w:val="5"/>
                <w:szCs w:val="5"/>
                <w:color w:val="auto"/>
              </w:rPr>
            </w:pPr>
          </w:p>
        </w:tc>
        <w:tc>
          <w:tcPr>
            <w:tcW w:w="660" w:type="dxa"/>
            <w:vAlign w:val="bottom"/>
            <w:tcBorders>
              <w:bottom w:val="single" w:sz="8" w:color="5673B8"/>
            </w:tcBorders>
          </w:tcPr>
          <w:p>
            <w:pPr>
              <w:spacing w:after="0"/>
              <w:rPr>
                <w:sz w:val="5"/>
                <w:szCs w:val="5"/>
                <w:color w:val="auto"/>
              </w:rPr>
            </w:pPr>
          </w:p>
        </w:tc>
        <w:tc>
          <w:tcPr>
            <w:tcW w:w="8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4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Retention</w:t>
            </w:r>
          </w:p>
        </w:tc>
        <w:tc>
          <w:tcPr>
            <w:tcW w:w="820" w:type="dxa"/>
            <w:vAlign w:val="bottom"/>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(6)</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5,778</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827,813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 w:type="dxa"/>
            <w:vAlign w:val="bottom"/>
            <w:tcBorders>
              <w:bottom w:val="single" w:sz="8" w:color="5673B8"/>
            </w:tcBorders>
          </w:tcPr>
          <w:p>
            <w:pPr>
              <w:spacing w:after="0"/>
              <w:rPr>
                <w:sz w:val="11"/>
                <w:szCs w:val="11"/>
                <w:color w:val="auto"/>
              </w:rPr>
            </w:pPr>
          </w:p>
        </w:tc>
        <w:tc>
          <w:tcPr>
            <w:tcW w:w="80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ind w:left="20"/>
              <w:spacing w:after="0"/>
              <w:rPr>
                <w:sz w:val="20"/>
                <w:szCs w:val="20"/>
                <w:color w:val="auto"/>
              </w:rPr>
            </w:pPr>
            <w:r>
              <w:rPr>
                <w:rFonts w:ascii="Arial" w:cs="Arial" w:eastAsia="Arial" w:hAnsi="Arial"/>
                <w:sz w:val="11"/>
                <w:szCs w:val="11"/>
                <w:color w:val="auto"/>
              </w:rPr>
              <w:t>RSU</w:t>
            </w:r>
          </w:p>
        </w:tc>
        <w:tc>
          <w:tcPr>
            <w:tcW w:w="820" w:type="dxa"/>
            <w:vAlign w:val="bottom"/>
            <w:tcBorders>
              <w:bottom w:val="single" w:sz="8" w:color="5673B8"/>
            </w:tcBorders>
          </w:tcPr>
          <w:p>
            <w:pPr>
              <w:spacing w:after="0"/>
              <w:rPr>
                <w:sz w:val="11"/>
                <w:szCs w:val="11"/>
                <w:color w:val="auto"/>
              </w:rPr>
            </w:pPr>
          </w:p>
        </w:tc>
        <w:tc>
          <w:tcPr>
            <w:tcW w:w="76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780" w:type="dxa"/>
            <w:vAlign w:val="bottom"/>
            <w:tcBorders>
              <w:bottom w:val="single" w:sz="8" w:color="5673B8"/>
            </w:tcBorders>
          </w:tcPr>
          <w:p>
            <w:pPr>
              <w:spacing w:after="0"/>
              <w:rPr>
                <w:sz w:val="11"/>
                <w:szCs w:val="11"/>
                <w:color w:val="auto"/>
              </w:rPr>
            </w:pPr>
          </w:p>
        </w:tc>
        <w:tc>
          <w:tcPr>
            <w:tcW w:w="740" w:type="dxa"/>
            <w:vAlign w:val="bottom"/>
            <w:tcBorders>
              <w:bottom w:val="single" w:sz="8" w:color="5673B8"/>
            </w:tcBorders>
          </w:tcPr>
          <w:p>
            <w:pPr>
              <w:spacing w:after="0"/>
              <w:rPr>
                <w:sz w:val="11"/>
                <w:szCs w:val="11"/>
                <w:color w:val="auto"/>
              </w:rPr>
            </w:pPr>
          </w:p>
        </w:tc>
        <w:tc>
          <w:tcPr>
            <w:tcW w:w="920" w:type="dxa"/>
            <w:vAlign w:val="bottom"/>
            <w:tcBorders>
              <w:bottom w:val="single" w:sz="8" w:color="5673B8"/>
            </w:tcBorders>
          </w:tcPr>
          <w:p>
            <w:pPr>
              <w:spacing w:after="0"/>
              <w:rPr>
                <w:sz w:val="11"/>
                <w:szCs w:val="11"/>
                <w:color w:val="auto"/>
              </w:rPr>
            </w:pPr>
          </w:p>
        </w:tc>
        <w:tc>
          <w:tcPr>
            <w:tcW w:w="640" w:type="dxa"/>
            <w:vAlign w:val="bottom"/>
            <w:tcBorders>
              <w:bottom w:val="single" w:sz="8" w:color="5673B8"/>
            </w:tcBorders>
          </w:tcPr>
          <w:p>
            <w:pPr>
              <w:spacing w:after="0"/>
              <w:rPr>
                <w:sz w:val="11"/>
                <w:szCs w:val="11"/>
                <w:color w:val="auto"/>
              </w:rPr>
            </w:pPr>
          </w:p>
        </w:tc>
        <w:tc>
          <w:tcPr>
            <w:tcW w:w="660" w:type="dxa"/>
            <w:vAlign w:val="bottom"/>
            <w:tcBorders>
              <w:bottom w:val="single" w:sz="8" w:color="5673B8"/>
            </w:tcBorders>
          </w:tcPr>
          <w:p>
            <w:pPr>
              <w:spacing w:after="0"/>
              <w:rPr>
                <w:sz w:val="11"/>
                <w:szCs w:val="11"/>
                <w:color w:val="auto"/>
              </w:rPr>
            </w:pPr>
          </w:p>
        </w:tc>
        <w:tc>
          <w:tcPr>
            <w:tcW w:w="86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80" w:type="dxa"/>
            <w:vAlign w:val="bottom"/>
            <w:tcBorders>
              <w:bottom w:val="single" w:sz="8" w:color="5673B8"/>
            </w:tcBorders>
          </w:tcPr>
          <w:p>
            <w:pPr>
              <w:spacing w:after="0"/>
              <w:rPr>
                <w:sz w:val="11"/>
                <w:szCs w:val="11"/>
                <w:color w:val="auto"/>
              </w:rPr>
            </w:pPr>
          </w:p>
        </w:tc>
        <w:tc>
          <w:tcPr>
            <w:tcW w:w="840" w:type="dxa"/>
            <w:vAlign w:val="bottom"/>
            <w:tcBorders>
              <w:bottom w:val="single" w:sz="8" w:color="5673B8"/>
            </w:tcBorders>
          </w:tcPr>
          <w:p>
            <w:pPr>
              <w:spacing w:after="0"/>
              <w:rPr>
                <w:sz w:val="11"/>
                <w:szCs w:val="11"/>
                <w:color w:val="auto"/>
              </w:rPr>
            </w:pPr>
          </w:p>
        </w:tc>
        <w:tc>
          <w:tcPr>
            <w:tcW w:w="100" w:type="dxa"/>
            <w:vAlign w:val="bottom"/>
            <w:tcBorders>
              <w:bottom w:val="single" w:sz="8" w:color="5673B8"/>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Annual Cash</w:t>
            </w: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455,000</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1,365,000</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820" w:type="dxa"/>
            <w:vAlign w:val="bottom"/>
            <w:tcBorders>
              <w:bottom w:val="single" w:sz="8" w:color="5673B8"/>
            </w:tcBorders>
          </w:tcPr>
          <w:p>
            <w:pPr>
              <w:spacing w:after="0"/>
              <w:rPr>
                <w:sz w:val="8"/>
                <w:szCs w:val="8"/>
                <w:color w:val="auto"/>
              </w:rPr>
            </w:pPr>
          </w:p>
        </w:tc>
        <w:tc>
          <w:tcPr>
            <w:tcW w:w="76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78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920" w:type="dxa"/>
            <w:vAlign w:val="bottom"/>
            <w:tcBorders>
              <w:bottom w:val="single" w:sz="8" w:color="5673B8"/>
            </w:tcBorders>
          </w:tcPr>
          <w:p>
            <w:pPr>
              <w:spacing w:after="0"/>
              <w:rPr>
                <w:sz w:val="8"/>
                <w:szCs w:val="8"/>
                <w:color w:val="auto"/>
              </w:rPr>
            </w:pPr>
          </w:p>
        </w:tc>
        <w:tc>
          <w:tcPr>
            <w:tcW w:w="640" w:type="dxa"/>
            <w:vAlign w:val="bottom"/>
            <w:tcBorders>
              <w:bottom w:val="single" w:sz="8" w:color="5673B8"/>
            </w:tcBorders>
          </w:tcPr>
          <w:p>
            <w:pPr>
              <w:spacing w:after="0"/>
              <w:rPr>
                <w:sz w:val="8"/>
                <w:szCs w:val="8"/>
                <w:color w:val="auto"/>
              </w:rPr>
            </w:pPr>
          </w:p>
        </w:tc>
        <w:tc>
          <w:tcPr>
            <w:tcW w:w="660" w:type="dxa"/>
            <w:vAlign w:val="bottom"/>
            <w:tcBorders>
              <w:bottom w:val="single" w:sz="8" w:color="5673B8"/>
            </w:tcBorders>
          </w:tcPr>
          <w:p>
            <w:pPr>
              <w:spacing w:after="0"/>
              <w:rPr>
                <w:sz w:val="8"/>
                <w:szCs w:val="8"/>
                <w:color w:val="auto"/>
              </w:rPr>
            </w:pPr>
          </w:p>
        </w:tc>
        <w:tc>
          <w:tcPr>
            <w:tcW w:w="86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40" w:type="dxa"/>
            <w:vAlign w:val="bottom"/>
            <w:tcBorders>
              <w:bottom w:val="single" w:sz="8" w:color="5673B8"/>
            </w:tcBorders>
          </w:tcPr>
          <w:p>
            <w:pPr>
              <w:spacing w:after="0"/>
              <w:rPr>
                <w:sz w:val="8"/>
                <w:szCs w:val="8"/>
                <w:color w:val="auto"/>
              </w:rPr>
            </w:pPr>
          </w:p>
        </w:tc>
        <w:tc>
          <w:tcPr>
            <w:tcW w:w="100" w:type="dxa"/>
            <w:vAlign w:val="bottom"/>
            <w:tcBorders>
              <w:bottom w:val="single" w:sz="8" w:color="5673B8"/>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852166"/>
              </w:rPr>
              <w:t>Samantha</w:t>
            </w:r>
          </w:p>
        </w:tc>
        <w:tc>
          <w:tcPr>
            <w:tcW w:w="740" w:type="dxa"/>
            <w:vAlign w:val="bottom"/>
          </w:tcPr>
          <w:p>
            <w:pPr>
              <w:ind w:left="20"/>
              <w:spacing w:after="0"/>
              <w:rPr>
                <w:sz w:val="20"/>
                <w:szCs w:val="20"/>
                <w:color w:val="auto"/>
              </w:rPr>
            </w:pPr>
            <w:r>
              <w:rPr>
                <w:rFonts w:ascii="Arial" w:cs="Arial" w:eastAsia="Arial" w:hAnsi="Arial"/>
                <w:sz w:val="11"/>
                <w:szCs w:val="11"/>
                <w:color w:val="auto"/>
              </w:rPr>
              <w:t>Annual PSU</w:t>
            </w:r>
          </w:p>
        </w:tc>
        <w:tc>
          <w:tcPr>
            <w:tcW w:w="820" w:type="dxa"/>
            <w:vAlign w:val="bottom"/>
          </w:tcPr>
          <w:p>
            <w:pPr>
              <w:jc w:val="center"/>
              <w:spacing w:after="0"/>
              <w:rPr>
                <w:sz w:val="20"/>
                <w:szCs w:val="20"/>
                <w:color w:val="auto"/>
              </w:rPr>
            </w:pPr>
            <w:r>
              <w:rPr>
                <w:rFonts w:ascii="Arial" w:cs="Arial" w:eastAsia="Arial" w:hAnsi="Arial"/>
                <w:sz w:val="11"/>
                <w:szCs w:val="11"/>
                <w:color w:val="auto"/>
                <w:w w:val="97"/>
              </w:rPr>
              <w:t>2/27/2025</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jc w:val="right"/>
              <w:ind w:right="107"/>
              <w:spacing w:after="0"/>
              <w:rPr>
                <w:sz w:val="20"/>
                <w:szCs w:val="20"/>
                <w:color w:val="auto"/>
              </w:rPr>
            </w:pPr>
            <w:r>
              <w:rPr>
                <w:rFonts w:ascii="Arial" w:cs="Arial" w:eastAsia="Arial" w:hAnsi="Arial"/>
                <w:sz w:val="11"/>
                <w:szCs w:val="11"/>
                <w:color w:val="auto"/>
              </w:rPr>
              <w:t>1,970</w:t>
            </w:r>
          </w:p>
        </w:tc>
        <w:tc>
          <w:tcPr>
            <w:tcW w:w="640" w:type="dxa"/>
            <w:vAlign w:val="bottom"/>
          </w:tcPr>
          <w:p>
            <w:pPr>
              <w:jc w:val="right"/>
              <w:ind w:right="146"/>
              <w:spacing w:after="0"/>
              <w:rPr>
                <w:sz w:val="20"/>
                <w:szCs w:val="20"/>
                <w:color w:val="auto"/>
              </w:rPr>
            </w:pPr>
            <w:r>
              <w:rPr>
                <w:rFonts w:ascii="Arial" w:cs="Arial" w:eastAsia="Arial" w:hAnsi="Arial"/>
                <w:sz w:val="11"/>
                <w:szCs w:val="11"/>
                <w:color w:val="auto"/>
              </w:rPr>
              <w:t>11,941</w:t>
            </w:r>
          </w:p>
        </w:tc>
        <w:tc>
          <w:tcPr>
            <w:tcW w:w="660" w:type="dxa"/>
            <w:vAlign w:val="bottom"/>
          </w:tcPr>
          <w:p>
            <w:pPr>
              <w:jc w:val="right"/>
              <w:spacing w:after="0"/>
              <w:rPr>
                <w:sz w:val="20"/>
                <w:szCs w:val="20"/>
                <w:color w:val="auto"/>
              </w:rPr>
            </w:pPr>
            <w:r>
              <w:rPr>
                <w:rFonts w:ascii="Arial" w:cs="Arial" w:eastAsia="Arial" w:hAnsi="Arial"/>
                <w:sz w:val="11"/>
                <w:szCs w:val="11"/>
                <w:color w:val="auto"/>
              </w:rPr>
              <w:t>23,882</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2,120,415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820" w:type="dxa"/>
            <w:vAlign w:val="bottom"/>
            <w:tcBorders>
              <w:bottom w:val="single" w:sz="8" w:color="5673B8"/>
            </w:tcBorders>
          </w:tcPr>
          <w:p>
            <w:pPr>
              <w:spacing w:after="0"/>
              <w:rPr>
                <w:sz w:val="8"/>
                <w:szCs w:val="8"/>
                <w:color w:val="auto"/>
              </w:rPr>
            </w:pPr>
          </w:p>
        </w:tc>
        <w:tc>
          <w:tcPr>
            <w:tcW w:w="76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780" w:type="dxa"/>
            <w:vAlign w:val="bottom"/>
            <w:tcBorders>
              <w:bottom w:val="single" w:sz="8" w:color="5673B8"/>
            </w:tcBorders>
          </w:tcPr>
          <w:p>
            <w:pPr>
              <w:spacing w:after="0"/>
              <w:rPr>
                <w:sz w:val="8"/>
                <w:szCs w:val="8"/>
                <w:color w:val="auto"/>
              </w:rPr>
            </w:pPr>
          </w:p>
        </w:tc>
        <w:tc>
          <w:tcPr>
            <w:tcW w:w="740" w:type="dxa"/>
            <w:vAlign w:val="bottom"/>
            <w:tcBorders>
              <w:bottom w:val="single" w:sz="8" w:color="5673B8"/>
            </w:tcBorders>
          </w:tcPr>
          <w:p>
            <w:pPr>
              <w:spacing w:after="0"/>
              <w:rPr>
                <w:sz w:val="8"/>
                <w:szCs w:val="8"/>
                <w:color w:val="auto"/>
              </w:rPr>
            </w:pPr>
          </w:p>
        </w:tc>
        <w:tc>
          <w:tcPr>
            <w:tcW w:w="920" w:type="dxa"/>
            <w:vAlign w:val="bottom"/>
            <w:tcBorders>
              <w:bottom w:val="single" w:sz="8" w:color="5673B8"/>
            </w:tcBorders>
          </w:tcPr>
          <w:p>
            <w:pPr>
              <w:spacing w:after="0"/>
              <w:rPr>
                <w:sz w:val="8"/>
                <w:szCs w:val="8"/>
                <w:color w:val="auto"/>
              </w:rPr>
            </w:pPr>
          </w:p>
        </w:tc>
        <w:tc>
          <w:tcPr>
            <w:tcW w:w="640" w:type="dxa"/>
            <w:vAlign w:val="bottom"/>
            <w:tcBorders>
              <w:bottom w:val="single" w:sz="8" w:color="5673B8"/>
            </w:tcBorders>
          </w:tcPr>
          <w:p>
            <w:pPr>
              <w:spacing w:after="0"/>
              <w:rPr>
                <w:sz w:val="8"/>
                <w:szCs w:val="8"/>
                <w:color w:val="auto"/>
              </w:rPr>
            </w:pPr>
          </w:p>
        </w:tc>
        <w:tc>
          <w:tcPr>
            <w:tcW w:w="660" w:type="dxa"/>
            <w:vAlign w:val="bottom"/>
            <w:tcBorders>
              <w:bottom w:val="single" w:sz="8" w:color="5673B8"/>
            </w:tcBorders>
          </w:tcPr>
          <w:p>
            <w:pPr>
              <w:spacing w:after="0"/>
              <w:rPr>
                <w:sz w:val="8"/>
                <w:szCs w:val="8"/>
                <w:color w:val="auto"/>
              </w:rPr>
            </w:pPr>
          </w:p>
        </w:tc>
        <w:tc>
          <w:tcPr>
            <w:tcW w:w="86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80" w:type="dxa"/>
            <w:vAlign w:val="bottom"/>
            <w:tcBorders>
              <w:bottom w:val="single" w:sz="8" w:color="5673B8"/>
            </w:tcBorders>
          </w:tcPr>
          <w:p>
            <w:pPr>
              <w:spacing w:after="0"/>
              <w:rPr>
                <w:sz w:val="8"/>
                <w:szCs w:val="8"/>
                <w:color w:val="auto"/>
              </w:rPr>
            </w:pPr>
          </w:p>
        </w:tc>
        <w:tc>
          <w:tcPr>
            <w:tcW w:w="840" w:type="dxa"/>
            <w:vAlign w:val="bottom"/>
            <w:tcBorders>
              <w:bottom w:val="single" w:sz="8" w:color="5673B8"/>
            </w:tcBorders>
          </w:tcPr>
          <w:p>
            <w:pPr>
              <w:spacing w:after="0"/>
              <w:rPr>
                <w:sz w:val="8"/>
                <w:szCs w:val="8"/>
                <w:color w:val="auto"/>
              </w:rPr>
            </w:pPr>
          </w:p>
        </w:tc>
        <w:tc>
          <w:tcPr>
            <w:tcW w:w="100" w:type="dxa"/>
            <w:vAlign w:val="bottom"/>
            <w:tcBorders>
              <w:bottom w:val="single" w:sz="8" w:color="5673B8"/>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800" w:type="dxa"/>
            <w:vAlign w:val="bottom"/>
          </w:tcPr>
          <w:p>
            <w:pPr>
              <w:ind w:left="20"/>
              <w:spacing w:after="0" w:line="121" w:lineRule="exact"/>
              <w:rPr>
                <w:sz w:val="20"/>
                <w:szCs w:val="20"/>
                <w:color w:val="auto"/>
              </w:rPr>
            </w:pPr>
            <w:r>
              <w:rPr>
                <w:rFonts w:ascii="Arial" w:cs="Arial" w:eastAsia="Arial" w:hAnsi="Arial"/>
                <w:sz w:val="11"/>
                <w:szCs w:val="11"/>
                <w:b w:val="1"/>
                <w:bCs w:val="1"/>
                <w:color w:val="852166"/>
              </w:rPr>
              <w:t>Pearce</w:t>
            </w:r>
          </w:p>
        </w:tc>
        <w:tc>
          <w:tcPr>
            <w:tcW w:w="740" w:type="dxa"/>
            <w:vAlign w:val="bottom"/>
            <w:vMerge w:val="restart"/>
          </w:tcPr>
          <w:p>
            <w:pPr>
              <w:ind w:left="20"/>
              <w:spacing w:after="0"/>
              <w:rPr>
                <w:sz w:val="20"/>
                <w:szCs w:val="20"/>
                <w:color w:val="auto"/>
              </w:rPr>
            </w:pPr>
            <w:r>
              <w:rPr>
                <w:rFonts w:ascii="Arial" w:cs="Arial" w:eastAsia="Arial" w:hAnsi="Arial"/>
                <w:sz w:val="11"/>
                <w:szCs w:val="11"/>
                <w:color w:val="auto"/>
              </w:rPr>
              <w:t>Annual RSU</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(5)</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11,941</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1,710,786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820" w:type="dxa"/>
            <w:vAlign w:val="bottom"/>
            <w:tcBorders>
              <w:bottom w:val="single" w:sz="8" w:color="5673B8"/>
            </w:tcBorders>
          </w:tcPr>
          <w:p>
            <w:pPr>
              <w:spacing w:after="0"/>
              <w:rPr>
                <w:sz w:val="5"/>
                <w:szCs w:val="5"/>
                <w:color w:val="auto"/>
              </w:rPr>
            </w:pPr>
          </w:p>
        </w:tc>
        <w:tc>
          <w:tcPr>
            <w:tcW w:w="76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78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920" w:type="dxa"/>
            <w:vAlign w:val="bottom"/>
            <w:tcBorders>
              <w:bottom w:val="single" w:sz="8" w:color="5673B8"/>
            </w:tcBorders>
          </w:tcPr>
          <w:p>
            <w:pPr>
              <w:spacing w:after="0"/>
              <w:rPr>
                <w:sz w:val="5"/>
                <w:szCs w:val="5"/>
                <w:color w:val="auto"/>
              </w:rPr>
            </w:pPr>
          </w:p>
        </w:tc>
        <w:tc>
          <w:tcPr>
            <w:tcW w:w="640" w:type="dxa"/>
            <w:vAlign w:val="bottom"/>
            <w:tcBorders>
              <w:bottom w:val="single" w:sz="8" w:color="5673B8"/>
            </w:tcBorders>
          </w:tcPr>
          <w:p>
            <w:pPr>
              <w:spacing w:after="0"/>
              <w:rPr>
                <w:sz w:val="5"/>
                <w:szCs w:val="5"/>
                <w:color w:val="auto"/>
              </w:rPr>
            </w:pPr>
          </w:p>
        </w:tc>
        <w:tc>
          <w:tcPr>
            <w:tcW w:w="660" w:type="dxa"/>
            <w:vAlign w:val="bottom"/>
            <w:tcBorders>
              <w:bottom w:val="single" w:sz="8" w:color="5673B8"/>
            </w:tcBorders>
          </w:tcPr>
          <w:p>
            <w:pPr>
              <w:spacing w:after="0"/>
              <w:rPr>
                <w:sz w:val="5"/>
                <w:szCs w:val="5"/>
                <w:color w:val="auto"/>
              </w:rPr>
            </w:pPr>
          </w:p>
        </w:tc>
        <w:tc>
          <w:tcPr>
            <w:tcW w:w="86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84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auto"/>
              </w:rPr>
              <w:t>Retention</w:t>
            </w:r>
          </w:p>
        </w:tc>
        <w:tc>
          <w:tcPr>
            <w:tcW w:w="820" w:type="dxa"/>
            <w:vAlign w:val="bottom"/>
          </w:tcPr>
          <w:p>
            <w:pPr>
              <w:jc w:val="center"/>
              <w:spacing w:after="0"/>
              <w:rPr>
                <w:sz w:val="20"/>
                <w:szCs w:val="20"/>
                <w:color w:val="auto"/>
              </w:rPr>
            </w:pPr>
            <w:r>
              <w:rPr>
                <w:rFonts w:ascii="Arial" w:cs="Arial" w:eastAsia="Arial" w:hAnsi="Arial"/>
                <w:sz w:val="11"/>
                <w:szCs w:val="11"/>
                <w:color w:val="auto"/>
                <w:w w:val="92"/>
              </w:rPr>
              <w:t>2/27/2025</w:t>
            </w:r>
            <w:r>
              <w:rPr>
                <w:rFonts w:ascii="Arial" w:cs="Arial" w:eastAsia="Arial" w:hAnsi="Arial"/>
                <w:sz w:val="14"/>
                <w:szCs w:val="14"/>
                <w:color w:val="auto"/>
                <w:w w:val="92"/>
                <w:vertAlign w:val="superscript"/>
              </w:rPr>
              <w:t>(6)</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2/5/2025</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5,778</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827,813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 w:type="dxa"/>
            <w:vAlign w:val="bottom"/>
            <w:tcBorders>
              <w:bottom w:val="single" w:sz="8" w:color="852166"/>
            </w:tcBorders>
          </w:tcPr>
          <w:p>
            <w:pPr>
              <w:spacing w:after="0"/>
              <w:rPr>
                <w:sz w:val="11"/>
                <w:szCs w:val="11"/>
                <w:color w:val="auto"/>
              </w:rPr>
            </w:pPr>
          </w:p>
        </w:tc>
        <w:tc>
          <w:tcPr>
            <w:tcW w:w="800" w:type="dxa"/>
            <w:vAlign w:val="bottom"/>
            <w:tcBorders>
              <w:bottom w:val="single" w:sz="8" w:color="852166"/>
            </w:tcBorders>
          </w:tcPr>
          <w:p>
            <w:pPr>
              <w:spacing w:after="0"/>
              <w:rPr>
                <w:sz w:val="11"/>
                <w:szCs w:val="11"/>
                <w:color w:val="auto"/>
              </w:rPr>
            </w:pPr>
          </w:p>
        </w:tc>
        <w:tc>
          <w:tcPr>
            <w:tcW w:w="740" w:type="dxa"/>
            <w:vAlign w:val="bottom"/>
            <w:tcBorders>
              <w:bottom w:val="single" w:sz="8" w:color="852166"/>
            </w:tcBorders>
          </w:tcPr>
          <w:p>
            <w:pPr>
              <w:ind w:left="20"/>
              <w:spacing w:after="0"/>
              <w:rPr>
                <w:sz w:val="20"/>
                <w:szCs w:val="20"/>
                <w:color w:val="auto"/>
              </w:rPr>
            </w:pPr>
            <w:r>
              <w:rPr>
                <w:rFonts w:ascii="Arial" w:cs="Arial" w:eastAsia="Arial" w:hAnsi="Arial"/>
                <w:sz w:val="11"/>
                <w:szCs w:val="11"/>
                <w:color w:val="auto"/>
              </w:rPr>
              <w:t>RSU</w:t>
            </w:r>
          </w:p>
        </w:tc>
        <w:tc>
          <w:tcPr>
            <w:tcW w:w="820" w:type="dxa"/>
            <w:vAlign w:val="bottom"/>
            <w:tcBorders>
              <w:bottom w:val="single" w:sz="8" w:color="852166"/>
            </w:tcBorders>
          </w:tcPr>
          <w:p>
            <w:pPr>
              <w:spacing w:after="0"/>
              <w:rPr>
                <w:sz w:val="11"/>
                <w:szCs w:val="11"/>
                <w:color w:val="auto"/>
              </w:rPr>
            </w:pPr>
          </w:p>
        </w:tc>
        <w:tc>
          <w:tcPr>
            <w:tcW w:w="760" w:type="dxa"/>
            <w:vAlign w:val="bottom"/>
            <w:tcBorders>
              <w:bottom w:val="single" w:sz="8" w:color="852166"/>
            </w:tcBorders>
          </w:tcPr>
          <w:p>
            <w:pPr>
              <w:spacing w:after="0"/>
              <w:rPr>
                <w:sz w:val="11"/>
                <w:szCs w:val="11"/>
                <w:color w:val="auto"/>
              </w:rPr>
            </w:pPr>
          </w:p>
        </w:tc>
        <w:tc>
          <w:tcPr>
            <w:tcW w:w="740" w:type="dxa"/>
            <w:vAlign w:val="bottom"/>
            <w:tcBorders>
              <w:bottom w:val="single" w:sz="8" w:color="852166"/>
            </w:tcBorders>
          </w:tcPr>
          <w:p>
            <w:pPr>
              <w:spacing w:after="0"/>
              <w:rPr>
                <w:sz w:val="11"/>
                <w:szCs w:val="11"/>
                <w:color w:val="auto"/>
              </w:rPr>
            </w:pPr>
          </w:p>
        </w:tc>
        <w:tc>
          <w:tcPr>
            <w:tcW w:w="780" w:type="dxa"/>
            <w:vAlign w:val="bottom"/>
            <w:tcBorders>
              <w:bottom w:val="single" w:sz="8" w:color="852166"/>
            </w:tcBorders>
          </w:tcPr>
          <w:p>
            <w:pPr>
              <w:spacing w:after="0"/>
              <w:rPr>
                <w:sz w:val="11"/>
                <w:szCs w:val="11"/>
                <w:color w:val="auto"/>
              </w:rPr>
            </w:pPr>
          </w:p>
        </w:tc>
        <w:tc>
          <w:tcPr>
            <w:tcW w:w="740" w:type="dxa"/>
            <w:vAlign w:val="bottom"/>
            <w:tcBorders>
              <w:bottom w:val="single" w:sz="8" w:color="852166"/>
            </w:tcBorders>
          </w:tcPr>
          <w:p>
            <w:pPr>
              <w:spacing w:after="0"/>
              <w:rPr>
                <w:sz w:val="11"/>
                <w:szCs w:val="11"/>
                <w:color w:val="auto"/>
              </w:rPr>
            </w:pPr>
          </w:p>
        </w:tc>
        <w:tc>
          <w:tcPr>
            <w:tcW w:w="920" w:type="dxa"/>
            <w:vAlign w:val="bottom"/>
            <w:tcBorders>
              <w:bottom w:val="single" w:sz="8" w:color="852166"/>
            </w:tcBorders>
          </w:tcPr>
          <w:p>
            <w:pPr>
              <w:spacing w:after="0"/>
              <w:rPr>
                <w:sz w:val="11"/>
                <w:szCs w:val="11"/>
                <w:color w:val="auto"/>
              </w:rPr>
            </w:pPr>
          </w:p>
        </w:tc>
        <w:tc>
          <w:tcPr>
            <w:tcW w:w="640" w:type="dxa"/>
            <w:vAlign w:val="bottom"/>
            <w:tcBorders>
              <w:bottom w:val="single" w:sz="8" w:color="852166"/>
            </w:tcBorders>
          </w:tcPr>
          <w:p>
            <w:pPr>
              <w:spacing w:after="0"/>
              <w:rPr>
                <w:sz w:val="11"/>
                <w:szCs w:val="11"/>
                <w:color w:val="auto"/>
              </w:rPr>
            </w:pPr>
          </w:p>
        </w:tc>
        <w:tc>
          <w:tcPr>
            <w:tcW w:w="660" w:type="dxa"/>
            <w:vAlign w:val="bottom"/>
            <w:tcBorders>
              <w:bottom w:val="single" w:sz="8" w:color="852166"/>
            </w:tcBorders>
          </w:tcPr>
          <w:p>
            <w:pPr>
              <w:spacing w:after="0"/>
              <w:rPr>
                <w:sz w:val="11"/>
                <w:szCs w:val="11"/>
                <w:color w:val="auto"/>
              </w:rPr>
            </w:pPr>
          </w:p>
        </w:tc>
        <w:tc>
          <w:tcPr>
            <w:tcW w:w="860" w:type="dxa"/>
            <w:vAlign w:val="bottom"/>
            <w:tcBorders>
              <w:bottom w:val="single" w:sz="8" w:color="852166"/>
            </w:tcBorders>
          </w:tcPr>
          <w:p>
            <w:pPr>
              <w:spacing w:after="0"/>
              <w:rPr>
                <w:sz w:val="11"/>
                <w:szCs w:val="11"/>
                <w:color w:val="auto"/>
              </w:rPr>
            </w:pPr>
          </w:p>
        </w:tc>
        <w:tc>
          <w:tcPr>
            <w:tcW w:w="880" w:type="dxa"/>
            <w:vAlign w:val="bottom"/>
            <w:tcBorders>
              <w:bottom w:val="single" w:sz="8" w:color="852166"/>
            </w:tcBorders>
          </w:tcPr>
          <w:p>
            <w:pPr>
              <w:spacing w:after="0"/>
              <w:rPr>
                <w:sz w:val="11"/>
                <w:szCs w:val="11"/>
                <w:color w:val="auto"/>
              </w:rPr>
            </w:pPr>
          </w:p>
        </w:tc>
        <w:tc>
          <w:tcPr>
            <w:tcW w:w="880" w:type="dxa"/>
            <w:vAlign w:val="bottom"/>
            <w:tcBorders>
              <w:bottom w:val="single" w:sz="8" w:color="852166"/>
            </w:tcBorders>
          </w:tcPr>
          <w:p>
            <w:pPr>
              <w:spacing w:after="0"/>
              <w:rPr>
                <w:sz w:val="11"/>
                <w:szCs w:val="11"/>
                <w:color w:val="auto"/>
              </w:rPr>
            </w:pPr>
          </w:p>
        </w:tc>
        <w:tc>
          <w:tcPr>
            <w:tcW w:w="840" w:type="dxa"/>
            <w:vAlign w:val="bottom"/>
            <w:tcBorders>
              <w:bottom w:val="single" w:sz="8" w:color="852166"/>
            </w:tcBorders>
          </w:tcPr>
          <w:p>
            <w:pPr>
              <w:spacing w:after="0"/>
              <w:rPr>
                <w:sz w:val="11"/>
                <w:szCs w:val="11"/>
                <w:color w:val="auto"/>
              </w:rPr>
            </w:pPr>
          </w:p>
        </w:tc>
        <w:tc>
          <w:tcPr>
            <w:tcW w:w="100" w:type="dxa"/>
            <w:vAlign w:val="bottom"/>
            <w:tcBorders>
              <w:bottom w:val="single" w:sz="8" w:color="852166"/>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-5699760</wp:posOffset>
            </wp:positionV>
            <wp:extent cx="284607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06" w:lineRule="exact"/>
        <w:rPr>
          <w:sz w:val="20"/>
          <w:szCs w:val="20"/>
          <w:color w:val="auto"/>
        </w:rPr>
      </w:pPr>
    </w:p>
    <w:p>
      <w:pPr>
        <w:ind w:left="340" w:right="20" w:hanging="332"/>
        <w:spacing w:after="0" w:line="266" w:lineRule="auto"/>
        <w:tabs>
          <w:tab w:leader="none" w:pos="327"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This column sets forth the target and maximum bonus amount for each NEO for the year ended December 31, 2025 under our performance bonus plan. There are no threshold amounts for each individual officer established under our performance bonus plan. The amounts shown under “Target” reflect the applicable target payment under the performance bonus plan if (i) we achieved 100% of the pre-determined 2025 corporate goals established by our Compensation Committee, and (ii) as applicable, each NEO’s individual performance percentage was assessed at 100% by our Compensation Committee with respect to his or her contributions toward the achievement of our corporate goals. The amounts shown under “Maximum” reflect the applicable maximum payment under our performance bonus plan if (i) we achieved maximum pre-determined 2025 corporate goals established by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123190</wp:posOffset>
            </wp:positionV>
            <wp:extent cx="1242695" cy="2057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78</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6" w:name="page87"/>
    <w:bookmarkEnd w:id="86"/>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2997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765935" cy="29972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right="120"/>
        <w:spacing w:after="0" w:line="264" w:lineRule="auto"/>
        <w:rPr>
          <w:sz w:val="20"/>
          <w:szCs w:val="20"/>
          <w:color w:val="auto"/>
        </w:rPr>
      </w:pPr>
      <w:r>
        <w:rPr>
          <w:rFonts w:ascii="Arial" w:cs="Arial" w:eastAsia="Arial" w:hAnsi="Arial"/>
          <w:sz w:val="14"/>
          <w:szCs w:val="14"/>
          <w:color w:val="auto"/>
        </w:rPr>
        <w:t>and (ii) as applicable, each NEO achieved maximum individual performance as assessed by our Compensation Committee with respect to his or her contributions toward the achievement of our corporate goals; provided, however, that the 2025 bonus payable under the performance bonus plan may not exceed 200% of the officer’s target bonus in the case of the Ms. Gala, our President, CEO and Director, and Mr. Cozadd. our Chairperson and former CEO (whose bonuses are determined solely based on corporate objective achievement) and 300% for each other NEO. Target bonuses were set as a percentage of each NEO’s base salary rate as of December 31, 2025 and originally were 110% for each of Ms. Gala and Mr. Cozadd, and 65% for each of Mr. Johnson, Dr. Iannone, Ms. Patil and Ms. Pearce. The dollar value of the actual bonus award earned for the year ended December 31, 2025 for each NEO is set forth in the Summary Compensation Table above. As such, the amounts set forth in this column do not represent either additional or actual compensation earned by the NEOs for the year ended December 31, 2025. For a description of the performance bonus plan, see “</w:t>
      </w:r>
      <w:r>
        <w:rPr>
          <w:rFonts w:ascii="Arial" w:cs="Arial" w:eastAsia="Arial" w:hAnsi="Arial"/>
          <w:sz w:val="14"/>
          <w:szCs w:val="14"/>
          <w:i w:val="1"/>
          <w:iCs w:val="1"/>
          <w:color w:val="auto"/>
        </w:rPr>
        <w:t>Compensation Discussion and Analysis— Goals for and Achievement of 2025 Performance-Based Compensation—2025 Performance Bonus Program</w:t>
      </w:r>
      <w:r>
        <w:rPr>
          <w:rFonts w:ascii="Arial" w:cs="Arial" w:eastAsia="Arial" w:hAnsi="Arial"/>
          <w:sz w:val="14"/>
          <w:szCs w:val="14"/>
          <w:color w:val="auto"/>
        </w:rPr>
        <w:t>” above.</w:t>
      </w:r>
    </w:p>
    <w:p>
      <w:pPr>
        <w:spacing w:after="0" w:line="41" w:lineRule="exact"/>
        <w:rPr>
          <w:sz w:val="20"/>
          <w:szCs w:val="20"/>
          <w:color w:val="auto"/>
        </w:rPr>
      </w:pPr>
    </w:p>
    <w:p>
      <w:pPr>
        <w:ind w:left="340" w:right="40" w:hanging="332"/>
        <w:spacing w:after="0" w:line="261" w:lineRule="auto"/>
        <w:tabs>
          <w:tab w:leader="none" w:pos="327" w:val="left"/>
        </w:tabs>
        <w:numPr>
          <w:ilvl w:val="0"/>
          <w:numId w:val="77"/>
        </w:numPr>
        <w:rPr>
          <w:rFonts w:ascii="Arial" w:cs="Arial" w:eastAsia="Arial" w:hAnsi="Arial"/>
          <w:sz w:val="14"/>
          <w:szCs w:val="14"/>
          <w:color w:val="auto"/>
        </w:rPr>
      </w:pPr>
      <w:r>
        <w:rPr>
          <w:rFonts w:ascii="Arial" w:cs="Arial" w:eastAsia="Arial" w:hAnsi="Arial"/>
          <w:sz w:val="14"/>
          <w:szCs w:val="14"/>
          <w:color w:val="auto"/>
        </w:rPr>
        <w:t>PSU awards were granted to our NEOs on February 27, 2025 pursuant to the 2011 Plan, with the exception of the additional PSUs granted to Ms. Gala on August 7, 2025 in connection with her appointment as President and CEO. Each of the PSU awards vests depending on the achievement of four objective performance metrics to be assessed over a performance period of January 1, 2025 to December 31, 2027, including our Company’s relative TSR for the three-year period. The peer group used for purposes of calculating relative TSR (weighted at 33%) is the Nasdaq Biotechnology Index. The performance metric (weighted at 67%) is comprised of certain revenue metrics, pipeline readouts and approvals, and corporate development achievements further outlined in the operational execution scorecard. The amounts shown reflect the number of shares that may be earned for threshold performance at 50% of target for the relative TSR metric, the number of shares that may be earned for target performance at 100% of target and the number of shares that may be earned for maximum performance at 200% of target. For additional information on PSUs granted to our NEOs in 2025, see “</w:t>
      </w:r>
      <w:r>
        <w:rPr>
          <w:rFonts w:ascii="Arial" w:cs="Arial" w:eastAsia="Arial" w:hAnsi="Arial"/>
          <w:sz w:val="14"/>
          <w:szCs w:val="14"/>
          <w:i w:val="1"/>
          <w:iCs w:val="1"/>
          <w:color w:val="auto"/>
        </w:rPr>
        <w:t>Compensation Discussion and Analysis—2025 Compensation Decisions for Our NEOs—Long-Term Incentive Program</w:t>
      </w:r>
      <w:r>
        <w:rPr>
          <w:rFonts w:ascii="Arial" w:cs="Arial" w:eastAsia="Arial" w:hAnsi="Arial"/>
          <w:sz w:val="14"/>
          <w:szCs w:val="14"/>
          <w:color w:val="auto"/>
        </w:rPr>
        <w:t>” and “</w:t>
      </w:r>
      <w:r>
        <w:rPr>
          <w:rFonts w:ascii="Arial" w:cs="Arial" w:eastAsia="Arial" w:hAnsi="Arial"/>
          <w:sz w:val="14"/>
          <w:szCs w:val="14"/>
          <w:i w:val="1"/>
          <w:iCs w:val="1"/>
          <w:color w:val="auto"/>
        </w:rPr>
        <w:t>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Discussion and Analysis—Goals for and Achievement of 2025 Performance-Based Compensation—2025 – 2027 PSU Program</w:t>
      </w:r>
      <w:r>
        <w:rPr>
          <w:rFonts w:ascii="Arial" w:cs="Arial" w:eastAsia="Arial" w:hAnsi="Arial"/>
          <w:sz w:val="14"/>
          <w:szCs w:val="14"/>
          <w:color w:val="auto"/>
        </w:rPr>
        <w:t>” above. The PSU awards are subject to</w:t>
      </w:r>
      <w:r>
        <w:rPr>
          <w:rFonts w:ascii="Arial" w:cs="Arial" w:eastAsia="Arial" w:hAnsi="Arial"/>
          <w:sz w:val="14"/>
          <w:szCs w:val="14"/>
          <w:i w:val="1"/>
          <w:iCs w:val="1"/>
          <w:color w:val="auto"/>
        </w:rPr>
        <w:t xml:space="preserve"> </w:t>
      </w:r>
      <w:r>
        <w:rPr>
          <w:rFonts w:ascii="Arial" w:cs="Arial" w:eastAsia="Arial" w:hAnsi="Arial"/>
          <w:sz w:val="14"/>
          <w:szCs w:val="14"/>
          <w:color w:val="auto"/>
        </w:rPr>
        <w:t>potential vesting acceleration as described below under the heading “</w:t>
      </w:r>
      <w:r>
        <w:rPr>
          <w:rFonts w:ascii="Arial" w:cs="Arial" w:eastAsia="Arial" w:hAnsi="Arial"/>
          <w:sz w:val="14"/>
          <w:szCs w:val="14"/>
          <w:i w:val="1"/>
          <w:iCs w:val="1"/>
          <w:color w:val="auto"/>
        </w:rPr>
        <w:t>Potential Payments upon Termination or Change in Control—Treatment of 2023, 2024 and 2025</w:t>
      </w:r>
      <w:r>
        <w:rPr>
          <w:rFonts w:ascii="Arial" w:cs="Arial" w:eastAsia="Arial" w:hAnsi="Arial"/>
          <w:sz w:val="14"/>
          <w:szCs w:val="14"/>
          <w:color w:val="auto"/>
        </w:rPr>
        <w:t xml:space="preserve"> </w:t>
      </w:r>
      <w:r>
        <w:rPr>
          <w:rFonts w:ascii="Arial" w:cs="Arial" w:eastAsia="Arial" w:hAnsi="Arial"/>
          <w:sz w:val="14"/>
          <w:szCs w:val="14"/>
          <w:i w:val="1"/>
          <w:iCs w:val="1"/>
          <w:color w:val="auto"/>
        </w:rPr>
        <w:t>PSUs</w:t>
      </w:r>
      <w:r>
        <w:rPr>
          <w:rFonts w:ascii="Arial" w:cs="Arial" w:eastAsia="Arial" w:hAnsi="Arial"/>
          <w:sz w:val="14"/>
          <w:szCs w:val="14"/>
          <w:color w:val="auto"/>
        </w:rPr>
        <w:t>” and “</w:t>
      </w:r>
      <w:r>
        <w:rPr>
          <w:rFonts w:ascii="Arial" w:cs="Arial" w:eastAsia="Arial" w:hAnsi="Arial"/>
          <w:sz w:val="14"/>
          <w:szCs w:val="14"/>
          <w:i w:val="1"/>
          <w:iCs w:val="1"/>
          <w:color w:val="auto"/>
        </w:rPr>
        <w:t>Description of Compensation Arrangements—Equity Compensation Arrangements—2011 Equity Incentive Plan.</w:t>
      </w:r>
      <w:r>
        <w:rPr>
          <w:rFonts w:ascii="Arial" w:cs="Arial" w:eastAsia="Arial" w:hAnsi="Arial"/>
          <w:sz w:val="14"/>
          <w:szCs w:val="14"/>
          <w:color w:val="auto"/>
        </w:rPr>
        <w:t>” See also “</w:t>
      </w:r>
      <w:r>
        <w:rPr>
          <w:rFonts w:ascii="Arial" w:cs="Arial" w:eastAsia="Arial" w:hAnsi="Arial"/>
          <w:sz w:val="14"/>
          <w:szCs w:val="14"/>
          <w:i w:val="1"/>
          <w:iCs w:val="1"/>
          <w:color w:val="auto"/>
        </w:rPr>
        <w:t>Description of Compensation Arrangements—Equity Compensation Arrangements—2011 Equity Incentive Plan</w:t>
      </w:r>
      <w:r>
        <w:rPr>
          <w:rFonts w:ascii="Arial" w:cs="Arial" w:eastAsia="Arial" w:hAnsi="Arial"/>
          <w:sz w:val="14"/>
          <w:szCs w:val="14"/>
          <w:color w:val="auto"/>
        </w:rPr>
        <w:t>” below for a general description of the material terms of the 2011 Plan.</w:t>
      </w:r>
    </w:p>
    <w:p>
      <w:pPr>
        <w:spacing w:after="0" w:line="59" w:lineRule="exact"/>
        <w:rPr>
          <w:rFonts w:ascii="Arial" w:cs="Arial" w:eastAsia="Arial" w:hAnsi="Arial"/>
          <w:sz w:val="14"/>
          <w:szCs w:val="14"/>
          <w:color w:val="auto"/>
        </w:rPr>
      </w:pPr>
    </w:p>
    <w:p>
      <w:pPr>
        <w:ind w:left="340" w:right="60" w:hanging="332"/>
        <w:spacing w:after="0" w:line="265" w:lineRule="auto"/>
        <w:tabs>
          <w:tab w:leader="none" w:pos="327"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dollar amounts in this column represent the grant date fair value of each PSU and RSU award, as applicable, granted to the NEOs in 2025. These amounts have been calculated in accordance with FASB ASC 718. The grant date fair value for RSUs is based on the closing price of our ordinary shares on the date of grant. The grant date fair value for PSUs is calculated using a Monte Carlo simulation model for the value of 1/3 of the number of PSUs and the closing price of our ordinary shares on the date of the grant for the value of 2/3 of the number of PSUs. These amounts do not necessarily correspond to the actual value recognized or that may be recognized by the NEOs. The fair value for each award may differ based on the applicable data, assumptions, and estimates used in the model. With respect to Mr. Cozadd, the dollar amounts in this column also represent the aggregate incremental fair value, calculated in accordance with FASB ASC 718, in connection with the modification in 2025 of several outstanding stock option awards held by Mr. Cozadd as described in footnote 8 below.</w:t>
      </w:r>
    </w:p>
    <w:p>
      <w:pPr>
        <w:spacing w:after="0" w:line="46" w:lineRule="exact"/>
        <w:rPr>
          <w:rFonts w:ascii="Arial" w:cs="Arial" w:eastAsia="Arial" w:hAnsi="Arial"/>
          <w:sz w:val="14"/>
          <w:szCs w:val="14"/>
          <w:color w:val="auto"/>
        </w:rPr>
      </w:pPr>
    </w:p>
    <w:p>
      <w:pPr>
        <w:ind w:left="340" w:right="160" w:hanging="332"/>
        <w:spacing w:after="0" w:line="298" w:lineRule="auto"/>
        <w:tabs>
          <w:tab w:leader="none" w:pos="327" w:val="left"/>
        </w:tabs>
        <w:numPr>
          <w:ilvl w:val="0"/>
          <w:numId w:val="77"/>
        </w:numPr>
        <w:rPr>
          <w:rFonts w:ascii="Arial" w:cs="Arial" w:eastAsia="Arial" w:hAnsi="Arial"/>
          <w:sz w:val="14"/>
          <w:szCs w:val="14"/>
          <w:color w:val="auto"/>
        </w:rPr>
      </w:pPr>
      <w:r>
        <w:rPr>
          <w:rFonts w:ascii="Arial" w:cs="Arial" w:eastAsia="Arial" w:hAnsi="Arial"/>
          <w:sz w:val="16"/>
          <w:szCs w:val="16"/>
          <w:color w:val="auto"/>
        </w:rPr>
        <w:t>I</w:t>
      </w:r>
      <w:r>
        <w:rPr>
          <w:rFonts w:ascii="Arial" w:cs="Arial" w:eastAsia="Arial" w:hAnsi="Arial"/>
          <w:sz w:val="14"/>
          <w:szCs w:val="14"/>
          <w:color w:val="auto"/>
        </w:rPr>
        <w:t>n connection with her appointment as President and CEO as of August 11, 2025, Ms. Gala received additional one-time promotion PSU and RSU awards, incremental to</w:t>
      </w:r>
      <w:r>
        <w:rPr>
          <w:rFonts w:ascii="Arial" w:cs="Arial" w:eastAsia="Arial" w:hAnsi="Arial"/>
          <w:sz w:val="16"/>
          <w:szCs w:val="16"/>
          <w:color w:val="auto"/>
        </w:rPr>
        <w:t xml:space="preserve"> </w:t>
      </w:r>
      <w:r>
        <w:rPr>
          <w:rFonts w:ascii="Arial" w:cs="Arial" w:eastAsia="Arial" w:hAnsi="Arial"/>
          <w:sz w:val="14"/>
          <w:szCs w:val="14"/>
          <w:color w:val="auto"/>
        </w:rPr>
        <w:t>her 2025 annual equity grant.</w:t>
      </w:r>
    </w:p>
    <w:p>
      <w:pPr>
        <w:spacing w:after="0" w:line="22" w:lineRule="exact"/>
        <w:rPr>
          <w:rFonts w:ascii="Arial" w:cs="Arial" w:eastAsia="Arial" w:hAnsi="Arial"/>
          <w:sz w:val="14"/>
          <w:szCs w:val="14"/>
          <w:color w:val="auto"/>
        </w:rPr>
      </w:pPr>
    </w:p>
    <w:p>
      <w:pPr>
        <w:ind w:left="340" w:right="120" w:hanging="332"/>
        <w:spacing w:after="0" w:line="266" w:lineRule="auto"/>
        <w:tabs>
          <w:tab w:leader="none" w:pos="327" w:val="left"/>
        </w:tabs>
        <w:numPr>
          <w:ilvl w:val="0"/>
          <w:numId w:val="77"/>
        </w:numPr>
        <w:rPr>
          <w:rFonts w:ascii="Arial" w:cs="Arial" w:eastAsia="Arial" w:hAnsi="Arial"/>
          <w:sz w:val="14"/>
          <w:szCs w:val="14"/>
          <w:color w:val="auto"/>
        </w:rPr>
      </w:pPr>
      <w:r>
        <w:rPr>
          <w:rFonts w:ascii="Arial" w:cs="Arial" w:eastAsia="Arial" w:hAnsi="Arial"/>
          <w:sz w:val="14"/>
          <w:szCs w:val="14"/>
          <w:color w:val="auto"/>
        </w:rPr>
        <w:t>Each of the annual RSU awards vests in four equal annual installments on the anniversary of the vesting commencement date of March 5, 2025, with the exception of the RSUs granted to (i) Ms. Gala on August 7, 2025 in connection with her appointment as President and CEO, (ii) Mr. Cozadd on November 20, 2025 in connection with his continued service as Chairperson and (iii) the retention RSUs granted to each of the NEOs, excluding Mr. Cozadd, in February 2025. As a general matter, time-based RSUs will cease vesting upon each NEO’s last day of service. RSU awards are subject to potential vesting acceleration as described below under the headings “</w:t>
      </w:r>
      <w:r>
        <w:rPr>
          <w:rFonts w:ascii="Arial" w:cs="Arial" w:eastAsia="Arial" w:hAnsi="Arial"/>
          <w:sz w:val="14"/>
          <w:szCs w:val="14"/>
          <w:i w:val="1"/>
          <w:iCs w:val="1"/>
          <w:color w:val="auto"/>
        </w:rPr>
        <w:t>Description of Compensation Arrangements—Equity Compensation Arrangements—2011 Equity Incentive Plan</w:t>
      </w:r>
      <w:r>
        <w:rPr>
          <w:rFonts w:ascii="Arial" w:cs="Arial" w:eastAsia="Arial" w:hAnsi="Arial"/>
          <w:sz w:val="14"/>
          <w:szCs w:val="14"/>
          <w:color w:val="auto"/>
        </w:rPr>
        <w:t>” and “</w:t>
      </w:r>
      <w:r>
        <w:rPr>
          <w:rFonts w:ascii="Arial" w:cs="Arial" w:eastAsia="Arial" w:hAnsi="Arial"/>
          <w:sz w:val="14"/>
          <w:szCs w:val="14"/>
          <w:i w:val="1"/>
          <w:iCs w:val="1"/>
          <w:color w:val="auto"/>
        </w:rPr>
        <w:t>Potential Payments upon Termination or Change in</w:t>
      </w:r>
      <w:r>
        <w:rPr>
          <w:rFonts w:ascii="Arial" w:cs="Arial" w:eastAsia="Arial" w:hAnsi="Arial"/>
          <w:sz w:val="14"/>
          <w:szCs w:val="14"/>
          <w:color w:val="auto"/>
        </w:rPr>
        <w:t xml:space="preserve"> </w:t>
      </w:r>
      <w:r>
        <w:rPr>
          <w:rFonts w:ascii="Arial" w:cs="Arial" w:eastAsia="Arial" w:hAnsi="Arial"/>
          <w:sz w:val="14"/>
          <w:szCs w:val="14"/>
          <w:i w:val="1"/>
          <w:iCs w:val="1"/>
          <w:color w:val="auto"/>
        </w:rPr>
        <w:t>Control—Change in Control Plan.</w:t>
      </w:r>
      <w:r>
        <w:rPr>
          <w:rFonts w:ascii="Arial" w:cs="Arial" w:eastAsia="Arial" w:hAnsi="Arial"/>
          <w:sz w:val="14"/>
          <w:szCs w:val="14"/>
          <w:color w:val="auto"/>
        </w:rPr>
        <w:t>”</w:t>
      </w:r>
    </w:p>
    <w:p>
      <w:pPr>
        <w:spacing w:after="0" w:line="36" w:lineRule="exact"/>
        <w:rPr>
          <w:rFonts w:ascii="Arial" w:cs="Arial" w:eastAsia="Arial" w:hAnsi="Arial"/>
          <w:sz w:val="14"/>
          <w:szCs w:val="14"/>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retention RSU awards, which will vest in full on June 30, 2026, subject to continued service through such date.</w:t>
      </w:r>
    </w:p>
    <w:p>
      <w:pPr>
        <w:spacing w:after="0" w:line="95" w:lineRule="exact"/>
        <w:rPr>
          <w:rFonts w:ascii="Arial" w:cs="Arial" w:eastAsia="Arial" w:hAnsi="Arial"/>
          <w:sz w:val="14"/>
          <w:szCs w:val="14"/>
          <w:color w:val="auto"/>
        </w:rPr>
      </w:pPr>
    </w:p>
    <w:p>
      <w:pPr>
        <w:ind w:left="340" w:right="240" w:hanging="332"/>
        <w:spacing w:after="0" w:line="283" w:lineRule="auto"/>
        <w:tabs>
          <w:tab w:leader="none" w:pos="327"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 connection with his continued service as Chairperson following retirement as CEO, Mr. Cozadd received a pro-rated annual director RSU award, which vests in full on July 24, 2026, subject to continued service through such date. The Director RSU award granted to Mr. Cozadd in November 2025 was granted pursuant to the 2007 Directors Plan.</w:t>
      </w:r>
    </w:p>
    <w:p>
      <w:pPr>
        <w:spacing w:after="0" w:line="37" w:lineRule="exact"/>
        <w:rPr>
          <w:rFonts w:ascii="Arial" w:cs="Arial" w:eastAsia="Arial" w:hAnsi="Arial"/>
          <w:sz w:val="14"/>
          <w:szCs w:val="14"/>
          <w:color w:val="auto"/>
        </w:rPr>
      </w:pPr>
    </w:p>
    <w:p>
      <w:pPr>
        <w:ind w:left="340" w:right="80" w:hanging="332"/>
        <w:spacing w:after="0" w:line="267" w:lineRule="auto"/>
        <w:tabs>
          <w:tab w:leader="none" w:pos="327" w:val="left"/>
        </w:tabs>
        <w:numPr>
          <w:ilvl w:val="0"/>
          <w:numId w:val="77"/>
        </w:numPr>
        <w:rPr>
          <w:rFonts w:ascii="Arial" w:cs="Arial" w:eastAsia="Arial" w:hAnsi="Arial"/>
          <w:sz w:val="14"/>
          <w:szCs w:val="14"/>
          <w:color w:val="auto"/>
        </w:rPr>
      </w:pPr>
      <w:r>
        <w:rPr>
          <w:rFonts w:ascii="Arial" w:cs="Arial" w:eastAsia="Arial" w:hAnsi="Arial"/>
          <w:sz w:val="14"/>
          <w:szCs w:val="14"/>
          <w:color w:val="auto"/>
        </w:rPr>
        <w:t>Mr. Cozadd was not granted any new stock option awards in 2025. The value in this row represents the aggregate incremental fair value, calculated in accordance with FASB ASC 718, in connection with the modification in 2025 of several outstanding stock option awards held by Mr. Cozadd as described under “</w:t>
      </w:r>
      <w:r>
        <w:rPr>
          <w:rFonts w:ascii="Arial" w:cs="Arial" w:eastAsia="Arial" w:hAnsi="Arial"/>
          <w:sz w:val="14"/>
          <w:szCs w:val="14"/>
          <w:i w:val="1"/>
          <w:iCs w:val="1"/>
          <w:color w:val="auto"/>
        </w:rPr>
        <w:t>Compensation Discussion</w:t>
      </w:r>
      <w:r>
        <w:rPr>
          <w:rFonts w:ascii="Arial" w:cs="Arial" w:eastAsia="Arial" w:hAnsi="Arial"/>
          <w:sz w:val="14"/>
          <w:szCs w:val="14"/>
          <w:color w:val="auto"/>
        </w:rPr>
        <w:t xml:space="preserve"> </w:t>
      </w:r>
      <w:r>
        <w:rPr>
          <w:rFonts w:ascii="Arial" w:cs="Arial" w:eastAsia="Arial" w:hAnsi="Arial"/>
          <w:sz w:val="14"/>
          <w:szCs w:val="14"/>
          <w:i w:val="1"/>
          <w:iCs w:val="1"/>
          <w:color w:val="auto"/>
        </w:rPr>
        <w:t>and Analysis―2025 Compensation Decisions for Our NEOs―Modification of Outstanding Stock Options.</w:t>
      </w:r>
      <w:r>
        <w:rPr>
          <w:rFonts w:ascii="Arial" w:cs="Arial" w:eastAsia="Arial" w:hAnsi="Arial"/>
          <w:sz w:val="14"/>
          <w:szCs w:val="14"/>
          <w:color w:val="auto"/>
        </w:rPr>
        <w:t>” The stock option awards that were modified include the</w:t>
      </w:r>
      <w:r>
        <w:rPr>
          <w:rFonts w:ascii="Arial" w:cs="Arial" w:eastAsia="Arial" w:hAnsi="Arial"/>
          <w:sz w:val="14"/>
          <w:szCs w:val="14"/>
          <w:i w:val="1"/>
          <w:iCs w:val="1"/>
          <w:color w:val="auto"/>
        </w:rPr>
        <w:t xml:space="preserve"> </w:t>
      </w:r>
      <w:r>
        <w:rPr>
          <w:rFonts w:ascii="Arial" w:cs="Arial" w:eastAsia="Arial" w:hAnsi="Arial"/>
          <w:sz w:val="14"/>
          <w:szCs w:val="14"/>
          <w:color w:val="auto"/>
        </w:rPr>
        <w:t>following: 77,500 stock options with an exercise price of $123.36; 86,500 stock options with an exercise price of $136.18; 92,500 stock options with an exercise price of $140.67; 125,000 stock options with an exercise price of $140.03; and 130,000 stock options with an exercise price of $113.10.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243205</wp:posOffset>
            </wp:positionV>
            <wp:extent cx="1242695" cy="2057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79</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7" w:name="page88"/>
    <w:bookmarkEnd w:id="87"/>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Description of Compensation Arrangements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Executive Employment and Severance Agreements</w:t>
      </w:r>
    </w:p>
    <w:p>
      <w:pPr>
        <w:spacing w:after="0" w:line="17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With the exception of Ms. Gala, we do not have employment agreements currently in effect with any of our NEOs based in the U.S. Like other employees, such executive officers are eligible for annual salary increases, participation in the performance bonus plan and discretionary equity grants. From time to time, we have provided an offer letter in connection with the commencement of employment of an executive officer based in the U.S., which describes such executive officer’s initial terms of employment. In 2024, we entered into offer letters with each of Ms. Pearce and Mr. Johnson. In connection with Mr. Johnson’s offer letter, we also entered into a sign-on bonus repayment agreement with him that describes the terms of his signing bonus; for more information, see “</w:t>
      </w:r>
      <w:r>
        <w:rPr>
          <w:rFonts w:ascii="Arial" w:cs="Arial" w:eastAsia="Arial" w:hAnsi="Arial"/>
          <w:sz w:val="16"/>
          <w:szCs w:val="16"/>
          <w:i w:val="1"/>
          <w:iCs w:val="1"/>
          <w:color w:val="auto"/>
        </w:rPr>
        <w:t>Compensation Discussion and Analysis—2025 Compensation Decisions for Our NEOs—Individual NEO Compensation Decisions</w:t>
      </w:r>
      <w:r>
        <w:rPr>
          <w:rFonts w:ascii="Arial" w:cs="Arial" w:eastAsia="Arial" w:hAnsi="Arial"/>
          <w:sz w:val="16"/>
          <w:szCs w:val="16"/>
          <w:color w:val="auto"/>
        </w:rPr>
        <w:t>” above.</w:t>
      </w:r>
    </w:p>
    <w:p>
      <w:pPr>
        <w:spacing w:after="0" w:line="129"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color w:val="auto"/>
        </w:rPr>
        <w:t>On July 30, 2025 we entered into a CEO Employment Agreement with Ms. Gala appointing her as the President, CEO and Director effective August 11, 2025. The agreement included Ms. Gala’s initial base salary, discretionary target bonus, equity grant and severance benefits. Pursuant to the CEO Employment Agreement, Ms. Gala will be entitled to a cash severance payment equal to 18 months of her base salary in the case of an involuntary termination, as defined in the agreement. In addition, Ms. Gala will be entitled to a bonus severance payment if she is employed with our Company or its affiliates through at least January 31 of the calendar year in which an involuntary termination occurs. Furthermore, if the date of involuntary termination occurs in the first quarter of the calendar year and such date is prior to the scheduled payment date for previous year annual bonus(es), Ms. Gala will receive payment of the annual bonus for such previous calendar year at the target amount.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Change in Control and Severance Benefits</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Each of our NEOs is a participant in the CIC Plan, a description of which is included below under the heading “</w:t>
      </w:r>
      <w:r>
        <w:rPr>
          <w:rFonts w:ascii="Arial" w:cs="Arial" w:eastAsia="Arial" w:hAnsi="Arial"/>
          <w:sz w:val="16"/>
          <w:szCs w:val="16"/>
          <w:i w:val="1"/>
          <w:iCs w:val="1"/>
          <w:color w:val="auto"/>
        </w:rPr>
        <w:t>Potential Payments upon Termination or</w:t>
      </w:r>
      <w:r>
        <w:rPr>
          <w:rFonts w:ascii="Arial" w:cs="Arial" w:eastAsia="Arial" w:hAnsi="Arial"/>
          <w:sz w:val="16"/>
          <w:szCs w:val="16"/>
          <w:color w:val="auto"/>
        </w:rPr>
        <w:t xml:space="preserve"> </w:t>
      </w:r>
      <w:r>
        <w:rPr>
          <w:rFonts w:ascii="Arial" w:cs="Arial" w:eastAsia="Arial" w:hAnsi="Arial"/>
          <w:sz w:val="16"/>
          <w:szCs w:val="16"/>
          <w:i w:val="1"/>
          <w:iCs w:val="1"/>
          <w:color w:val="auto"/>
        </w:rPr>
        <w:t>Change in Control—Change in Control Plan.</w:t>
      </w:r>
      <w:r>
        <w:rPr>
          <w:rFonts w:ascii="Arial" w:cs="Arial" w:eastAsia="Arial" w:hAnsi="Arial"/>
          <w:sz w:val="16"/>
          <w:szCs w:val="16"/>
          <w:color w:val="auto"/>
        </w:rPr>
        <w:t>” Each of our NEOs other than Mr. Cozadd, our Chairperson and former CEO and Ms. Gala, our President, CEO</w:t>
      </w:r>
      <w:r>
        <w:rPr>
          <w:rFonts w:ascii="Arial" w:cs="Arial" w:eastAsia="Arial" w:hAnsi="Arial"/>
          <w:sz w:val="16"/>
          <w:szCs w:val="16"/>
          <w:i w:val="1"/>
          <w:iCs w:val="1"/>
          <w:color w:val="auto"/>
        </w:rPr>
        <w:t xml:space="preserve"> </w:t>
      </w:r>
      <w:r>
        <w:rPr>
          <w:rFonts w:ascii="Arial" w:cs="Arial" w:eastAsia="Arial" w:hAnsi="Arial"/>
          <w:sz w:val="16"/>
          <w:szCs w:val="16"/>
          <w:color w:val="auto"/>
        </w:rPr>
        <w:t>and Director, is a participant in the Severance Plan, a description of which is included below under the heading “</w:t>
      </w:r>
      <w:r>
        <w:rPr>
          <w:rFonts w:ascii="Arial" w:cs="Arial" w:eastAsia="Arial" w:hAnsi="Arial"/>
          <w:sz w:val="16"/>
          <w:szCs w:val="16"/>
          <w:i w:val="1"/>
          <w:iCs w:val="1"/>
          <w:color w:val="auto"/>
        </w:rPr>
        <w:t>Potential Payments upon Termination or</w:t>
      </w:r>
      <w:r>
        <w:rPr>
          <w:rFonts w:ascii="Arial" w:cs="Arial" w:eastAsia="Arial" w:hAnsi="Arial"/>
          <w:sz w:val="16"/>
          <w:szCs w:val="16"/>
          <w:color w:val="auto"/>
        </w:rPr>
        <w:t xml:space="preserve"> </w:t>
      </w:r>
      <w:r>
        <w:rPr>
          <w:rFonts w:ascii="Arial" w:cs="Arial" w:eastAsia="Arial" w:hAnsi="Arial"/>
          <w:sz w:val="16"/>
          <w:szCs w:val="16"/>
          <w:i w:val="1"/>
          <w:iCs w:val="1"/>
          <w:color w:val="auto"/>
        </w:rPr>
        <w:t>Change in Control—Severance Plan.</w:t>
      </w:r>
      <w:r>
        <w:rPr>
          <w:rFonts w:ascii="Arial" w:cs="Arial" w:eastAsia="Arial" w:hAnsi="Arial"/>
          <w:sz w:val="16"/>
          <w:szCs w:val="16"/>
          <w:color w:val="auto"/>
        </w:rPr>
        <w:t>” Ms. Gala was a participant in the Severance Plan while in her role as President and COO until her appointment as</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CEO and Director in August 2025.</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Equity Compensation Arrangements</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Since the Azur Merger, we have granted equity awards to employees, including the NEOs (other than Mr. Cozadd’s Director RSU award in November 2025, which was granted under the 2007 Directors Plan), under the 2011 Plan. From the initial public offering of Jazz Pharmaceuticals, Inc. until the Azur Merger, we granted equity awards to our employees, including some of the NEOs, under the 2007 Equity Incentive Plan. As a result of the GW Acquisition, we assumed the GW 2020 Equity Incentive Plan. For more information on our current equity compensation program and decisions regarding the grants of equity awards in 2025 for our NEOs, see “</w:t>
      </w:r>
      <w:r>
        <w:rPr>
          <w:rFonts w:ascii="Arial" w:cs="Arial" w:eastAsia="Arial" w:hAnsi="Arial"/>
          <w:sz w:val="16"/>
          <w:szCs w:val="16"/>
          <w:i w:val="1"/>
          <w:iCs w:val="1"/>
          <w:color w:val="auto"/>
        </w:rPr>
        <w:t>Compensation Discussion and Analysis—2025 Compensation Decisions for Our NEOs</w:t>
      </w:r>
      <w:r>
        <w:rPr>
          <w:rFonts w:ascii="Arial" w:cs="Arial" w:eastAsia="Arial" w:hAnsi="Arial"/>
          <w:sz w:val="16"/>
          <w:szCs w:val="16"/>
          <w:color w:val="auto"/>
        </w:rPr>
        <w:t>” above. The following is a brief summary of the material terms of each of our equity compensation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2011 Equity Incentive Plan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brief summary of the material terms of the 2011 Plan, as amended and restated.</w:t>
      </w:r>
    </w:p>
    <w:p>
      <w:pPr>
        <w:spacing w:after="0" w:line="194"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b w:val="1"/>
          <w:bCs w:val="1"/>
          <w:color w:val="001C71"/>
        </w:rPr>
        <w:t xml:space="preserve">Types of Awards. </w:t>
      </w:r>
      <w:r>
        <w:rPr>
          <w:rFonts w:ascii="Arial" w:cs="Arial" w:eastAsia="Arial" w:hAnsi="Arial"/>
          <w:sz w:val="16"/>
          <w:szCs w:val="16"/>
          <w:color w:val="000000"/>
        </w:rPr>
        <w:t>The 2011 Plan provides for the grant of incentive stock options, nonstatutory stock options, stock appreciation rights, RSU awards, other</w:t>
      </w:r>
      <w:r>
        <w:rPr>
          <w:rFonts w:ascii="Arial" w:cs="Arial" w:eastAsia="Arial" w:hAnsi="Arial"/>
          <w:sz w:val="16"/>
          <w:szCs w:val="16"/>
          <w:b w:val="1"/>
          <w:bCs w:val="1"/>
          <w:color w:val="001C71"/>
        </w:rPr>
        <w:t xml:space="preserve"> </w:t>
      </w:r>
      <w:r>
        <w:rPr>
          <w:rFonts w:ascii="Arial" w:cs="Arial" w:eastAsia="Arial" w:hAnsi="Arial"/>
          <w:sz w:val="16"/>
          <w:szCs w:val="16"/>
          <w:color w:val="000000"/>
        </w:rPr>
        <w:t>stock awards, and performance awards (including PSU awards) that may be settled in cash, shares, or other property, which may be granted to employees, including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169545</wp:posOffset>
            </wp:positionV>
            <wp:extent cx="1242695" cy="2057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7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80</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8" w:name="page89"/>
    <w:bookmarkEnd w:id="88"/>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b w:val="1"/>
          <w:bCs w:val="1"/>
          <w:color w:val="001C71"/>
        </w:rPr>
        <w:t xml:space="preserve">Corporate Transactions. </w:t>
      </w:r>
      <w:r>
        <w:rPr>
          <w:rFonts w:ascii="Arial" w:cs="Arial" w:eastAsia="Arial" w:hAnsi="Arial"/>
          <w:sz w:val="16"/>
          <w:szCs w:val="16"/>
          <w:color w:val="000000"/>
        </w:rPr>
        <w:t>In the event of certain significant corporate transactions (as defined in the 2011 Plan and described below), our Board will have</w:t>
      </w:r>
      <w:r>
        <w:rPr>
          <w:rFonts w:ascii="Arial" w:cs="Arial" w:eastAsia="Arial" w:hAnsi="Arial"/>
          <w:sz w:val="16"/>
          <w:szCs w:val="16"/>
          <w:b w:val="1"/>
          <w:bCs w:val="1"/>
          <w:color w:val="001C71"/>
        </w:rPr>
        <w:t xml:space="preserve"> </w:t>
      </w:r>
      <w:r>
        <w:rPr>
          <w:rFonts w:ascii="Arial" w:cs="Arial" w:eastAsia="Arial" w:hAnsi="Arial"/>
          <w:sz w:val="16"/>
          <w:szCs w:val="16"/>
          <w:color w:val="000000"/>
        </w:rPr>
        <w:t>the discretion to take one or more of the following actions with respect to outstanding stock awards (contingent upon the closing or completion of such corporate transaction), unless otherwise provided in the stock award agreement or other written agreement with the participant or unless otherwise provided by our Board at the time of grant:</w:t>
      </w:r>
    </w:p>
    <w:p>
      <w:pPr>
        <w:spacing w:after="0" w:line="121" w:lineRule="exact"/>
        <w:rPr>
          <w:sz w:val="20"/>
          <w:szCs w:val="20"/>
          <w:color w:val="auto"/>
        </w:rPr>
      </w:pPr>
    </w:p>
    <w:p>
      <w:pPr>
        <w:ind w:left="320" w:hanging="231"/>
        <w:spacing w:after="0"/>
        <w:tabs>
          <w:tab w:leader="none" w:pos="320" w:val="left"/>
        </w:tabs>
        <w:numPr>
          <w:ilvl w:val="0"/>
          <w:numId w:val="78"/>
        </w:numPr>
        <w:rPr>
          <w:rFonts w:ascii="Arial" w:cs="Arial" w:eastAsia="Arial" w:hAnsi="Arial"/>
          <w:sz w:val="16"/>
          <w:szCs w:val="16"/>
          <w:b w:val="1"/>
          <w:bCs w:val="1"/>
          <w:color w:val="001C71"/>
        </w:rPr>
      </w:pPr>
      <w:r>
        <w:rPr>
          <w:rFonts w:ascii="Arial" w:cs="Arial" w:eastAsia="Arial" w:hAnsi="Arial"/>
          <w:sz w:val="16"/>
          <w:szCs w:val="16"/>
          <w:color w:val="auto"/>
        </w:rPr>
        <w:t>arrange for assumption, continuation, or substitution of a stock award by a surviving or acquiring corporation (or its parent company);</w:t>
      </w:r>
    </w:p>
    <w:p>
      <w:pPr>
        <w:spacing w:after="0" w:line="140" w:lineRule="exact"/>
        <w:rPr>
          <w:rFonts w:ascii="Arial" w:cs="Arial" w:eastAsia="Arial" w:hAnsi="Arial"/>
          <w:sz w:val="16"/>
          <w:szCs w:val="16"/>
          <w:b w:val="1"/>
          <w:bCs w:val="1"/>
          <w:color w:val="001C71"/>
        </w:rPr>
      </w:pPr>
    </w:p>
    <w:p>
      <w:pPr>
        <w:ind w:left="340" w:right="520" w:hanging="251"/>
        <w:spacing w:after="0" w:line="321" w:lineRule="auto"/>
        <w:tabs>
          <w:tab w:leader="none" w:pos="329" w:val="left"/>
        </w:tabs>
        <w:numPr>
          <w:ilvl w:val="0"/>
          <w:numId w:val="78"/>
        </w:numPr>
        <w:rPr>
          <w:rFonts w:ascii="Arial" w:cs="Arial" w:eastAsia="Arial" w:hAnsi="Arial"/>
          <w:sz w:val="16"/>
          <w:szCs w:val="16"/>
          <w:b w:val="1"/>
          <w:bCs w:val="1"/>
          <w:color w:val="001C71"/>
        </w:rPr>
      </w:pPr>
      <w:r>
        <w:rPr>
          <w:rFonts w:ascii="Arial" w:cs="Arial" w:eastAsia="Arial" w:hAnsi="Arial"/>
          <w:sz w:val="16"/>
          <w:szCs w:val="16"/>
          <w:color w:val="auto"/>
        </w:rPr>
        <w:t>arrange for the assignment of any reacquisition or repurchase rights applicable to any shares issued pursuant to a stock award to the surviving or acquiring corporation (or its parent company);</w:t>
      </w:r>
    </w:p>
    <w:p>
      <w:pPr>
        <w:spacing w:after="0" w:line="47" w:lineRule="exact"/>
        <w:rPr>
          <w:rFonts w:ascii="Arial" w:cs="Arial" w:eastAsia="Arial" w:hAnsi="Arial"/>
          <w:sz w:val="16"/>
          <w:szCs w:val="16"/>
          <w:b w:val="1"/>
          <w:bCs w:val="1"/>
          <w:color w:val="001C71"/>
        </w:rPr>
      </w:pPr>
    </w:p>
    <w:p>
      <w:pPr>
        <w:ind w:left="340" w:right="620" w:hanging="251"/>
        <w:spacing w:after="0" w:line="321" w:lineRule="auto"/>
        <w:tabs>
          <w:tab w:leader="none" w:pos="329" w:val="left"/>
        </w:tabs>
        <w:numPr>
          <w:ilvl w:val="0"/>
          <w:numId w:val="78"/>
        </w:numPr>
        <w:rPr>
          <w:rFonts w:ascii="Arial" w:cs="Arial" w:eastAsia="Arial" w:hAnsi="Arial"/>
          <w:sz w:val="16"/>
          <w:szCs w:val="16"/>
          <w:b w:val="1"/>
          <w:bCs w:val="1"/>
          <w:color w:val="001C71"/>
        </w:rPr>
      </w:pPr>
      <w:r>
        <w:rPr>
          <w:rFonts w:ascii="Arial" w:cs="Arial" w:eastAsia="Arial" w:hAnsi="Arial"/>
          <w:sz w:val="16"/>
          <w:szCs w:val="16"/>
          <w:color w:val="auto"/>
        </w:rPr>
        <w:t>accelerate the vesting, in whole or in part, and exercisability of a stock award and provide for its termination if it is not exercised at or prior to the corporate transaction;</w:t>
      </w:r>
    </w:p>
    <w:p>
      <w:pPr>
        <w:spacing w:after="0" w:line="47" w:lineRule="exact"/>
        <w:rPr>
          <w:rFonts w:ascii="Arial" w:cs="Arial" w:eastAsia="Arial" w:hAnsi="Arial"/>
          <w:sz w:val="16"/>
          <w:szCs w:val="16"/>
          <w:b w:val="1"/>
          <w:bCs w:val="1"/>
          <w:color w:val="001C71"/>
        </w:rPr>
      </w:pPr>
    </w:p>
    <w:p>
      <w:pPr>
        <w:ind w:left="320" w:hanging="231"/>
        <w:spacing w:after="0"/>
        <w:tabs>
          <w:tab w:leader="none" w:pos="320" w:val="left"/>
        </w:tabs>
        <w:numPr>
          <w:ilvl w:val="0"/>
          <w:numId w:val="78"/>
        </w:numPr>
        <w:rPr>
          <w:rFonts w:ascii="Arial" w:cs="Arial" w:eastAsia="Arial" w:hAnsi="Arial"/>
          <w:sz w:val="16"/>
          <w:szCs w:val="16"/>
          <w:b w:val="1"/>
          <w:bCs w:val="1"/>
          <w:color w:val="001C71"/>
        </w:rPr>
      </w:pPr>
      <w:r>
        <w:rPr>
          <w:rFonts w:ascii="Arial" w:cs="Arial" w:eastAsia="Arial" w:hAnsi="Arial"/>
          <w:sz w:val="16"/>
          <w:szCs w:val="16"/>
          <w:color w:val="auto"/>
        </w:rPr>
        <w:t>arrange for the lapse of any reacquisition or repurchase rights applicable to any shares issued pursuant to a stock award;</w:t>
      </w:r>
    </w:p>
    <w:p>
      <w:pPr>
        <w:spacing w:after="0" w:line="140" w:lineRule="exact"/>
        <w:rPr>
          <w:rFonts w:ascii="Arial" w:cs="Arial" w:eastAsia="Arial" w:hAnsi="Arial"/>
          <w:sz w:val="16"/>
          <w:szCs w:val="16"/>
          <w:b w:val="1"/>
          <w:bCs w:val="1"/>
          <w:color w:val="001C71"/>
        </w:rPr>
      </w:pPr>
    </w:p>
    <w:p>
      <w:pPr>
        <w:ind w:left="340" w:right="280" w:hanging="251"/>
        <w:spacing w:after="0" w:line="304" w:lineRule="auto"/>
        <w:tabs>
          <w:tab w:leader="none" w:pos="329" w:val="left"/>
        </w:tabs>
        <w:numPr>
          <w:ilvl w:val="0"/>
          <w:numId w:val="78"/>
        </w:numPr>
        <w:rPr>
          <w:rFonts w:ascii="Arial" w:cs="Arial" w:eastAsia="Arial" w:hAnsi="Arial"/>
          <w:sz w:val="16"/>
          <w:szCs w:val="16"/>
          <w:b w:val="1"/>
          <w:bCs w:val="1"/>
          <w:color w:val="001C71"/>
        </w:rPr>
      </w:pPr>
      <w:r>
        <w:rPr>
          <w:rFonts w:ascii="Arial" w:cs="Arial" w:eastAsia="Arial" w:hAnsi="Arial"/>
          <w:sz w:val="16"/>
          <w:szCs w:val="16"/>
          <w:color w:val="auto"/>
        </w:rPr>
        <w:t>cancel or arrange for the cancellation of a stock award, to the extent not vested or exercised prior to the effective time of the corporate transaction, in exchange for such cash consideration, if any, as our Board may consider appropriate; or</w:t>
      </w:r>
    </w:p>
    <w:p>
      <w:pPr>
        <w:spacing w:after="0" w:line="60" w:lineRule="exact"/>
        <w:rPr>
          <w:rFonts w:ascii="Arial" w:cs="Arial" w:eastAsia="Arial" w:hAnsi="Arial"/>
          <w:sz w:val="16"/>
          <w:szCs w:val="16"/>
          <w:b w:val="1"/>
          <w:bCs w:val="1"/>
          <w:color w:val="001C71"/>
        </w:rPr>
      </w:pPr>
    </w:p>
    <w:p>
      <w:pPr>
        <w:ind w:left="340" w:right="460" w:hanging="251"/>
        <w:spacing w:after="0" w:line="321" w:lineRule="auto"/>
        <w:tabs>
          <w:tab w:leader="none" w:pos="329" w:val="left"/>
        </w:tabs>
        <w:numPr>
          <w:ilvl w:val="0"/>
          <w:numId w:val="78"/>
        </w:numPr>
        <w:rPr>
          <w:rFonts w:ascii="Arial" w:cs="Arial" w:eastAsia="Arial" w:hAnsi="Arial"/>
          <w:sz w:val="16"/>
          <w:szCs w:val="16"/>
          <w:b w:val="1"/>
          <w:bCs w:val="1"/>
          <w:color w:val="001C71"/>
        </w:rPr>
      </w:pPr>
      <w:r>
        <w:rPr>
          <w:rFonts w:ascii="Arial" w:cs="Arial" w:eastAsia="Arial" w:hAnsi="Arial"/>
          <w:sz w:val="16"/>
          <w:szCs w:val="16"/>
          <w:color w:val="auto"/>
        </w:rPr>
        <w:t>make a payment equal to the excess, if any, of (a) the value of the property that the participant would have received upon the exercise of the stock award over (b) any exercise price payable in connection with such exercise.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Our Board need not take the same action for each stock award or with regard to all participants.</w:t>
      </w:r>
    </w:p>
    <w:p>
      <w:pPr>
        <w:spacing w:after="0" w:line="194"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For purposes of the 2011 Plan, a “corporate transaction” generally means (i) a sale or disposition of all or substantially all our assets or a sale or disposition of at least 90% of our outstanding securities; (ii) a merger, consolidation or similar transaction after which we are not the surviving corporation; or (iii) a merger, consolidation or similar transaction after which we are the surviving corporation but our ordinary shares are converted or exchanged into other property.</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001C71"/>
        </w:rPr>
        <w:t xml:space="preserve">CIC. </w:t>
      </w:r>
      <w:r>
        <w:rPr>
          <w:rFonts w:ascii="Arial" w:cs="Arial" w:eastAsia="Arial" w:hAnsi="Arial"/>
          <w:sz w:val="16"/>
          <w:szCs w:val="16"/>
          <w:color w:val="000000"/>
        </w:rPr>
        <w:t>Our Board has the discretion to provide additional acceleration of vesting and exercisability upon or after a CIC (as defined in the 2011 Plan and</w:t>
      </w:r>
      <w:r>
        <w:rPr>
          <w:rFonts w:ascii="Arial" w:cs="Arial" w:eastAsia="Arial" w:hAnsi="Arial"/>
          <w:sz w:val="16"/>
          <w:szCs w:val="16"/>
          <w:b w:val="1"/>
          <w:bCs w:val="1"/>
          <w:color w:val="001C71"/>
        </w:rPr>
        <w:t xml:space="preserve"> </w:t>
      </w:r>
      <w:r>
        <w:rPr>
          <w:rFonts w:ascii="Arial" w:cs="Arial" w:eastAsia="Arial" w:hAnsi="Arial"/>
          <w:sz w:val="16"/>
          <w:szCs w:val="16"/>
          <w:color w:val="000000"/>
        </w:rPr>
        <w:t>described below) as may be provided in a stock award agreement or any other written agreement between us or any of our affiliates and a participant. The forms of stock option agreement and RSU award agreement adopted by our Board under the 2011 Plan provide that in the event a participant’s service relationship with us or a successor entity is terminated due to an involuntary termination without cause (as defined in the stock award agreement and as described below) within 12 months following, or one month prior to, the effective date of a CIC, the vesting (and in the case of stock options, exercisability) of the stock award will accelerate in full. The treatment of the 2025 PSUs in the event of a CIC is described below under the heading, “</w:t>
      </w:r>
      <w:r>
        <w:rPr>
          <w:rFonts w:ascii="Arial" w:cs="Arial" w:eastAsia="Arial" w:hAnsi="Arial"/>
          <w:sz w:val="16"/>
          <w:szCs w:val="16"/>
          <w:i w:val="1"/>
          <w:iCs w:val="1"/>
          <w:color w:val="000000"/>
        </w:rPr>
        <w:t>Potential Payments upon</w:t>
      </w:r>
      <w:r>
        <w:rPr>
          <w:rFonts w:ascii="Arial" w:cs="Arial" w:eastAsia="Arial" w:hAnsi="Arial"/>
          <w:sz w:val="16"/>
          <w:szCs w:val="16"/>
          <w:color w:val="000000"/>
        </w:rPr>
        <w:t xml:space="preserve"> </w:t>
      </w:r>
      <w:r>
        <w:rPr>
          <w:rFonts w:ascii="Arial" w:cs="Arial" w:eastAsia="Arial" w:hAnsi="Arial"/>
          <w:sz w:val="16"/>
          <w:szCs w:val="16"/>
          <w:i w:val="1"/>
          <w:iCs w:val="1"/>
          <w:color w:val="000000"/>
        </w:rPr>
        <w:t>Termination or Change in Control—Treatment of 2023, 2024 and 2025 PSUs</w:t>
      </w:r>
      <w:r>
        <w:rPr>
          <w:rFonts w:ascii="Arial" w:cs="Arial" w:eastAsia="Arial" w:hAnsi="Arial"/>
          <w:sz w:val="16"/>
          <w:szCs w:val="16"/>
          <w:color w:val="000000"/>
        </w:rPr>
        <w:t>.”</w:t>
      </w:r>
    </w:p>
    <w:p>
      <w:pPr>
        <w:spacing w:after="0" w:line="129"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For purposes of the 2011 Plan and the forms of award agreements issued thereunder, a “change in control” or “CIC” generally means (i) a person or group acquires ownership of more than 30% of the combined voting power of our outstanding securities (other than directly from our Company); (ii) certain compromises or arrangements sanctioned by the Irish courts, certain schemes, contracts or offers that have become binding on all of our shareholders, certain takeover bids, certain offers or reverse takeover transactions or a reorganization, merger, statutory share exchange, consolidation or similar transaction involving us, and (A) after which our shareholders do not own more than 50% of the combined voting power of the surviving entity or its parent in substantially the same proportion as their ownership of our outstanding voting securities immediately before the transaction, (B) a person or group acquires ownership of more than 30% of the combined voting power of the surviving entity or its parent, or (C) at least a majority of the members of the board of directors of the parent (or the surviving entity, if there is no parent) following such transaction are not incumbent Board members (as defined in (v) below) at the time our Board approves the transaction; (iii) our shareholders or our Board approves a complete dissolution or liquidation of our Company, or a complete dissolution or liquidation of our Company otherwise occurs (except for a liquidation into a parent company); (iv) a sale, lease, exclusive license or other disposition of all or substantially all of our assets, other than to certain entities; or (v) individuals who were members of our Board on the date of adoption of the 2011 Plan (or members of our Board approved or recommended by a majority vote of such members still in office), referred to as “incumbent board members,” cease to constitute at least a majority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189865</wp:posOffset>
            </wp:positionV>
            <wp:extent cx="1242695" cy="2057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81</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9" w:name="page90"/>
    <w:bookmarkEnd w:id="89"/>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An “involuntary termination without cause” generally means that a participant’s service relationship with us is terminated for any reason other than for the following reasons (and not upon a participant’s death or disability): (i) participant’s commission of any felony or crime involving fraud, dishonesty or moral turpitude under the laws of the U.S. or any state thereof (with respect to Irish participants, the participant’s conviction for any criminal offense (other than an offense under any road traffic legislation in Ireland, the United Kingdom or elsewhere for which a fine or non-custodial penalty is imposed) or any offense under any regulation or legislation relating to insider dealing, fraud or dishonesty); (ii) participant’s attempted commission of or participation in a fraud or act of dishonesty against us; (iii) participant’s intentional, material violation of any contract or agreement with us or of any statutory duty owed to us; (iv) participant’s unauthorized use or disclosure of our confidential information or trade secrets; or (v) participant’s gross misconduct.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2007 Employee Stock Purchase Plan</w:t>
      </w:r>
    </w:p>
    <w:p>
      <w:pPr>
        <w:spacing w:after="0" w:line="12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Additional long-term equity incentives are provided through the ESPP. The ESPP is intended to qualify as an “employee stock purchase plan” within the meaning of Section 423 of the Code. Under the ESPP, all of our regular employees and employees of any of our parent or subsidiary companies designated by our Board as eligible to participate may participate and may contribute, normally through payroll deductions, up to 15% of their earnings up to a total of $15,000 per purchase period for the purchase of our ordinary shares under the ESPP. The ESPP is currently offered to our regular employees in Ireland, Canada and the U.S., including the NEOs. The ESPP is implemented through a series of offerings of purchase rights to eligible employees. Under the ESPP, we may specify offerings with a duration of not more than 27 months and may specify shorter purchase periods within each offering. Each offering will have one or more purchase dates on which our ordinary shares will be purchased for employees participating in the offering. Unless otherwise determined by our Board, ordinary shares are purchased for accounts of employees participating in the ESPP at a price per share equal to the lower of (a) 85% of the fair market value of an ordinary share on the first date of an offering or (b) 85% of the fair market value of an ordinary share on the date of purchase.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Performance Bonus Plan</w:t>
      </w:r>
    </w:p>
    <w:p>
      <w:pPr>
        <w:spacing w:after="0" w:line="122" w:lineRule="exact"/>
        <w:rPr>
          <w:sz w:val="20"/>
          <w:szCs w:val="20"/>
          <w:color w:val="auto"/>
        </w:rPr>
      </w:pPr>
    </w:p>
    <w:p>
      <w:pPr>
        <w:ind w:right="420"/>
        <w:spacing w:after="0" w:line="295" w:lineRule="auto"/>
        <w:rPr>
          <w:sz w:val="20"/>
          <w:szCs w:val="20"/>
          <w:color w:val="auto"/>
        </w:rPr>
      </w:pPr>
      <w:r>
        <w:rPr>
          <w:rFonts w:ascii="Arial" w:cs="Arial" w:eastAsia="Arial" w:hAnsi="Arial"/>
          <w:sz w:val="16"/>
          <w:szCs w:val="16"/>
          <w:color w:val="auto"/>
        </w:rPr>
        <w:t>We maintain a performance bonus plan to reward executive officers and other employees for successful achievement of company-wide performance objectives and individual contributions toward those objectives on an annual basis. More information regarding the performance bonus plan is provided above under the headings “</w:t>
      </w:r>
      <w:r>
        <w:rPr>
          <w:rFonts w:ascii="Arial" w:cs="Arial" w:eastAsia="Arial" w:hAnsi="Arial"/>
          <w:sz w:val="16"/>
          <w:szCs w:val="16"/>
          <w:i w:val="1"/>
          <w:iCs w:val="1"/>
          <w:color w:val="auto"/>
        </w:rPr>
        <w:t>Compensation Discussion and Analysis— Goals for and Achievement of 2025 Performance-Based Compensation—2025</w:t>
      </w:r>
      <w:r>
        <w:rPr>
          <w:rFonts w:ascii="Arial" w:cs="Arial" w:eastAsia="Arial" w:hAnsi="Arial"/>
          <w:sz w:val="16"/>
          <w:szCs w:val="16"/>
          <w:color w:val="auto"/>
        </w:rPr>
        <w:t xml:space="preserve"> </w:t>
      </w:r>
      <w:r>
        <w:rPr>
          <w:rFonts w:ascii="Arial" w:cs="Arial" w:eastAsia="Arial" w:hAnsi="Arial"/>
          <w:sz w:val="16"/>
          <w:szCs w:val="16"/>
          <w:i w:val="1"/>
          <w:iCs w:val="1"/>
          <w:color w:val="auto"/>
        </w:rPr>
        <w:t>Performance Bonus Program</w:t>
      </w:r>
      <w:r>
        <w:rPr>
          <w:rFonts w:ascii="Arial" w:cs="Arial" w:eastAsia="Arial" w:hAnsi="Arial"/>
          <w:sz w:val="16"/>
          <w:szCs w:val="16"/>
          <w:color w:val="auto"/>
        </w:rPr>
        <w:t>” and “</w:t>
      </w:r>
      <w:r>
        <w:rPr>
          <w:rFonts w:ascii="Arial" w:cs="Arial" w:eastAsia="Arial" w:hAnsi="Arial"/>
          <w:sz w:val="16"/>
          <w:szCs w:val="16"/>
          <w:i w:val="1"/>
          <w:iCs w:val="1"/>
          <w:color w:val="auto"/>
        </w:rPr>
        <w:t>Compensation Discussion and Analysis—2025 Compensation Decisions for Our NEOs</w:t>
      </w:r>
      <w:r>
        <w:rPr>
          <w:rFonts w:ascii="Arial" w:cs="Arial" w:eastAsia="Arial" w:hAnsi="Arial"/>
          <w:sz w:val="16"/>
          <w:szCs w:val="16"/>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401(k) Plan</w:t>
      </w:r>
    </w:p>
    <w:p>
      <w:pPr>
        <w:spacing w:after="0" w:line="12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employees based in the U.S. are eligible to participate in the 401(k) Plan. The 401(k) Plan is intended to qualify as a tax-qualified plan under Section 401 of the Code. Employee contributions are held and invested by the 401(k) Plan’s trustee. The 401(k) Plan provides that each participant may contribute a portion of his or her pre-tax compensation, up to a statutory annual limit, which was $24,500 for employees under age 50, and $32,000 for employees age 50 and over in 2025. The 401(k) Plan also permits us to make discretionary contributions and matching contributions, subject to established limits and a vesting schedule. In 2013, we began making discretionary matching contributions, which for 2025, consisted of a match of 100% of up to the first 5% of eligible compensation contributed by each employee toward his or her 401(k) plan.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Additional Benefits</w:t>
      </w:r>
    </w:p>
    <w:p>
      <w:pPr>
        <w:spacing w:after="0" w:line="171"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The NEOs are eligible to participate in our benefit plans generally available to all employees, as described in “</w:t>
      </w:r>
      <w:r>
        <w:rPr>
          <w:rFonts w:ascii="Arial" w:cs="Arial" w:eastAsia="Arial" w:hAnsi="Arial"/>
          <w:sz w:val="16"/>
          <w:szCs w:val="16"/>
          <w:i w:val="1"/>
          <w:iCs w:val="1"/>
          <w:color w:val="auto"/>
        </w:rPr>
        <w:t>Compensation Discussion and Analysis—Key</w:t>
      </w:r>
      <w:r>
        <w:rPr>
          <w:rFonts w:ascii="Arial" w:cs="Arial" w:eastAsia="Arial" w:hAnsi="Arial"/>
          <w:sz w:val="16"/>
          <w:szCs w:val="16"/>
          <w:color w:val="auto"/>
        </w:rPr>
        <w:t xml:space="preserve"> </w:t>
      </w:r>
      <w:r>
        <w:rPr>
          <w:rFonts w:ascii="Arial" w:cs="Arial" w:eastAsia="Arial" w:hAnsi="Arial"/>
          <w:sz w:val="16"/>
          <w:szCs w:val="16"/>
          <w:i w:val="1"/>
          <w:iCs w:val="1"/>
          <w:color w:val="auto"/>
        </w:rPr>
        <w:t>Components and Design of the Executive Compensation Program</w:t>
      </w:r>
      <w:r>
        <w:rPr>
          <w:rFonts w:ascii="Arial" w:cs="Arial" w:eastAsia="Arial" w:hAnsi="Arial"/>
          <w:sz w:val="16"/>
          <w:szCs w:val="16"/>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Pension Benefits</w:t>
      </w:r>
    </w:p>
    <w:p>
      <w:pPr>
        <w:spacing w:after="0" w:line="18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Other than with respect to tax-qualified defined contribution plans such as the 401(k) Plan, in the U.S., the NEOs do not participate in any plan that provides for retirement payments and benefits, or payments and benefits that will be provided primarily following retirement. For NEOs based outside the U.S., we offer pension or other retirement benefits that are consistent with local regulations and on the same basis as other employees in such jurisdictions.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Nonqualified Deferred Compensation</w:t>
      </w:r>
    </w:p>
    <w:p>
      <w:pPr>
        <w:spacing w:after="0" w:line="171" w:lineRule="exact"/>
        <w:rPr>
          <w:sz w:val="20"/>
          <w:szCs w:val="20"/>
          <w:color w:val="auto"/>
        </w:rPr>
      </w:pPr>
    </w:p>
    <w:p>
      <w:pPr>
        <w:ind w:right="460"/>
        <w:spacing w:after="0" w:line="321" w:lineRule="auto"/>
        <w:rPr>
          <w:sz w:val="20"/>
          <w:szCs w:val="20"/>
          <w:color w:val="auto"/>
        </w:rPr>
      </w:pPr>
      <w:r>
        <w:rPr>
          <w:rFonts w:ascii="Arial" w:cs="Arial" w:eastAsia="Arial" w:hAnsi="Arial"/>
          <w:sz w:val="16"/>
          <w:szCs w:val="16"/>
          <w:color w:val="auto"/>
        </w:rPr>
        <w:t>During the year ended December 31, 2025, the NEOs did not contribute to, or earn any amounts with respect to, any defined contribution or other plan sponsored by us that provides for the deferral of compensation on a basis that is not tax-qualified.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167640</wp:posOffset>
            </wp:positionV>
            <wp:extent cx="1242695" cy="2057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7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82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90" w:name="page91"/>
    <w:bookmarkEnd w:id="90"/>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Outstanding Equity Awards at Fiscal Year-End</w:t>
      </w:r>
    </w:p>
    <w:p>
      <w:pPr>
        <w:spacing w:after="0" w:line="198"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The following table sets forth, for the fiscal year ended December 31, 2025, certain information regarding outstanding equity awards held at fiscal year-end for the NEOs.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Outstanding Equity Awards at 2025 Fiscal Year-End Table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 w:type="dxa"/>
            <w:vAlign w:val="bottom"/>
          </w:tcPr>
          <w:p>
            <w:pPr>
              <w:spacing w:after="0"/>
              <w:rPr>
                <w:sz w:val="21"/>
                <w:szCs w:val="21"/>
                <w:color w:val="auto"/>
              </w:rPr>
            </w:pPr>
          </w:p>
        </w:tc>
        <w:tc>
          <w:tcPr>
            <w:tcW w:w="940" w:type="dxa"/>
            <w:vAlign w:val="bottom"/>
            <w:tcBorders>
              <w:right w:val="single" w:sz="8" w:color="001C71"/>
            </w:tcBorders>
          </w:tcPr>
          <w:p>
            <w:pPr>
              <w:spacing w:after="0"/>
              <w:rPr>
                <w:sz w:val="21"/>
                <w:szCs w:val="21"/>
                <w:color w:val="auto"/>
              </w:rPr>
            </w:pPr>
          </w:p>
        </w:tc>
        <w:tc>
          <w:tcPr>
            <w:tcW w:w="1100" w:type="dxa"/>
            <w:vAlign w:val="bottom"/>
            <w:tcBorders>
              <w:top w:val="single" w:sz="8" w:color="001C71"/>
            </w:tcBorders>
          </w:tcPr>
          <w:p>
            <w:pPr>
              <w:spacing w:after="0"/>
              <w:rPr>
                <w:sz w:val="21"/>
                <w:szCs w:val="21"/>
                <w:color w:val="auto"/>
              </w:rPr>
            </w:pPr>
          </w:p>
        </w:tc>
        <w:tc>
          <w:tcPr>
            <w:tcW w:w="1980" w:type="dxa"/>
            <w:vAlign w:val="bottom"/>
            <w:tcBorders>
              <w:top w:val="single" w:sz="8" w:color="001C71"/>
            </w:tcBorders>
            <w:gridSpan w:val="2"/>
          </w:tcPr>
          <w:p>
            <w:pPr>
              <w:jc w:val="right"/>
              <w:ind w:right="497"/>
              <w:spacing w:after="0"/>
              <w:rPr>
                <w:sz w:val="20"/>
                <w:szCs w:val="20"/>
                <w:color w:val="auto"/>
              </w:rPr>
            </w:pPr>
            <w:r>
              <w:rPr>
                <w:rFonts w:ascii="Arial" w:cs="Arial" w:eastAsia="Arial" w:hAnsi="Arial"/>
                <w:sz w:val="14"/>
                <w:szCs w:val="14"/>
                <w:b w:val="1"/>
                <w:bCs w:val="1"/>
                <w:color w:val="001C71"/>
              </w:rPr>
              <w:t>Option Awards</w:t>
            </w:r>
            <w:r>
              <w:rPr>
                <w:rFonts w:ascii="Arial" w:cs="Arial" w:eastAsia="Arial" w:hAnsi="Arial"/>
                <w:sz w:val="18"/>
                <w:szCs w:val="18"/>
                <w:b w:val="1"/>
                <w:bCs w:val="1"/>
                <w:color w:val="001C71"/>
                <w:vertAlign w:val="superscript"/>
              </w:rPr>
              <w:t>(1)</w:t>
            </w:r>
          </w:p>
        </w:tc>
        <w:tc>
          <w:tcPr>
            <w:tcW w:w="840" w:type="dxa"/>
            <w:vAlign w:val="bottom"/>
            <w:tcBorders>
              <w:top w:val="single" w:sz="8" w:color="001C71"/>
              <w:right w:val="single" w:sz="8" w:color="001C71"/>
            </w:tcBorders>
          </w:tcPr>
          <w:p>
            <w:pPr>
              <w:spacing w:after="0"/>
              <w:rPr>
                <w:sz w:val="21"/>
                <w:szCs w:val="21"/>
                <w:color w:val="auto"/>
              </w:rPr>
            </w:pPr>
          </w:p>
        </w:tc>
        <w:tc>
          <w:tcPr>
            <w:tcW w:w="100" w:type="dxa"/>
            <w:vAlign w:val="bottom"/>
            <w:tcBorders>
              <w:right w:val="single" w:sz="8" w:color="001C71"/>
            </w:tcBorders>
          </w:tcPr>
          <w:p>
            <w:pPr>
              <w:spacing w:after="0"/>
              <w:rPr>
                <w:sz w:val="21"/>
                <w:szCs w:val="21"/>
                <w:color w:val="auto"/>
              </w:rPr>
            </w:pPr>
          </w:p>
        </w:tc>
        <w:tc>
          <w:tcPr>
            <w:tcW w:w="880" w:type="dxa"/>
            <w:vAlign w:val="bottom"/>
            <w:tcBorders>
              <w:top w:val="single" w:sz="8" w:color="001C71"/>
            </w:tcBorders>
          </w:tcPr>
          <w:p>
            <w:pPr>
              <w:spacing w:after="0"/>
              <w:rPr>
                <w:sz w:val="21"/>
                <w:szCs w:val="21"/>
                <w:color w:val="auto"/>
              </w:rPr>
            </w:pPr>
          </w:p>
        </w:tc>
        <w:tc>
          <w:tcPr>
            <w:tcW w:w="300" w:type="dxa"/>
            <w:vAlign w:val="bottom"/>
            <w:tcBorders>
              <w:top w:val="single" w:sz="8" w:color="001C71"/>
            </w:tcBorders>
          </w:tcPr>
          <w:p>
            <w:pPr>
              <w:spacing w:after="0"/>
              <w:rPr>
                <w:sz w:val="21"/>
                <w:szCs w:val="21"/>
                <w:color w:val="auto"/>
              </w:rPr>
            </w:pPr>
          </w:p>
        </w:tc>
        <w:tc>
          <w:tcPr>
            <w:tcW w:w="1200" w:type="dxa"/>
            <w:vAlign w:val="bottom"/>
            <w:tcBorders>
              <w:top w:val="single" w:sz="8" w:color="001C71"/>
            </w:tcBorders>
          </w:tcPr>
          <w:p>
            <w:pPr>
              <w:spacing w:after="0"/>
              <w:rPr>
                <w:sz w:val="21"/>
                <w:szCs w:val="21"/>
                <w:color w:val="auto"/>
              </w:rPr>
            </w:pPr>
          </w:p>
        </w:tc>
        <w:tc>
          <w:tcPr>
            <w:tcW w:w="1680" w:type="dxa"/>
            <w:vAlign w:val="bottom"/>
            <w:tcBorders>
              <w:top w:val="single" w:sz="8" w:color="001C71"/>
            </w:tcBorders>
          </w:tcPr>
          <w:p>
            <w:pPr>
              <w:jc w:val="right"/>
              <w:ind w:right="417"/>
              <w:spacing w:after="0"/>
              <w:rPr>
                <w:sz w:val="20"/>
                <w:szCs w:val="20"/>
                <w:color w:val="auto"/>
              </w:rPr>
            </w:pPr>
            <w:r>
              <w:rPr>
                <w:rFonts w:ascii="Arial" w:cs="Arial" w:eastAsia="Arial" w:hAnsi="Arial"/>
                <w:sz w:val="14"/>
                <w:szCs w:val="14"/>
                <w:b w:val="1"/>
                <w:bCs w:val="1"/>
                <w:color w:val="001C71"/>
              </w:rPr>
              <w:t>Stock Awards</w:t>
            </w:r>
            <w:r>
              <w:rPr>
                <w:rFonts w:ascii="Arial" w:cs="Arial" w:eastAsia="Arial" w:hAnsi="Arial"/>
                <w:sz w:val="18"/>
                <w:szCs w:val="18"/>
                <w:b w:val="1"/>
                <w:bCs w:val="1"/>
                <w:color w:val="001C71"/>
                <w:vertAlign w:val="superscript"/>
              </w:rPr>
              <w:t>(1)</w:t>
            </w:r>
          </w:p>
        </w:tc>
        <w:tc>
          <w:tcPr>
            <w:tcW w:w="320" w:type="dxa"/>
            <w:vAlign w:val="bottom"/>
            <w:tcBorders>
              <w:top w:val="single" w:sz="8" w:color="001C71"/>
            </w:tcBorders>
          </w:tcPr>
          <w:p>
            <w:pPr>
              <w:spacing w:after="0"/>
              <w:rPr>
                <w:sz w:val="21"/>
                <w:szCs w:val="21"/>
                <w:color w:val="auto"/>
              </w:rPr>
            </w:pPr>
          </w:p>
        </w:tc>
        <w:tc>
          <w:tcPr>
            <w:tcW w:w="1840" w:type="dxa"/>
            <w:vAlign w:val="bottom"/>
            <w:tcBorders>
              <w:top w:val="single" w:sz="8" w:color="001C71"/>
              <w:right w:val="single" w:sz="8" w:color="001C71"/>
            </w:tcBorders>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80" w:type="dxa"/>
            <w:vAlign w:val="bottom"/>
            <w:shd w:val="clear" w:color="auto" w:fill="001C71"/>
          </w:tcPr>
          <w:p>
            <w:pPr>
              <w:spacing w:after="0"/>
              <w:rPr>
                <w:sz w:val="13"/>
                <w:szCs w:val="13"/>
                <w:color w:val="auto"/>
              </w:rPr>
            </w:pPr>
          </w:p>
        </w:tc>
        <w:tc>
          <w:tcPr>
            <w:tcW w:w="940" w:type="dxa"/>
            <w:vAlign w:val="bottom"/>
            <w:tcBorders>
              <w:right w:val="single" w:sz="8" w:color="001C71"/>
            </w:tcBorders>
            <w:shd w:val="clear" w:color="auto" w:fill="001C71"/>
          </w:tcPr>
          <w:p>
            <w:pPr>
              <w:spacing w:after="0"/>
              <w:rPr>
                <w:sz w:val="13"/>
                <w:szCs w:val="13"/>
                <w:color w:val="auto"/>
              </w:rPr>
            </w:pPr>
          </w:p>
        </w:tc>
        <w:tc>
          <w:tcPr>
            <w:tcW w:w="1100" w:type="dxa"/>
            <w:vAlign w:val="bottom"/>
            <w:shd w:val="clear" w:color="auto" w:fill="001C71"/>
          </w:tcPr>
          <w:p>
            <w:pPr>
              <w:spacing w:after="0"/>
              <w:rPr>
                <w:sz w:val="13"/>
                <w:szCs w:val="13"/>
                <w:color w:val="auto"/>
              </w:rPr>
            </w:pPr>
          </w:p>
        </w:tc>
        <w:tc>
          <w:tcPr>
            <w:tcW w:w="1240" w:type="dxa"/>
            <w:vAlign w:val="bottom"/>
            <w:shd w:val="clear" w:color="auto" w:fill="001C71"/>
          </w:tcPr>
          <w:p>
            <w:pPr>
              <w:spacing w:after="0"/>
              <w:rPr>
                <w:sz w:val="13"/>
                <w:szCs w:val="13"/>
                <w:color w:val="auto"/>
              </w:rPr>
            </w:pPr>
          </w:p>
        </w:tc>
        <w:tc>
          <w:tcPr>
            <w:tcW w:w="740" w:type="dxa"/>
            <w:vAlign w:val="bottom"/>
            <w:shd w:val="clear" w:color="auto" w:fill="001C71"/>
          </w:tcPr>
          <w:p>
            <w:pPr>
              <w:spacing w:after="0"/>
              <w:rPr>
                <w:sz w:val="13"/>
                <w:szCs w:val="13"/>
                <w:color w:val="auto"/>
              </w:rPr>
            </w:pPr>
          </w:p>
        </w:tc>
        <w:tc>
          <w:tcPr>
            <w:tcW w:w="840" w:type="dxa"/>
            <w:vAlign w:val="bottom"/>
            <w:tcBorders>
              <w:right w:val="single" w:sz="8" w:color="001C71"/>
            </w:tcBorders>
            <w:shd w:val="clear" w:color="auto" w:fill="001C71"/>
          </w:tcPr>
          <w:p>
            <w:pPr>
              <w:spacing w:after="0"/>
              <w:rPr>
                <w:sz w:val="13"/>
                <w:szCs w:val="13"/>
                <w:color w:val="auto"/>
              </w:rPr>
            </w:pPr>
          </w:p>
        </w:tc>
        <w:tc>
          <w:tcPr>
            <w:tcW w:w="100" w:type="dxa"/>
            <w:vAlign w:val="bottom"/>
            <w:tcBorders>
              <w:right w:val="single" w:sz="8" w:color="001C71"/>
            </w:tcBorders>
            <w:shd w:val="clear" w:color="auto" w:fill="001C71"/>
          </w:tcPr>
          <w:p>
            <w:pPr>
              <w:spacing w:after="0"/>
              <w:rPr>
                <w:sz w:val="13"/>
                <w:szCs w:val="13"/>
                <w:color w:val="auto"/>
              </w:rPr>
            </w:pPr>
          </w:p>
        </w:tc>
        <w:tc>
          <w:tcPr>
            <w:tcW w:w="880" w:type="dxa"/>
            <w:vAlign w:val="bottom"/>
            <w:shd w:val="clear" w:color="auto" w:fill="001C71"/>
          </w:tcPr>
          <w:p>
            <w:pPr>
              <w:spacing w:after="0"/>
              <w:rPr>
                <w:sz w:val="13"/>
                <w:szCs w:val="13"/>
                <w:color w:val="auto"/>
              </w:rPr>
            </w:pPr>
          </w:p>
        </w:tc>
        <w:tc>
          <w:tcPr>
            <w:tcW w:w="300" w:type="dxa"/>
            <w:vAlign w:val="bottom"/>
            <w:shd w:val="clear" w:color="auto" w:fill="001C71"/>
          </w:tcPr>
          <w:p>
            <w:pPr>
              <w:spacing w:after="0"/>
              <w:rPr>
                <w:sz w:val="13"/>
                <w:szCs w:val="13"/>
                <w:color w:val="auto"/>
              </w:rPr>
            </w:pPr>
          </w:p>
        </w:tc>
        <w:tc>
          <w:tcPr>
            <w:tcW w:w="1200" w:type="dxa"/>
            <w:vAlign w:val="bottom"/>
            <w:shd w:val="clear" w:color="auto" w:fill="001C71"/>
          </w:tcPr>
          <w:p>
            <w:pPr>
              <w:spacing w:after="0"/>
              <w:rPr>
                <w:sz w:val="13"/>
                <w:szCs w:val="13"/>
                <w:color w:val="auto"/>
              </w:rPr>
            </w:pPr>
          </w:p>
        </w:tc>
        <w:tc>
          <w:tcPr>
            <w:tcW w:w="1680" w:type="dxa"/>
            <w:vAlign w:val="bottom"/>
            <w:shd w:val="clear" w:color="auto" w:fill="001C71"/>
          </w:tcPr>
          <w:p>
            <w:pPr>
              <w:spacing w:after="0"/>
              <w:rPr>
                <w:sz w:val="13"/>
                <w:szCs w:val="13"/>
                <w:color w:val="auto"/>
              </w:rPr>
            </w:pPr>
          </w:p>
        </w:tc>
        <w:tc>
          <w:tcPr>
            <w:tcW w:w="320" w:type="dxa"/>
            <w:vAlign w:val="bottom"/>
            <w:shd w:val="clear" w:color="auto" w:fill="001C71"/>
          </w:tcPr>
          <w:p>
            <w:pPr>
              <w:spacing w:after="0"/>
              <w:rPr>
                <w:sz w:val="13"/>
                <w:szCs w:val="13"/>
                <w:color w:val="auto"/>
              </w:rPr>
            </w:pPr>
          </w:p>
        </w:tc>
        <w:tc>
          <w:tcPr>
            <w:tcW w:w="1840" w:type="dxa"/>
            <w:vAlign w:val="bottom"/>
            <w:tcBorders>
              <w:right w:val="single" w:sz="8" w:color="001C71"/>
            </w:tcBorders>
            <w:shd w:val="clear" w:color="auto" w:fill="001C71"/>
          </w:tcPr>
          <w:p>
            <w:pPr>
              <w:jc w:val="right"/>
              <w:ind w:right="77"/>
              <w:spacing w:after="0"/>
              <w:rPr>
                <w:sz w:val="20"/>
                <w:szCs w:val="20"/>
                <w:color w:val="auto"/>
              </w:rPr>
            </w:pPr>
            <w:r>
              <w:rPr>
                <w:rFonts w:ascii="Arial" w:cs="Arial" w:eastAsia="Arial" w:hAnsi="Arial"/>
                <w:sz w:val="13"/>
                <w:szCs w:val="13"/>
                <w:b w:val="1"/>
                <w:bCs w:val="1"/>
                <w:color w:val="FFFFFF"/>
              </w:rPr>
              <w:t>Equity Incentive Plan</w:t>
            </w:r>
          </w:p>
        </w:tc>
        <w:tc>
          <w:tcPr>
            <w:tcW w:w="0" w:type="dxa"/>
            <w:vAlign w:val="bottom"/>
          </w:tcPr>
          <w:p>
            <w:pPr>
              <w:spacing w:after="0"/>
              <w:rPr>
                <w:sz w:val="1"/>
                <w:szCs w:val="1"/>
                <w:color w:val="auto"/>
              </w:rPr>
            </w:pPr>
          </w:p>
        </w:tc>
      </w:tr>
      <w:tr>
        <w:trPr>
          <w:trHeight w:val="148"/>
        </w:trPr>
        <w:tc>
          <w:tcPr>
            <w:tcW w:w="80" w:type="dxa"/>
            <w:vAlign w:val="bottom"/>
            <w:shd w:val="clear" w:color="auto" w:fill="001C71"/>
          </w:tcPr>
          <w:p>
            <w:pPr>
              <w:spacing w:after="0"/>
              <w:rPr>
                <w:sz w:val="12"/>
                <w:szCs w:val="12"/>
                <w:color w:val="auto"/>
              </w:rPr>
            </w:pPr>
          </w:p>
        </w:tc>
        <w:tc>
          <w:tcPr>
            <w:tcW w:w="940" w:type="dxa"/>
            <w:vAlign w:val="bottom"/>
            <w:tcBorders>
              <w:right w:val="single" w:sz="8" w:color="001C71"/>
            </w:tcBorders>
            <w:shd w:val="clear" w:color="auto" w:fill="001C71"/>
          </w:tcPr>
          <w:p>
            <w:pPr>
              <w:spacing w:after="0"/>
              <w:rPr>
                <w:sz w:val="12"/>
                <w:szCs w:val="12"/>
                <w:color w:val="auto"/>
              </w:rPr>
            </w:pPr>
          </w:p>
        </w:tc>
        <w:tc>
          <w:tcPr>
            <w:tcW w:w="110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Number of</w:t>
            </w:r>
          </w:p>
        </w:tc>
        <w:tc>
          <w:tcPr>
            <w:tcW w:w="1240" w:type="dxa"/>
            <w:vAlign w:val="bottom"/>
            <w:shd w:val="clear" w:color="auto" w:fill="001C71"/>
          </w:tcPr>
          <w:p>
            <w:pPr>
              <w:jc w:val="right"/>
              <w:ind w:right="57"/>
              <w:spacing w:after="0"/>
              <w:rPr>
                <w:sz w:val="20"/>
                <w:szCs w:val="20"/>
                <w:color w:val="auto"/>
              </w:rPr>
            </w:pPr>
            <w:r>
              <w:rPr>
                <w:rFonts w:ascii="Arial" w:cs="Arial" w:eastAsia="Arial" w:hAnsi="Arial"/>
                <w:sz w:val="13"/>
                <w:szCs w:val="13"/>
                <w:b w:val="1"/>
                <w:bCs w:val="1"/>
                <w:color w:val="FFFFFF"/>
              </w:rPr>
              <w:t>Number of</w:t>
            </w:r>
          </w:p>
        </w:tc>
        <w:tc>
          <w:tcPr>
            <w:tcW w:w="740" w:type="dxa"/>
            <w:vAlign w:val="bottom"/>
            <w:shd w:val="clear" w:color="auto" w:fill="001C71"/>
          </w:tcPr>
          <w:p>
            <w:pPr>
              <w:spacing w:after="0"/>
              <w:rPr>
                <w:sz w:val="12"/>
                <w:szCs w:val="12"/>
                <w:color w:val="auto"/>
              </w:rPr>
            </w:pPr>
          </w:p>
        </w:tc>
        <w:tc>
          <w:tcPr>
            <w:tcW w:w="840" w:type="dxa"/>
            <w:vAlign w:val="bottom"/>
            <w:tcBorders>
              <w:right w:val="single" w:sz="8" w:color="001C71"/>
            </w:tcBorders>
            <w:shd w:val="clear" w:color="auto" w:fill="001C71"/>
          </w:tcPr>
          <w:p>
            <w:pPr>
              <w:spacing w:after="0"/>
              <w:rPr>
                <w:sz w:val="12"/>
                <w:szCs w:val="12"/>
                <w:color w:val="auto"/>
              </w:rPr>
            </w:pPr>
          </w:p>
        </w:tc>
        <w:tc>
          <w:tcPr>
            <w:tcW w:w="100" w:type="dxa"/>
            <w:vAlign w:val="bottom"/>
            <w:tcBorders>
              <w:right w:val="single" w:sz="8" w:color="001C71"/>
            </w:tcBorders>
            <w:shd w:val="clear" w:color="auto" w:fill="001C71"/>
          </w:tcPr>
          <w:p>
            <w:pPr>
              <w:spacing w:after="0"/>
              <w:rPr>
                <w:sz w:val="12"/>
                <w:szCs w:val="12"/>
                <w:color w:val="auto"/>
              </w:rPr>
            </w:pPr>
          </w:p>
        </w:tc>
        <w:tc>
          <w:tcPr>
            <w:tcW w:w="88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Number of</w:t>
            </w:r>
          </w:p>
        </w:tc>
        <w:tc>
          <w:tcPr>
            <w:tcW w:w="300" w:type="dxa"/>
            <w:vAlign w:val="bottom"/>
            <w:shd w:val="clear" w:color="auto" w:fill="001C71"/>
          </w:tcPr>
          <w:p>
            <w:pPr>
              <w:spacing w:after="0"/>
              <w:rPr>
                <w:sz w:val="12"/>
                <w:szCs w:val="12"/>
                <w:color w:val="auto"/>
              </w:rPr>
            </w:pPr>
          </w:p>
        </w:tc>
        <w:tc>
          <w:tcPr>
            <w:tcW w:w="1200" w:type="dxa"/>
            <w:vAlign w:val="bottom"/>
            <w:shd w:val="clear" w:color="auto" w:fill="001C71"/>
          </w:tcPr>
          <w:p>
            <w:pPr>
              <w:spacing w:after="0"/>
              <w:rPr>
                <w:sz w:val="12"/>
                <w:szCs w:val="12"/>
                <w:color w:val="auto"/>
              </w:rPr>
            </w:pPr>
          </w:p>
        </w:tc>
        <w:tc>
          <w:tcPr>
            <w:tcW w:w="168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Equity Incentive Plan</w:t>
            </w:r>
          </w:p>
        </w:tc>
        <w:tc>
          <w:tcPr>
            <w:tcW w:w="320" w:type="dxa"/>
            <w:vAlign w:val="bottom"/>
            <w:shd w:val="clear" w:color="auto" w:fill="001C71"/>
          </w:tcPr>
          <w:p>
            <w:pPr>
              <w:spacing w:after="0"/>
              <w:rPr>
                <w:sz w:val="12"/>
                <w:szCs w:val="12"/>
                <w:color w:val="auto"/>
              </w:rPr>
            </w:pPr>
          </w:p>
        </w:tc>
        <w:tc>
          <w:tcPr>
            <w:tcW w:w="1840" w:type="dxa"/>
            <w:vAlign w:val="bottom"/>
            <w:tcBorders>
              <w:right w:val="single" w:sz="8" w:color="001C71"/>
            </w:tcBorders>
            <w:shd w:val="clear" w:color="auto" w:fill="001C71"/>
          </w:tcPr>
          <w:p>
            <w:pPr>
              <w:jc w:val="right"/>
              <w:ind w:right="77"/>
              <w:spacing w:after="0"/>
              <w:rPr>
                <w:sz w:val="20"/>
                <w:szCs w:val="20"/>
                <w:color w:val="auto"/>
              </w:rPr>
            </w:pPr>
            <w:r>
              <w:rPr>
                <w:rFonts w:ascii="Arial" w:cs="Arial" w:eastAsia="Arial" w:hAnsi="Arial"/>
                <w:sz w:val="13"/>
                <w:szCs w:val="13"/>
                <w:b w:val="1"/>
                <w:bCs w:val="1"/>
                <w:color w:val="FFFFFF"/>
              </w:rPr>
              <w:t>Awards: Market Value or</w:t>
            </w:r>
          </w:p>
        </w:tc>
        <w:tc>
          <w:tcPr>
            <w:tcW w:w="0" w:type="dxa"/>
            <w:vAlign w:val="bottom"/>
          </w:tcPr>
          <w:p>
            <w:pPr>
              <w:spacing w:after="0"/>
              <w:rPr>
                <w:sz w:val="1"/>
                <w:szCs w:val="1"/>
                <w:color w:val="auto"/>
              </w:rPr>
            </w:pPr>
          </w:p>
        </w:tc>
      </w:tr>
      <w:tr>
        <w:trPr>
          <w:trHeight w:val="148"/>
        </w:trPr>
        <w:tc>
          <w:tcPr>
            <w:tcW w:w="80" w:type="dxa"/>
            <w:vAlign w:val="bottom"/>
            <w:shd w:val="clear" w:color="auto" w:fill="001C71"/>
          </w:tcPr>
          <w:p>
            <w:pPr>
              <w:spacing w:after="0"/>
              <w:rPr>
                <w:sz w:val="12"/>
                <w:szCs w:val="12"/>
                <w:color w:val="auto"/>
              </w:rPr>
            </w:pPr>
          </w:p>
        </w:tc>
        <w:tc>
          <w:tcPr>
            <w:tcW w:w="940" w:type="dxa"/>
            <w:vAlign w:val="bottom"/>
            <w:tcBorders>
              <w:right w:val="single" w:sz="8" w:color="001C71"/>
            </w:tcBorders>
            <w:shd w:val="clear" w:color="auto" w:fill="001C71"/>
          </w:tcPr>
          <w:p>
            <w:pPr>
              <w:spacing w:after="0"/>
              <w:rPr>
                <w:sz w:val="12"/>
                <w:szCs w:val="12"/>
                <w:color w:val="auto"/>
              </w:rPr>
            </w:pPr>
          </w:p>
        </w:tc>
        <w:tc>
          <w:tcPr>
            <w:tcW w:w="110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Securities</w:t>
            </w:r>
          </w:p>
        </w:tc>
        <w:tc>
          <w:tcPr>
            <w:tcW w:w="1240" w:type="dxa"/>
            <w:vAlign w:val="bottom"/>
            <w:shd w:val="clear" w:color="auto" w:fill="001C71"/>
          </w:tcPr>
          <w:p>
            <w:pPr>
              <w:jc w:val="right"/>
              <w:ind w:right="57"/>
              <w:spacing w:after="0"/>
              <w:rPr>
                <w:sz w:val="20"/>
                <w:szCs w:val="20"/>
                <w:color w:val="auto"/>
              </w:rPr>
            </w:pPr>
            <w:r>
              <w:rPr>
                <w:rFonts w:ascii="Arial" w:cs="Arial" w:eastAsia="Arial" w:hAnsi="Arial"/>
                <w:sz w:val="13"/>
                <w:szCs w:val="13"/>
                <w:b w:val="1"/>
                <w:bCs w:val="1"/>
                <w:color w:val="FFFFFF"/>
              </w:rPr>
              <w:t>Securities</w:t>
            </w:r>
          </w:p>
        </w:tc>
        <w:tc>
          <w:tcPr>
            <w:tcW w:w="740" w:type="dxa"/>
            <w:vAlign w:val="bottom"/>
            <w:shd w:val="clear" w:color="auto" w:fill="001C71"/>
          </w:tcPr>
          <w:p>
            <w:pPr>
              <w:spacing w:after="0"/>
              <w:rPr>
                <w:sz w:val="12"/>
                <w:szCs w:val="12"/>
                <w:color w:val="auto"/>
              </w:rPr>
            </w:pPr>
          </w:p>
        </w:tc>
        <w:tc>
          <w:tcPr>
            <w:tcW w:w="840" w:type="dxa"/>
            <w:vAlign w:val="bottom"/>
            <w:tcBorders>
              <w:right w:val="single" w:sz="8" w:color="001C71"/>
            </w:tcBorders>
            <w:shd w:val="clear" w:color="auto" w:fill="001C71"/>
          </w:tcPr>
          <w:p>
            <w:pPr>
              <w:spacing w:after="0"/>
              <w:rPr>
                <w:sz w:val="12"/>
                <w:szCs w:val="12"/>
                <w:color w:val="auto"/>
              </w:rPr>
            </w:pPr>
          </w:p>
        </w:tc>
        <w:tc>
          <w:tcPr>
            <w:tcW w:w="100" w:type="dxa"/>
            <w:vAlign w:val="bottom"/>
            <w:tcBorders>
              <w:right w:val="single" w:sz="8" w:color="001C71"/>
            </w:tcBorders>
            <w:shd w:val="clear" w:color="auto" w:fill="001C71"/>
          </w:tcPr>
          <w:p>
            <w:pPr>
              <w:spacing w:after="0"/>
              <w:rPr>
                <w:sz w:val="12"/>
                <w:szCs w:val="12"/>
                <w:color w:val="auto"/>
              </w:rPr>
            </w:pPr>
          </w:p>
        </w:tc>
        <w:tc>
          <w:tcPr>
            <w:tcW w:w="88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Shares or</w:t>
            </w:r>
          </w:p>
        </w:tc>
        <w:tc>
          <w:tcPr>
            <w:tcW w:w="300" w:type="dxa"/>
            <w:vAlign w:val="bottom"/>
            <w:shd w:val="clear" w:color="auto" w:fill="001C71"/>
          </w:tcPr>
          <w:p>
            <w:pPr>
              <w:spacing w:after="0"/>
              <w:rPr>
                <w:sz w:val="12"/>
                <w:szCs w:val="12"/>
                <w:color w:val="auto"/>
              </w:rPr>
            </w:pPr>
          </w:p>
        </w:tc>
        <w:tc>
          <w:tcPr>
            <w:tcW w:w="1200" w:type="dxa"/>
            <w:vAlign w:val="bottom"/>
            <w:shd w:val="clear" w:color="auto" w:fill="001C71"/>
          </w:tcPr>
          <w:p>
            <w:pPr>
              <w:jc w:val="right"/>
              <w:ind w:right="17"/>
              <w:spacing w:after="0"/>
              <w:rPr>
                <w:sz w:val="20"/>
                <w:szCs w:val="20"/>
                <w:color w:val="auto"/>
              </w:rPr>
            </w:pPr>
            <w:r>
              <w:rPr>
                <w:rFonts w:ascii="Arial" w:cs="Arial" w:eastAsia="Arial" w:hAnsi="Arial"/>
                <w:sz w:val="13"/>
                <w:szCs w:val="13"/>
                <w:b w:val="1"/>
                <w:bCs w:val="1"/>
                <w:color w:val="FFFFFF"/>
              </w:rPr>
              <w:t>Market Value of</w:t>
            </w:r>
          </w:p>
        </w:tc>
        <w:tc>
          <w:tcPr>
            <w:tcW w:w="168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Awards: Number of</w:t>
            </w:r>
          </w:p>
        </w:tc>
        <w:tc>
          <w:tcPr>
            <w:tcW w:w="320" w:type="dxa"/>
            <w:vAlign w:val="bottom"/>
            <w:shd w:val="clear" w:color="auto" w:fill="001C71"/>
          </w:tcPr>
          <w:p>
            <w:pPr>
              <w:spacing w:after="0"/>
              <w:rPr>
                <w:sz w:val="12"/>
                <w:szCs w:val="12"/>
                <w:color w:val="auto"/>
              </w:rPr>
            </w:pPr>
          </w:p>
        </w:tc>
        <w:tc>
          <w:tcPr>
            <w:tcW w:w="1840" w:type="dxa"/>
            <w:vAlign w:val="bottom"/>
            <w:tcBorders>
              <w:right w:val="single" w:sz="8" w:color="001C71"/>
            </w:tcBorders>
            <w:shd w:val="clear" w:color="auto" w:fill="001C71"/>
          </w:tcPr>
          <w:p>
            <w:pPr>
              <w:jc w:val="right"/>
              <w:ind w:right="77"/>
              <w:spacing w:after="0"/>
              <w:rPr>
                <w:sz w:val="20"/>
                <w:szCs w:val="20"/>
                <w:color w:val="auto"/>
              </w:rPr>
            </w:pPr>
            <w:r>
              <w:rPr>
                <w:rFonts w:ascii="Arial" w:cs="Arial" w:eastAsia="Arial" w:hAnsi="Arial"/>
                <w:sz w:val="13"/>
                <w:szCs w:val="13"/>
                <w:b w:val="1"/>
                <w:bCs w:val="1"/>
                <w:color w:val="FFFFFF"/>
              </w:rPr>
              <w:t>Payout Value of Unearned</w:t>
            </w:r>
          </w:p>
        </w:tc>
        <w:tc>
          <w:tcPr>
            <w:tcW w:w="0" w:type="dxa"/>
            <w:vAlign w:val="bottom"/>
          </w:tcPr>
          <w:p>
            <w:pPr>
              <w:spacing w:after="0"/>
              <w:rPr>
                <w:sz w:val="1"/>
                <w:szCs w:val="1"/>
                <w:color w:val="auto"/>
              </w:rPr>
            </w:pPr>
          </w:p>
        </w:tc>
      </w:tr>
      <w:tr>
        <w:trPr>
          <w:trHeight w:val="148"/>
        </w:trPr>
        <w:tc>
          <w:tcPr>
            <w:tcW w:w="80" w:type="dxa"/>
            <w:vAlign w:val="bottom"/>
            <w:shd w:val="clear" w:color="auto" w:fill="001C71"/>
          </w:tcPr>
          <w:p>
            <w:pPr>
              <w:spacing w:after="0"/>
              <w:rPr>
                <w:sz w:val="12"/>
                <w:szCs w:val="12"/>
                <w:color w:val="auto"/>
              </w:rPr>
            </w:pPr>
          </w:p>
        </w:tc>
        <w:tc>
          <w:tcPr>
            <w:tcW w:w="940" w:type="dxa"/>
            <w:vAlign w:val="bottom"/>
            <w:tcBorders>
              <w:right w:val="single" w:sz="8" w:color="001C71"/>
            </w:tcBorders>
            <w:shd w:val="clear" w:color="auto" w:fill="001C71"/>
          </w:tcPr>
          <w:p>
            <w:pPr>
              <w:spacing w:after="0"/>
              <w:rPr>
                <w:sz w:val="12"/>
                <w:szCs w:val="12"/>
                <w:color w:val="auto"/>
              </w:rPr>
            </w:pPr>
          </w:p>
        </w:tc>
        <w:tc>
          <w:tcPr>
            <w:tcW w:w="110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Underlying</w:t>
            </w:r>
          </w:p>
        </w:tc>
        <w:tc>
          <w:tcPr>
            <w:tcW w:w="1240" w:type="dxa"/>
            <w:vAlign w:val="bottom"/>
            <w:shd w:val="clear" w:color="auto" w:fill="001C71"/>
          </w:tcPr>
          <w:p>
            <w:pPr>
              <w:jc w:val="right"/>
              <w:ind w:right="57"/>
              <w:spacing w:after="0"/>
              <w:rPr>
                <w:sz w:val="20"/>
                <w:szCs w:val="20"/>
                <w:color w:val="auto"/>
              </w:rPr>
            </w:pPr>
            <w:r>
              <w:rPr>
                <w:rFonts w:ascii="Arial" w:cs="Arial" w:eastAsia="Arial" w:hAnsi="Arial"/>
                <w:sz w:val="13"/>
                <w:szCs w:val="13"/>
                <w:b w:val="1"/>
                <w:bCs w:val="1"/>
                <w:color w:val="FFFFFF"/>
              </w:rPr>
              <w:t>Underlying</w:t>
            </w:r>
          </w:p>
        </w:tc>
        <w:tc>
          <w:tcPr>
            <w:tcW w:w="740" w:type="dxa"/>
            <w:vAlign w:val="bottom"/>
            <w:shd w:val="clear" w:color="auto" w:fill="001C71"/>
          </w:tcPr>
          <w:p>
            <w:pPr>
              <w:jc w:val="right"/>
              <w:ind w:right="17"/>
              <w:spacing w:after="0"/>
              <w:rPr>
                <w:sz w:val="20"/>
                <w:szCs w:val="20"/>
                <w:color w:val="auto"/>
              </w:rPr>
            </w:pPr>
            <w:r>
              <w:rPr>
                <w:rFonts w:ascii="Arial" w:cs="Arial" w:eastAsia="Arial" w:hAnsi="Arial"/>
                <w:sz w:val="13"/>
                <w:szCs w:val="13"/>
                <w:b w:val="1"/>
                <w:bCs w:val="1"/>
                <w:color w:val="FFFFFF"/>
              </w:rPr>
              <w:t>Option</w:t>
            </w:r>
          </w:p>
        </w:tc>
        <w:tc>
          <w:tcPr>
            <w:tcW w:w="840" w:type="dxa"/>
            <w:vAlign w:val="bottom"/>
            <w:tcBorders>
              <w:right w:val="single" w:sz="8" w:color="001C71"/>
            </w:tcBorders>
            <w:shd w:val="clear" w:color="auto" w:fill="001C71"/>
          </w:tcPr>
          <w:p>
            <w:pPr>
              <w:spacing w:after="0"/>
              <w:rPr>
                <w:sz w:val="12"/>
                <w:szCs w:val="12"/>
                <w:color w:val="auto"/>
              </w:rPr>
            </w:pPr>
          </w:p>
        </w:tc>
        <w:tc>
          <w:tcPr>
            <w:tcW w:w="100" w:type="dxa"/>
            <w:vAlign w:val="bottom"/>
            <w:tcBorders>
              <w:right w:val="single" w:sz="8" w:color="001C71"/>
            </w:tcBorders>
            <w:shd w:val="clear" w:color="auto" w:fill="001C71"/>
          </w:tcPr>
          <w:p>
            <w:pPr>
              <w:spacing w:after="0"/>
              <w:rPr>
                <w:sz w:val="12"/>
                <w:szCs w:val="12"/>
                <w:color w:val="auto"/>
              </w:rPr>
            </w:pPr>
          </w:p>
        </w:tc>
        <w:tc>
          <w:tcPr>
            <w:tcW w:w="88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w w:val="96"/>
              </w:rPr>
              <w:t>Units of Stock</w:t>
            </w:r>
          </w:p>
        </w:tc>
        <w:tc>
          <w:tcPr>
            <w:tcW w:w="300" w:type="dxa"/>
            <w:vAlign w:val="bottom"/>
            <w:shd w:val="clear" w:color="auto" w:fill="001C71"/>
          </w:tcPr>
          <w:p>
            <w:pPr>
              <w:spacing w:after="0"/>
              <w:rPr>
                <w:sz w:val="12"/>
                <w:szCs w:val="12"/>
                <w:color w:val="auto"/>
              </w:rPr>
            </w:pPr>
          </w:p>
        </w:tc>
        <w:tc>
          <w:tcPr>
            <w:tcW w:w="1200" w:type="dxa"/>
            <w:vAlign w:val="bottom"/>
            <w:shd w:val="clear" w:color="auto" w:fill="001C71"/>
          </w:tcPr>
          <w:p>
            <w:pPr>
              <w:jc w:val="right"/>
              <w:ind w:right="17"/>
              <w:spacing w:after="0"/>
              <w:rPr>
                <w:sz w:val="20"/>
                <w:szCs w:val="20"/>
                <w:color w:val="auto"/>
              </w:rPr>
            </w:pPr>
            <w:r>
              <w:rPr>
                <w:rFonts w:ascii="Arial" w:cs="Arial" w:eastAsia="Arial" w:hAnsi="Arial"/>
                <w:sz w:val="13"/>
                <w:szCs w:val="13"/>
                <w:b w:val="1"/>
                <w:bCs w:val="1"/>
                <w:color w:val="FFFFFF"/>
              </w:rPr>
              <w:t>Shares or Units</w:t>
            </w:r>
          </w:p>
        </w:tc>
        <w:tc>
          <w:tcPr>
            <w:tcW w:w="168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Unearned Shares, Units or</w:t>
            </w:r>
          </w:p>
        </w:tc>
        <w:tc>
          <w:tcPr>
            <w:tcW w:w="320" w:type="dxa"/>
            <w:vAlign w:val="bottom"/>
            <w:shd w:val="clear" w:color="auto" w:fill="001C71"/>
          </w:tcPr>
          <w:p>
            <w:pPr>
              <w:spacing w:after="0"/>
              <w:rPr>
                <w:sz w:val="12"/>
                <w:szCs w:val="12"/>
                <w:color w:val="auto"/>
              </w:rPr>
            </w:pPr>
          </w:p>
        </w:tc>
        <w:tc>
          <w:tcPr>
            <w:tcW w:w="1840" w:type="dxa"/>
            <w:vAlign w:val="bottom"/>
            <w:tcBorders>
              <w:right w:val="single" w:sz="8" w:color="001C71"/>
            </w:tcBorders>
            <w:shd w:val="clear" w:color="auto" w:fill="001C71"/>
          </w:tcPr>
          <w:p>
            <w:pPr>
              <w:jc w:val="right"/>
              <w:ind w:right="77"/>
              <w:spacing w:after="0"/>
              <w:rPr>
                <w:sz w:val="20"/>
                <w:szCs w:val="20"/>
                <w:color w:val="auto"/>
              </w:rPr>
            </w:pPr>
            <w:r>
              <w:rPr>
                <w:rFonts w:ascii="Arial" w:cs="Arial" w:eastAsia="Arial" w:hAnsi="Arial"/>
                <w:sz w:val="13"/>
                <w:szCs w:val="13"/>
                <w:b w:val="1"/>
                <w:bCs w:val="1"/>
                <w:color w:val="FFFFFF"/>
              </w:rPr>
              <w:t>Shares, Units or Other</w:t>
            </w:r>
          </w:p>
        </w:tc>
        <w:tc>
          <w:tcPr>
            <w:tcW w:w="0" w:type="dxa"/>
            <w:vAlign w:val="bottom"/>
          </w:tcPr>
          <w:p>
            <w:pPr>
              <w:spacing w:after="0"/>
              <w:rPr>
                <w:sz w:val="1"/>
                <w:szCs w:val="1"/>
                <w:color w:val="auto"/>
              </w:rPr>
            </w:pPr>
          </w:p>
        </w:tc>
      </w:tr>
      <w:tr>
        <w:trPr>
          <w:trHeight w:val="149"/>
        </w:trPr>
        <w:tc>
          <w:tcPr>
            <w:tcW w:w="80" w:type="dxa"/>
            <w:vAlign w:val="bottom"/>
            <w:shd w:val="clear" w:color="auto" w:fill="001C71"/>
          </w:tcPr>
          <w:p>
            <w:pPr>
              <w:spacing w:after="0"/>
              <w:rPr>
                <w:sz w:val="12"/>
                <w:szCs w:val="12"/>
                <w:color w:val="auto"/>
              </w:rPr>
            </w:pPr>
          </w:p>
        </w:tc>
        <w:tc>
          <w:tcPr>
            <w:tcW w:w="940" w:type="dxa"/>
            <w:vAlign w:val="bottom"/>
            <w:tcBorders>
              <w:right w:val="single" w:sz="8" w:color="001C71"/>
            </w:tcBorders>
            <w:shd w:val="clear" w:color="auto" w:fill="001C71"/>
          </w:tcPr>
          <w:p>
            <w:pPr>
              <w:spacing w:after="0"/>
              <w:rPr>
                <w:sz w:val="12"/>
                <w:szCs w:val="12"/>
                <w:color w:val="auto"/>
              </w:rPr>
            </w:pPr>
          </w:p>
        </w:tc>
        <w:tc>
          <w:tcPr>
            <w:tcW w:w="110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Unexercised</w:t>
            </w:r>
          </w:p>
        </w:tc>
        <w:tc>
          <w:tcPr>
            <w:tcW w:w="1240" w:type="dxa"/>
            <w:vAlign w:val="bottom"/>
            <w:shd w:val="clear" w:color="auto" w:fill="001C71"/>
          </w:tcPr>
          <w:p>
            <w:pPr>
              <w:jc w:val="right"/>
              <w:ind w:right="57"/>
              <w:spacing w:after="0"/>
              <w:rPr>
                <w:sz w:val="20"/>
                <w:szCs w:val="20"/>
                <w:color w:val="auto"/>
              </w:rPr>
            </w:pPr>
            <w:r>
              <w:rPr>
                <w:rFonts w:ascii="Arial" w:cs="Arial" w:eastAsia="Arial" w:hAnsi="Arial"/>
                <w:sz w:val="13"/>
                <w:szCs w:val="13"/>
                <w:b w:val="1"/>
                <w:bCs w:val="1"/>
                <w:color w:val="FFFFFF"/>
              </w:rPr>
              <w:t>Unexercised</w:t>
            </w:r>
          </w:p>
        </w:tc>
        <w:tc>
          <w:tcPr>
            <w:tcW w:w="740" w:type="dxa"/>
            <w:vAlign w:val="bottom"/>
            <w:shd w:val="clear" w:color="auto" w:fill="001C71"/>
          </w:tcPr>
          <w:p>
            <w:pPr>
              <w:jc w:val="right"/>
              <w:ind w:right="17"/>
              <w:spacing w:after="0"/>
              <w:rPr>
                <w:sz w:val="20"/>
                <w:szCs w:val="20"/>
                <w:color w:val="auto"/>
              </w:rPr>
            </w:pPr>
            <w:r>
              <w:rPr>
                <w:rFonts w:ascii="Arial" w:cs="Arial" w:eastAsia="Arial" w:hAnsi="Arial"/>
                <w:sz w:val="13"/>
                <w:szCs w:val="13"/>
                <w:b w:val="1"/>
                <w:bCs w:val="1"/>
                <w:color w:val="FFFFFF"/>
              </w:rPr>
              <w:t>Exercise</w:t>
            </w:r>
          </w:p>
        </w:tc>
        <w:tc>
          <w:tcPr>
            <w:tcW w:w="940" w:type="dxa"/>
            <w:vAlign w:val="bottom"/>
            <w:tcBorders>
              <w:right w:val="single" w:sz="8" w:color="001C71"/>
            </w:tcBorders>
            <w:gridSpan w:val="2"/>
            <w:shd w:val="clear" w:color="auto" w:fill="001C71"/>
          </w:tcPr>
          <w:p>
            <w:pPr>
              <w:jc w:val="center"/>
              <w:ind w:right="180"/>
              <w:spacing w:after="0"/>
              <w:rPr>
                <w:sz w:val="20"/>
                <w:szCs w:val="20"/>
                <w:color w:val="auto"/>
              </w:rPr>
            </w:pPr>
            <w:r>
              <w:rPr>
                <w:rFonts w:ascii="Arial" w:cs="Arial" w:eastAsia="Arial" w:hAnsi="Arial"/>
                <w:sz w:val="13"/>
                <w:szCs w:val="13"/>
                <w:b w:val="1"/>
                <w:bCs w:val="1"/>
                <w:color w:val="FFFFFF"/>
                <w:w w:val="95"/>
              </w:rPr>
              <w:t>Option</w:t>
            </w:r>
          </w:p>
        </w:tc>
        <w:tc>
          <w:tcPr>
            <w:tcW w:w="88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w w:val="96"/>
              </w:rPr>
              <w:t>That Have Not</w:t>
            </w:r>
          </w:p>
        </w:tc>
        <w:tc>
          <w:tcPr>
            <w:tcW w:w="300" w:type="dxa"/>
            <w:vAlign w:val="bottom"/>
            <w:shd w:val="clear" w:color="auto" w:fill="001C71"/>
          </w:tcPr>
          <w:p>
            <w:pPr>
              <w:spacing w:after="0"/>
              <w:rPr>
                <w:sz w:val="12"/>
                <w:szCs w:val="12"/>
                <w:color w:val="auto"/>
              </w:rPr>
            </w:pPr>
          </w:p>
        </w:tc>
        <w:tc>
          <w:tcPr>
            <w:tcW w:w="1200" w:type="dxa"/>
            <w:vAlign w:val="bottom"/>
            <w:shd w:val="clear" w:color="auto" w:fill="001C71"/>
          </w:tcPr>
          <w:p>
            <w:pPr>
              <w:jc w:val="right"/>
              <w:ind w:right="17"/>
              <w:spacing w:after="0"/>
              <w:rPr>
                <w:sz w:val="20"/>
                <w:szCs w:val="20"/>
                <w:color w:val="auto"/>
              </w:rPr>
            </w:pPr>
            <w:r>
              <w:rPr>
                <w:rFonts w:ascii="Arial" w:cs="Arial" w:eastAsia="Arial" w:hAnsi="Arial"/>
                <w:sz w:val="13"/>
                <w:szCs w:val="13"/>
                <w:b w:val="1"/>
                <w:bCs w:val="1"/>
                <w:color w:val="FFFFFF"/>
              </w:rPr>
              <w:t>of Stock That</w:t>
            </w:r>
          </w:p>
        </w:tc>
        <w:tc>
          <w:tcPr>
            <w:tcW w:w="168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Other Rights That Have</w:t>
            </w:r>
          </w:p>
        </w:tc>
        <w:tc>
          <w:tcPr>
            <w:tcW w:w="320" w:type="dxa"/>
            <w:vAlign w:val="bottom"/>
            <w:shd w:val="clear" w:color="auto" w:fill="001C71"/>
          </w:tcPr>
          <w:p>
            <w:pPr>
              <w:spacing w:after="0"/>
              <w:rPr>
                <w:sz w:val="12"/>
                <w:szCs w:val="12"/>
                <w:color w:val="auto"/>
              </w:rPr>
            </w:pPr>
          </w:p>
        </w:tc>
        <w:tc>
          <w:tcPr>
            <w:tcW w:w="1840" w:type="dxa"/>
            <w:vAlign w:val="bottom"/>
            <w:tcBorders>
              <w:right w:val="single" w:sz="8" w:color="001C71"/>
            </w:tcBorders>
            <w:shd w:val="clear" w:color="auto" w:fill="001C71"/>
          </w:tcPr>
          <w:p>
            <w:pPr>
              <w:jc w:val="right"/>
              <w:ind w:right="77"/>
              <w:spacing w:after="0"/>
              <w:rPr>
                <w:sz w:val="20"/>
                <w:szCs w:val="20"/>
                <w:color w:val="auto"/>
              </w:rPr>
            </w:pPr>
            <w:r>
              <w:rPr>
                <w:rFonts w:ascii="Arial" w:cs="Arial" w:eastAsia="Arial" w:hAnsi="Arial"/>
                <w:sz w:val="13"/>
                <w:szCs w:val="13"/>
                <w:b w:val="1"/>
                <w:bCs w:val="1"/>
                <w:color w:val="FFFFFF"/>
              </w:rPr>
              <w:t>Rights That Have Not</w:t>
            </w:r>
          </w:p>
        </w:tc>
        <w:tc>
          <w:tcPr>
            <w:tcW w:w="0" w:type="dxa"/>
            <w:vAlign w:val="bottom"/>
          </w:tcPr>
          <w:p>
            <w:pPr>
              <w:spacing w:after="0"/>
              <w:rPr>
                <w:sz w:val="1"/>
                <w:szCs w:val="1"/>
                <w:color w:val="auto"/>
              </w:rPr>
            </w:pPr>
          </w:p>
        </w:tc>
      </w:tr>
      <w:tr>
        <w:trPr>
          <w:trHeight w:val="148"/>
        </w:trPr>
        <w:tc>
          <w:tcPr>
            <w:tcW w:w="80" w:type="dxa"/>
            <w:vAlign w:val="bottom"/>
            <w:shd w:val="clear" w:color="auto" w:fill="001C71"/>
          </w:tcPr>
          <w:p>
            <w:pPr>
              <w:spacing w:after="0"/>
              <w:rPr>
                <w:sz w:val="12"/>
                <w:szCs w:val="12"/>
                <w:color w:val="auto"/>
              </w:rPr>
            </w:pPr>
          </w:p>
        </w:tc>
        <w:tc>
          <w:tcPr>
            <w:tcW w:w="940" w:type="dxa"/>
            <w:vAlign w:val="bottom"/>
            <w:tcBorders>
              <w:right w:val="single" w:sz="8" w:color="001C71"/>
            </w:tcBorders>
            <w:shd w:val="clear" w:color="auto" w:fill="001C71"/>
          </w:tcPr>
          <w:p>
            <w:pPr>
              <w:spacing w:after="0"/>
              <w:rPr>
                <w:sz w:val="12"/>
                <w:szCs w:val="12"/>
                <w:color w:val="auto"/>
              </w:rPr>
            </w:pPr>
          </w:p>
        </w:tc>
        <w:tc>
          <w:tcPr>
            <w:tcW w:w="110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Options</w:t>
            </w:r>
          </w:p>
        </w:tc>
        <w:tc>
          <w:tcPr>
            <w:tcW w:w="1240" w:type="dxa"/>
            <w:vAlign w:val="bottom"/>
            <w:shd w:val="clear" w:color="auto" w:fill="001C71"/>
          </w:tcPr>
          <w:p>
            <w:pPr>
              <w:jc w:val="right"/>
              <w:ind w:right="57"/>
              <w:spacing w:after="0"/>
              <w:rPr>
                <w:sz w:val="20"/>
                <w:szCs w:val="20"/>
                <w:color w:val="auto"/>
              </w:rPr>
            </w:pPr>
            <w:r>
              <w:rPr>
                <w:rFonts w:ascii="Arial" w:cs="Arial" w:eastAsia="Arial" w:hAnsi="Arial"/>
                <w:sz w:val="13"/>
                <w:szCs w:val="13"/>
                <w:b w:val="1"/>
                <w:bCs w:val="1"/>
                <w:color w:val="FFFFFF"/>
              </w:rPr>
              <w:t>Options</w:t>
            </w:r>
          </w:p>
        </w:tc>
        <w:tc>
          <w:tcPr>
            <w:tcW w:w="740" w:type="dxa"/>
            <w:vAlign w:val="bottom"/>
            <w:shd w:val="clear" w:color="auto" w:fill="001C71"/>
          </w:tcPr>
          <w:p>
            <w:pPr>
              <w:jc w:val="right"/>
              <w:ind w:right="57"/>
              <w:spacing w:after="0"/>
              <w:rPr>
                <w:sz w:val="20"/>
                <w:szCs w:val="20"/>
                <w:color w:val="auto"/>
              </w:rPr>
            </w:pPr>
            <w:r>
              <w:rPr>
                <w:rFonts w:ascii="Arial" w:cs="Arial" w:eastAsia="Arial" w:hAnsi="Arial"/>
                <w:sz w:val="13"/>
                <w:szCs w:val="13"/>
                <w:b w:val="1"/>
                <w:bCs w:val="1"/>
                <w:color w:val="FFFFFF"/>
              </w:rPr>
              <w:t>Price</w:t>
            </w:r>
          </w:p>
        </w:tc>
        <w:tc>
          <w:tcPr>
            <w:tcW w:w="940" w:type="dxa"/>
            <w:vAlign w:val="bottom"/>
            <w:tcBorders>
              <w:right w:val="single" w:sz="8" w:color="001C71"/>
            </w:tcBorders>
            <w:gridSpan w:val="2"/>
            <w:shd w:val="clear" w:color="auto" w:fill="001C71"/>
          </w:tcPr>
          <w:p>
            <w:pPr>
              <w:jc w:val="center"/>
              <w:ind w:right="200"/>
              <w:spacing w:after="0"/>
              <w:rPr>
                <w:sz w:val="20"/>
                <w:szCs w:val="20"/>
                <w:color w:val="auto"/>
              </w:rPr>
            </w:pPr>
            <w:r>
              <w:rPr>
                <w:rFonts w:ascii="Arial" w:cs="Arial" w:eastAsia="Arial" w:hAnsi="Arial"/>
                <w:sz w:val="13"/>
                <w:szCs w:val="13"/>
                <w:b w:val="1"/>
                <w:bCs w:val="1"/>
                <w:color w:val="FFFFFF"/>
                <w:w w:val="97"/>
              </w:rPr>
              <w:t>Expiration</w:t>
            </w:r>
          </w:p>
        </w:tc>
        <w:tc>
          <w:tcPr>
            <w:tcW w:w="88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Vested</w:t>
            </w:r>
          </w:p>
        </w:tc>
        <w:tc>
          <w:tcPr>
            <w:tcW w:w="300" w:type="dxa"/>
            <w:vAlign w:val="bottom"/>
            <w:shd w:val="clear" w:color="auto" w:fill="001C71"/>
          </w:tcPr>
          <w:p>
            <w:pPr>
              <w:spacing w:after="0"/>
              <w:rPr>
                <w:sz w:val="12"/>
                <w:szCs w:val="12"/>
                <w:color w:val="auto"/>
              </w:rPr>
            </w:pPr>
          </w:p>
        </w:tc>
        <w:tc>
          <w:tcPr>
            <w:tcW w:w="1200" w:type="dxa"/>
            <w:vAlign w:val="bottom"/>
            <w:shd w:val="clear" w:color="auto" w:fill="001C71"/>
          </w:tcPr>
          <w:p>
            <w:pPr>
              <w:jc w:val="right"/>
              <w:ind w:right="17"/>
              <w:spacing w:after="0"/>
              <w:rPr>
                <w:sz w:val="20"/>
                <w:szCs w:val="20"/>
                <w:color w:val="auto"/>
              </w:rPr>
            </w:pPr>
            <w:r>
              <w:rPr>
                <w:rFonts w:ascii="Arial" w:cs="Arial" w:eastAsia="Arial" w:hAnsi="Arial"/>
                <w:sz w:val="13"/>
                <w:szCs w:val="13"/>
                <w:b w:val="1"/>
                <w:bCs w:val="1"/>
                <w:color w:val="FFFFFF"/>
              </w:rPr>
              <w:t>Have Not Vested</w:t>
            </w:r>
          </w:p>
        </w:tc>
        <w:tc>
          <w:tcPr>
            <w:tcW w:w="1680" w:type="dxa"/>
            <w:vAlign w:val="bottom"/>
            <w:shd w:val="clear" w:color="auto" w:fill="001C71"/>
          </w:tcPr>
          <w:p>
            <w:pPr>
              <w:jc w:val="right"/>
              <w:spacing w:after="0"/>
              <w:rPr>
                <w:sz w:val="20"/>
                <w:szCs w:val="20"/>
                <w:color w:val="auto"/>
              </w:rPr>
            </w:pPr>
            <w:r>
              <w:rPr>
                <w:rFonts w:ascii="Arial" w:cs="Arial" w:eastAsia="Arial" w:hAnsi="Arial"/>
                <w:sz w:val="13"/>
                <w:szCs w:val="13"/>
                <w:b w:val="1"/>
                <w:bCs w:val="1"/>
                <w:color w:val="FFFFFF"/>
              </w:rPr>
              <w:t>Not Vested</w:t>
            </w:r>
          </w:p>
        </w:tc>
        <w:tc>
          <w:tcPr>
            <w:tcW w:w="320" w:type="dxa"/>
            <w:vAlign w:val="bottom"/>
            <w:shd w:val="clear" w:color="auto" w:fill="001C71"/>
          </w:tcPr>
          <w:p>
            <w:pPr>
              <w:spacing w:after="0"/>
              <w:rPr>
                <w:sz w:val="12"/>
                <w:szCs w:val="12"/>
                <w:color w:val="auto"/>
              </w:rPr>
            </w:pPr>
          </w:p>
        </w:tc>
        <w:tc>
          <w:tcPr>
            <w:tcW w:w="1840" w:type="dxa"/>
            <w:vAlign w:val="bottom"/>
            <w:tcBorders>
              <w:right w:val="single" w:sz="8" w:color="001C71"/>
            </w:tcBorders>
            <w:shd w:val="clear" w:color="auto" w:fill="001C71"/>
          </w:tcPr>
          <w:p>
            <w:pPr>
              <w:jc w:val="right"/>
              <w:ind w:right="77"/>
              <w:spacing w:after="0"/>
              <w:rPr>
                <w:sz w:val="20"/>
                <w:szCs w:val="20"/>
                <w:color w:val="auto"/>
              </w:rPr>
            </w:pPr>
            <w:r>
              <w:rPr>
                <w:rFonts w:ascii="Arial" w:cs="Arial" w:eastAsia="Arial" w:hAnsi="Arial"/>
                <w:sz w:val="13"/>
                <w:szCs w:val="13"/>
                <w:b w:val="1"/>
                <w:bCs w:val="1"/>
                <w:color w:val="FFFFFF"/>
              </w:rPr>
              <w:t>Vested</w:t>
            </w:r>
          </w:p>
        </w:tc>
        <w:tc>
          <w:tcPr>
            <w:tcW w:w="0" w:type="dxa"/>
            <w:vAlign w:val="bottom"/>
          </w:tcPr>
          <w:p>
            <w:pPr>
              <w:spacing w:after="0"/>
              <w:rPr>
                <w:sz w:val="1"/>
                <w:szCs w:val="1"/>
                <w:color w:val="auto"/>
              </w:rPr>
            </w:pPr>
          </w:p>
        </w:tc>
      </w:tr>
      <w:tr>
        <w:trPr>
          <w:trHeight w:val="241"/>
        </w:trPr>
        <w:tc>
          <w:tcPr>
            <w:tcW w:w="80" w:type="dxa"/>
            <w:vAlign w:val="bottom"/>
            <w:tcBorders>
              <w:bottom w:val="single" w:sz="8" w:color="001C71"/>
            </w:tcBorders>
            <w:shd w:val="clear" w:color="auto" w:fill="001C71"/>
          </w:tcPr>
          <w:p>
            <w:pPr>
              <w:spacing w:after="0"/>
              <w:rPr>
                <w:sz w:val="20"/>
                <w:szCs w:val="20"/>
                <w:color w:val="auto"/>
              </w:rPr>
            </w:pPr>
          </w:p>
        </w:tc>
        <w:tc>
          <w:tcPr>
            <w:tcW w:w="940" w:type="dxa"/>
            <w:vAlign w:val="bottom"/>
            <w:tcBorders>
              <w:bottom w:val="single" w:sz="8" w:color="001C71"/>
              <w:right w:val="single" w:sz="8" w:color="001C71"/>
            </w:tcBorders>
            <w:shd w:val="clear" w:color="auto" w:fill="001C71"/>
          </w:tcPr>
          <w:p>
            <w:pPr>
              <w:ind w:left="20"/>
              <w:spacing w:after="0"/>
              <w:rPr>
                <w:sz w:val="20"/>
                <w:szCs w:val="20"/>
                <w:color w:val="auto"/>
              </w:rPr>
            </w:pPr>
            <w:r>
              <w:rPr>
                <w:rFonts w:ascii="Arial" w:cs="Arial" w:eastAsia="Arial" w:hAnsi="Arial"/>
                <w:sz w:val="13"/>
                <w:szCs w:val="13"/>
                <w:b w:val="1"/>
                <w:bCs w:val="1"/>
                <w:color w:val="FFFFFF"/>
              </w:rPr>
              <w:t>Name</w:t>
            </w:r>
          </w:p>
        </w:tc>
        <w:tc>
          <w:tcPr>
            <w:tcW w:w="110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3"/>
                <w:szCs w:val="13"/>
                <w:b w:val="1"/>
                <w:bCs w:val="1"/>
                <w:color w:val="FFFFFF"/>
              </w:rPr>
              <w:t>(#) Exercisable</w:t>
            </w:r>
          </w:p>
        </w:tc>
        <w:tc>
          <w:tcPr>
            <w:tcW w:w="1240" w:type="dxa"/>
            <w:vAlign w:val="bottom"/>
            <w:tcBorders>
              <w:bottom w:val="single" w:sz="8" w:color="001C71"/>
            </w:tcBorders>
            <w:shd w:val="clear" w:color="auto" w:fill="001C71"/>
          </w:tcPr>
          <w:p>
            <w:pPr>
              <w:jc w:val="right"/>
              <w:ind w:right="57"/>
              <w:spacing w:after="0"/>
              <w:rPr>
                <w:sz w:val="20"/>
                <w:szCs w:val="20"/>
                <w:color w:val="auto"/>
              </w:rPr>
            </w:pPr>
            <w:r>
              <w:rPr>
                <w:rFonts w:ascii="Arial" w:cs="Arial" w:eastAsia="Arial" w:hAnsi="Arial"/>
                <w:sz w:val="13"/>
                <w:szCs w:val="13"/>
                <w:b w:val="1"/>
                <w:bCs w:val="1"/>
                <w:color w:val="FFFFFF"/>
              </w:rPr>
              <w:t>(#) Unexercisable</w:t>
            </w:r>
          </w:p>
        </w:tc>
        <w:tc>
          <w:tcPr>
            <w:tcW w:w="740" w:type="dxa"/>
            <w:vAlign w:val="bottom"/>
            <w:tcBorders>
              <w:bottom w:val="single" w:sz="8" w:color="001C71"/>
            </w:tcBorders>
            <w:shd w:val="clear" w:color="auto" w:fill="001C71"/>
          </w:tcPr>
          <w:p>
            <w:pPr>
              <w:jc w:val="right"/>
              <w:ind w:right="17"/>
              <w:spacing w:after="0"/>
              <w:rPr>
                <w:sz w:val="20"/>
                <w:szCs w:val="20"/>
                <w:color w:val="auto"/>
              </w:rPr>
            </w:pPr>
            <w:r>
              <w:rPr>
                <w:rFonts w:ascii="Arial" w:cs="Arial" w:eastAsia="Arial" w:hAnsi="Arial"/>
                <w:sz w:val="13"/>
                <w:szCs w:val="13"/>
                <w:b w:val="1"/>
                <w:bCs w:val="1"/>
                <w:color w:val="FFFFFF"/>
              </w:rPr>
              <w:t>($)</w:t>
            </w:r>
          </w:p>
        </w:tc>
        <w:tc>
          <w:tcPr>
            <w:tcW w:w="940" w:type="dxa"/>
            <w:vAlign w:val="bottom"/>
            <w:tcBorders>
              <w:bottom w:val="single" w:sz="8" w:color="001C71"/>
              <w:right w:val="single" w:sz="8" w:color="001C71"/>
            </w:tcBorders>
            <w:gridSpan w:val="2"/>
            <w:shd w:val="clear" w:color="auto" w:fill="001C71"/>
          </w:tcPr>
          <w:p>
            <w:pPr>
              <w:jc w:val="center"/>
              <w:ind w:right="180"/>
              <w:spacing w:after="0"/>
              <w:rPr>
                <w:sz w:val="20"/>
                <w:szCs w:val="20"/>
                <w:color w:val="auto"/>
              </w:rPr>
            </w:pPr>
            <w:r>
              <w:rPr>
                <w:rFonts w:ascii="Arial" w:cs="Arial" w:eastAsia="Arial" w:hAnsi="Arial"/>
                <w:sz w:val="13"/>
                <w:szCs w:val="13"/>
                <w:b w:val="1"/>
                <w:bCs w:val="1"/>
                <w:color w:val="FFFFFF"/>
                <w:w w:val="87"/>
              </w:rPr>
              <w:t>Date</w:t>
            </w:r>
            <w:r>
              <w:rPr>
                <w:rFonts w:ascii="Arial" w:cs="Arial" w:eastAsia="Arial" w:hAnsi="Arial"/>
                <w:sz w:val="16"/>
                <w:szCs w:val="16"/>
                <w:b w:val="1"/>
                <w:bCs w:val="1"/>
                <w:color w:val="FFFFFF"/>
                <w:w w:val="87"/>
                <w:vertAlign w:val="superscript"/>
              </w:rPr>
              <w:t>(2)</w:t>
            </w:r>
          </w:p>
        </w:tc>
        <w:tc>
          <w:tcPr>
            <w:tcW w:w="88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3"/>
                <w:szCs w:val="13"/>
                <w:b w:val="1"/>
                <w:bCs w:val="1"/>
                <w:color w:val="FFFFFF"/>
              </w:rPr>
              <w:t>(#)</w:t>
            </w:r>
          </w:p>
        </w:tc>
        <w:tc>
          <w:tcPr>
            <w:tcW w:w="300" w:type="dxa"/>
            <w:vAlign w:val="bottom"/>
            <w:tcBorders>
              <w:bottom w:val="single" w:sz="8" w:color="001C71"/>
            </w:tcBorders>
            <w:shd w:val="clear" w:color="auto" w:fill="001C71"/>
          </w:tcPr>
          <w:p>
            <w:pPr>
              <w:spacing w:after="0"/>
              <w:rPr>
                <w:sz w:val="20"/>
                <w:szCs w:val="20"/>
                <w:color w:val="auto"/>
              </w:rPr>
            </w:pPr>
          </w:p>
        </w:tc>
        <w:tc>
          <w:tcPr>
            <w:tcW w:w="1200" w:type="dxa"/>
            <w:vAlign w:val="bottom"/>
            <w:tcBorders>
              <w:bottom w:val="single" w:sz="8" w:color="001C71"/>
            </w:tcBorders>
            <w:shd w:val="clear" w:color="auto" w:fill="001C71"/>
          </w:tcPr>
          <w:p>
            <w:pPr>
              <w:jc w:val="right"/>
              <w:ind w:right="17"/>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(3)</w:t>
            </w:r>
          </w:p>
        </w:tc>
        <w:tc>
          <w:tcPr>
            <w:tcW w:w="168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3"/>
                <w:szCs w:val="13"/>
                <w:b w:val="1"/>
                <w:bCs w:val="1"/>
                <w:color w:val="FFFFFF"/>
              </w:rPr>
              <w:t>(#)</w:t>
            </w:r>
          </w:p>
        </w:tc>
        <w:tc>
          <w:tcPr>
            <w:tcW w:w="320" w:type="dxa"/>
            <w:vAlign w:val="bottom"/>
            <w:tcBorders>
              <w:bottom w:val="single" w:sz="8" w:color="001C71"/>
            </w:tcBorders>
            <w:shd w:val="clear" w:color="auto" w:fill="001C71"/>
          </w:tcPr>
          <w:p>
            <w:pPr>
              <w:spacing w:after="0"/>
              <w:rPr>
                <w:sz w:val="20"/>
                <w:szCs w:val="20"/>
                <w:color w:val="auto"/>
              </w:rPr>
            </w:pPr>
          </w:p>
        </w:tc>
        <w:tc>
          <w:tcPr>
            <w:tcW w:w="1840" w:type="dxa"/>
            <w:vAlign w:val="bottom"/>
            <w:tcBorders>
              <w:bottom w:val="single" w:sz="8" w:color="001C71"/>
              <w:right w:val="single" w:sz="8" w:color="001C71"/>
            </w:tcBorders>
            <w:shd w:val="clear" w:color="auto" w:fill="001C71"/>
          </w:tcPr>
          <w:p>
            <w:pPr>
              <w:jc w:val="right"/>
              <w:ind w:right="77"/>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(4)</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41,500</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109.45</w:t>
            </w:r>
          </w:p>
        </w:tc>
        <w:tc>
          <w:tcPr>
            <w:tcW w:w="840" w:type="dxa"/>
            <w:vAlign w:val="bottom"/>
          </w:tcPr>
          <w:p>
            <w:pPr>
              <w:jc w:val="center"/>
              <w:ind w:right="17"/>
              <w:spacing w:after="0"/>
              <w:rPr>
                <w:sz w:val="20"/>
                <w:szCs w:val="20"/>
                <w:color w:val="auto"/>
              </w:rPr>
            </w:pPr>
            <w:r>
              <w:rPr>
                <w:rFonts w:ascii="Arial" w:cs="Arial" w:eastAsia="Arial" w:hAnsi="Arial"/>
                <w:sz w:val="13"/>
                <w:szCs w:val="13"/>
                <w:color w:val="auto"/>
                <w:w w:val="94"/>
              </w:rPr>
              <w:t>5/6/2030</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18,808</w:t>
            </w:r>
          </w:p>
        </w:tc>
        <w:tc>
          <w:tcPr>
            <w:tcW w:w="300" w:type="dxa"/>
            <w:vAlign w:val="bottom"/>
          </w:tcPr>
          <w:p>
            <w:pPr>
              <w:ind w:left="20"/>
              <w:spacing w:after="0"/>
              <w:rPr>
                <w:sz w:val="20"/>
                <w:szCs w:val="20"/>
                <w:color w:val="auto"/>
              </w:rPr>
            </w:pPr>
            <w:r>
              <w:rPr>
                <w:rFonts w:ascii="Arial" w:cs="Arial" w:eastAsia="Arial" w:hAnsi="Arial"/>
                <w:sz w:val="8"/>
                <w:szCs w:val="8"/>
                <w:color w:val="auto"/>
              </w:rPr>
              <w:t>(5)</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3,197,360</w:t>
            </w:r>
          </w:p>
        </w:tc>
        <w:tc>
          <w:tcPr>
            <w:tcW w:w="1680" w:type="dxa"/>
            <w:vAlign w:val="bottom"/>
          </w:tcPr>
          <w:p>
            <w:pPr>
              <w:jc w:val="right"/>
              <w:spacing w:after="0"/>
              <w:rPr>
                <w:sz w:val="20"/>
                <w:szCs w:val="20"/>
                <w:color w:val="auto"/>
              </w:rPr>
            </w:pPr>
            <w:r>
              <w:rPr>
                <w:rFonts w:ascii="Arial" w:cs="Arial" w:eastAsia="Arial" w:hAnsi="Arial"/>
                <w:sz w:val="13"/>
                <w:szCs w:val="13"/>
                <w:color w:val="auto"/>
              </w:rPr>
              <w:t>76,370</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(15)</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12,982,900</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tcBorders>
              <w:bottom w:val="single" w:sz="8" w:color="5673B8"/>
            </w:tcBorders>
          </w:tcPr>
          <w:p>
            <w:pPr>
              <w:spacing w:after="0"/>
              <w:rPr>
                <w:sz w:val="3"/>
                <w:szCs w:val="3"/>
                <w:color w:val="auto"/>
              </w:rPr>
            </w:pPr>
          </w:p>
        </w:tc>
        <w:tc>
          <w:tcPr>
            <w:tcW w:w="1240" w:type="dxa"/>
            <w:vAlign w:val="bottom"/>
            <w:tcBorders>
              <w:bottom w:val="single" w:sz="8" w:color="5673B8"/>
            </w:tcBorders>
          </w:tcPr>
          <w:p>
            <w:pPr>
              <w:spacing w:after="0"/>
              <w:rPr>
                <w:sz w:val="3"/>
                <w:szCs w:val="3"/>
                <w:color w:val="auto"/>
              </w:rPr>
            </w:pPr>
          </w:p>
        </w:tc>
        <w:tc>
          <w:tcPr>
            <w:tcW w:w="740" w:type="dxa"/>
            <w:vAlign w:val="bottom"/>
            <w:tcBorders>
              <w:bottom w:val="single" w:sz="8" w:color="5673B8"/>
            </w:tcBorders>
          </w:tcPr>
          <w:p>
            <w:pPr>
              <w:spacing w:after="0"/>
              <w:rPr>
                <w:sz w:val="3"/>
                <w:szCs w:val="3"/>
                <w:color w:val="auto"/>
              </w:rPr>
            </w:pPr>
          </w:p>
        </w:tc>
        <w:tc>
          <w:tcPr>
            <w:tcW w:w="840" w:type="dxa"/>
            <w:vAlign w:val="bottom"/>
            <w:tcBorders>
              <w:bottom w:val="single" w:sz="8" w:color="5673B8"/>
            </w:tcBorders>
          </w:tcPr>
          <w:p>
            <w:pPr>
              <w:spacing w:after="0"/>
              <w:rPr>
                <w:sz w:val="3"/>
                <w:szCs w:val="3"/>
                <w:color w:val="auto"/>
              </w:rPr>
            </w:pPr>
          </w:p>
        </w:tc>
        <w:tc>
          <w:tcPr>
            <w:tcW w:w="100" w:type="dxa"/>
            <w:vAlign w:val="bottom"/>
            <w:tcBorders>
              <w:bottom w:val="single" w:sz="8" w:color="5673B8"/>
            </w:tcBorders>
          </w:tcPr>
          <w:p>
            <w:pPr>
              <w:spacing w:after="0"/>
              <w:rPr>
                <w:sz w:val="3"/>
                <w:szCs w:val="3"/>
                <w:color w:val="auto"/>
              </w:rPr>
            </w:pPr>
          </w:p>
        </w:tc>
        <w:tc>
          <w:tcPr>
            <w:tcW w:w="880" w:type="dxa"/>
            <w:vAlign w:val="bottom"/>
            <w:tcBorders>
              <w:bottom w:val="single" w:sz="8" w:color="5673B8"/>
            </w:tcBorders>
          </w:tcPr>
          <w:p>
            <w:pPr>
              <w:spacing w:after="0"/>
              <w:rPr>
                <w:sz w:val="3"/>
                <w:szCs w:val="3"/>
                <w:color w:val="auto"/>
              </w:rPr>
            </w:pPr>
          </w:p>
        </w:tc>
        <w:tc>
          <w:tcPr>
            <w:tcW w:w="300" w:type="dxa"/>
            <w:vAlign w:val="bottom"/>
            <w:tcBorders>
              <w:bottom w:val="single" w:sz="8" w:color="5673B8"/>
            </w:tcBorders>
          </w:tcPr>
          <w:p>
            <w:pPr>
              <w:spacing w:after="0"/>
              <w:rPr>
                <w:sz w:val="3"/>
                <w:szCs w:val="3"/>
                <w:color w:val="auto"/>
              </w:rPr>
            </w:pPr>
          </w:p>
        </w:tc>
        <w:tc>
          <w:tcPr>
            <w:tcW w:w="1200" w:type="dxa"/>
            <w:vAlign w:val="bottom"/>
            <w:tcBorders>
              <w:bottom w:val="single" w:sz="8" w:color="5673B8"/>
            </w:tcBorders>
          </w:tcPr>
          <w:p>
            <w:pPr>
              <w:spacing w:after="0"/>
              <w:rPr>
                <w:sz w:val="3"/>
                <w:szCs w:val="3"/>
                <w:color w:val="auto"/>
              </w:rPr>
            </w:pPr>
          </w:p>
        </w:tc>
        <w:tc>
          <w:tcPr>
            <w:tcW w:w="1680" w:type="dxa"/>
            <w:vAlign w:val="bottom"/>
            <w:tcBorders>
              <w:bottom w:val="single" w:sz="8" w:color="5673B8"/>
            </w:tcBorders>
          </w:tcPr>
          <w:p>
            <w:pPr>
              <w:spacing w:after="0"/>
              <w:rPr>
                <w:sz w:val="3"/>
                <w:szCs w:val="3"/>
                <w:color w:val="auto"/>
              </w:rPr>
            </w:pPr>
          </w:p>
        </w:tc>
        <w:tc>
          <w:tcPr>
            <w:tcW w:w="320" w:type="dxa"/>
            <w:vAlign w:val="bottom"/>
            <w:tcBorders>
              <w:bottom w:val="single" w:sz="8" w:color="5673B8"/>
            </w:tcBorders>
          </w:tcPr>
          <w:p>
            <w:pPr>
              <w:spacing w:after="0"/>
              <w:rPr>
                <w:sz w:val="3"/>
                <w:szCs w:val="3"/>
                <w:color w:val="auto"/>
              </w:rPr>
            </w:pPr>
          </w:p>
        </w:tc>
        <w:tc>
          <w:tcPr>
            <w:tcW w:w="18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23,111</w:t>
            </w:r>
          </w:p>
        </w:tc>
        <w:tc>
          <w:tcPr>
            <w:tcW w:w="300" w:type="dxa"/>
            <w:vAlign w:val="bottom"/>
          </w:tcPr>
          <w:p>
            <w:pPr>
              <w:ind w:left="20"/>
              <w:spacing w:after="0"/>
              <w:rPr>
                <w:sz w:val="20"/>
                <w:szCs w:val="20"/>
                <w:color w:val="auto"/>
              </w:rPr>
            </w:pPr>
            <w:r>
              <w:rPr>
                <w:rFonts w:ascii="Arial" w:cs="Arial" w:eastAsia="Arial" w:hAnsi="Arial"/>
                <w:sz w:val="8"/>
                <w:szCs w:val="8"/>
                <w:color w:val="auto"/>
              </w:rPr>
              <w:t>(6)</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3,928,870</w:t>
            </w:r>
          </w:p>
        </w:tc>
        <w:tc>
          <w:tcPr>
            <w:tcW w:w="1680" w:type="dxa"/>
            <w:vAlign w:val="bottom"/>
          </w:tcPr>
          <w:p>
            <w:pPr>
              <w:jc w:val="right"/>
              <w:spacing w:after="0"/>
              <w:rPr>
                <w:sz w:val="20"/>
                <w:szCs w:val="20"/>
                <w:color w:val="auto"/>
              </w:rPr>
            </w:pPr>
            <w:r>
              <w:rPr>
                <w:rFonts w:ascii="Arial" w:cs="Arial" w:eastAsia="Arial" w:hAnsi="Arial"/>
                <w:sz w:val="13"/>
                <w:szCs w:val="13"/>
                <w:color w:val="auto"/>
              </w:rPr>
              <w:t>46,222</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(16)</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7,857,740</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11,555</w:t>
            </w:r>
          </w:p>
        </w:tc>
        <w:tc>
          <w:tcPr>
            <w:tcW w:w="300" w:type="dxa"/>
            <w:vAlign w:val="bottom"/>
          </w:tcPr>
          <w:p>
            <w:pPr>
              <w:ind w:left="20"/>
              <w:spacing w:after="0"/>
              <w:rPr>
                <w:sz w:val="20"/>
                <w:szCs w:val="20"/>
                <w:color w:val="auto"/>
              </w:rPr>
            </w:pPr>
            <w:r>
              <w:rPr>
                <w:rFonts w:ascii="Arial" w:cs="Arial" w:eastAsia="Arial" w:hAnsi="Arial"/>
                <w:sz w:val="8"/>
                <w:szCs w:val="8"/>
                <w:color w:val="auto"/>
              </w:rPr>
              <w:t>(7)</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1,964,350</w:t>
            </w:r>
          </w:p>
        </w:tc>
        <w:tc>
          <w:tcPr>
            <w:tcW w:w="1680" w:type="dxa"/>
            <w:vAlign w:val="bottom"/>
          </w:tcPr>
          <w:p>
            <w:pPr>
              <w:jc w:val="right"/>
              <w:spacing w:after="0"/>
              <w:rPr>
                <w:sz w:val="20"/>
                <w:szCs w:val="20"/>
                <w:color w:val="auto"/>
              </w:rPr>
            </w:pPr>
            <w:r>
              <w:rPr>
                <w:rFonts w:ascii="Arial" w:cs="Arial" w:eastAsia="Arial" w:hAnsi="Arial"/>
                <w:sz w:val="13"/>
                <w:szCs w:val="13"/>
                <w:color w:val="auto"/>
              </w:rPr>
              <w:t>39,832</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(17)</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6,771,440</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940" w:type="dxa"/>
            <w:vAlign w:val="bottom"/>
            <w:vMerge w:val="restart"/>
          </w:tcPr>
          <w:p>
            <w:pPr>
              <w:ind w:left="20"/>
              <w:spacing w:after="0"/>
              <w:rPr>
                <w:sz w:val="20"/>
                <w:szCs w:val="20"/>
                <w:color w:val="auto"/>
              </w:rPr>
            </w:pPr>
            <w:r>
              <w:rPr>
                <w:rFonts w:ascii="Arial" w:cs="Arial" w:eastAsia="Arial" w:hAnsi="Arial"/>
                <w:sz w:val="13"/>
                <w:szCs w:val="13"/>
                <w:b w:val="1"/>
                <w:bCs w:val="1"/>
                <w:color w:val="852166"/>
              </w:rPr>
              <w:t>Renee D. Gala</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14,937</w:t>
            </w:r>
          </w:p>
        </w:tc>
        <w:tc>
          <w:tcPr>
            <w:tcW w:w="300" w:type="dxa"/>
            <w:vAlign w:val="bottom"/>
          </w:tcPr>
          <w:p>
            <w:pPr>
              <w:ind w:left="20"/>
              <w:spacing w:after="0"/>
              <w:rPr>
                <w:sz w:val="20"/>
                <w:szCs w:val="20"/>
                <w:color w:val="auto"/>
              </w:rPr>
            </w:pPr>
            <w:r>
              <w:rPr>
                <w:rFonts w:ascii="Arial" w:cs="Arial" w:eastAsia="Arial" w:hAnsi="Arial"/>
                <w:sz w:val="8"/>
                <w:szCs w:val="8"/>
                <w:color w:val="auto"/>
              </w:rPr>
              <w:t>(8)</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2,539,290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100" w:type="dxa"/>
            <w:vAlign w:val="bottom"/>
            <w:tcBorders>
              <w:bottom w:val="single" w:sz="8" w:color="5673B8"/>
            </w:tcBorders>
          </w:tcPr>
          <w:p>
            <w:pPr>
              <w:spacing w:after="0"/>
              <w:rPr>
                <w:sz w:val="4"/>
                <w:szCs w:val="4"/>
                <w:color w:val="auto"/>
              </w:rPr>
            </w:pPr>
          </w:p>
        </w:tc>
        <w:tc>
          <w:tcPr>
            <w:tcW w:w="1240" w:type="dxa"/>
            <w:vAlign w:val="bottom"/>
            <w:tcBorders>
              <w:bottom w:val="single" w:sz="8" w:color="5673B8"/>
            </w:tcBorders>
          </w:tcPr>
          <w:p>
            <w:pPr>
              <w:spacing w:after="0"/>
              <w:rPr>
                <w:sz w:val="4"/>
                <w:szCs w:val="4"/>
                <w:color w:val="auto"/>
              </w:rPr>
            </w:pPr>
          </w:p>
        </w:tc>
        <w:tc>
          <w:tcPr>
            <w:tcW w:w="740" w:type="dxa"/>
            <w:vAlign w:val="bottom"/>
            <w:tcBorders>
              <w:bottom w:val="single" w:sz="8" w:color="5673B8"/>
            </w:tcBorders>
          </w:tcPr>
          <w:p>
            <w:pPr>
              <w:spacing w:after="0"/>
              <w:rPr>
                <w:sz w:val="4"/>
                <w:szCs w:val="4"/>
                <w:color w:val="auto"/>
              </w:rPr>
            </w:pPr>
          </w:p>
        </w:tc>
        <w:tc>
          <w:tcPr>
            <w:tcW w:w="840" w:type="dxa"/>
            <w:vAlign w:val="bottom"/>
            <w:tcBorders>
              <w:bottom w:val="single" w:sz="8" w:color="5673B8"/>
            </w:tcBorders>
          </w:tcPr>
          <w:p>
            <w:pPr>
              <w:spacing w:after="0"/>
              <w:rPr>
                <w:sz w:val="4"/>
                <w:szCs w:val="4"/>
                <w:color w:val="auto"/>
              </w:rPr>
            </w:pPr>
          </w:p>
        </w:tc>
        <w:tc>
          <w:tcPr>
            <w:tcW w:w="100" w:type="dxa"/>
            <w:vAlign w:val="bottom"/>
            <w:tcBorders>
              <w:bottom w:val="single" w:sz="8" w:color="5673B8"/>
            </w:tcBorders>
          </w:tcPr>
          <w:p>
            <w:pPr>
              <w:spacing w:after="0"/>
              <w:rPr>
                <w:sz w:val="4"/>
                <w:szCs w:val="4"/>
                <w:color w:val="auto"/>
              </w:rPr>
            </w:pPr>
          </w:p>
        </w:tc>
        <w:tc>
          <w:tcPr>
            <w:tcW w:w="880" w:type="dxa"/>
            <w:vAlign w:val="bottom"/>
            <w:tcBorders>
              <w:bottom w:val="single" w:sz="8" w:color="5673B8"/>
            </w:tcBorders>
          </w:tcPr>
          <w:p>
            <w:pPr>
              <w:spacing w:after="0"/>
              <w:rPr>
                <w:sz w:val="4"/>
                <w:szCs w:val="4"/>
                <w:color w:val="auto"/>
              </w:rPr>
            </w:pPr>
          </w:p>
        </w:tc>
        <w:tc>
          <w:tcPr>
            <w:tcW w:w="300" w:type="dxa"/>
            <w:vAlign w:val="bottom"/>
            <w:tcBorders>
              <w:bottom w:val="single" w:sz="8" w:color="5673B8"/>
            </w:tcBorders>
          </w:tcPr>
          <w:p>
            <w:pPr>
              <w:spacing w:after="0"/>
              <w:rPr>
                <w:sz w:val="4"/>
                <w:szCs w:val="4"/>
                <w:color w:val="auto"/>
              </w:rPr>
            </w:pPr>
          </w:p>
        </w:tc>
        <w:tc>
          <w:tcPr>
            <w:tcW w:w="1200" w:type="dxa"/>
            <w:vAlign w:val="bottom"/>
            <w:tcBorders>
              <w:bottom w:val="single" w:sz="8" w:color="5673B8"/>
            </w:tcBorders>
          </w:tcPr>
          <w:p>
            <w:pPr>
              <w:spacing w:after="0"/>
              <w:rPr>
                <w:sz w:val="4"/>
                <w:szCs w:val="4"/>
                <w:color w:val="auto"/>
              </w:rPr>
            </w:pPr>
          </w:p>
        </w:tc>
        <w:tc>
          <w:tcPr>
            <w:tcW w:w="1680" w:type="dxa"/>
            <w:vAlign w:val="bottom"/>
            <w:tcBorders>
              <w:bottom w:val="single" w:sz="8" w:color="5673B8"/>
            </w:tcBorders>
          </w:tcPr>
          <w:p>
            <w:pPr>
              <w:spacing w:after="0"/>
              <w:rPr>
                <w:sz w:val="4"/>
                <w:szCs w:val="4"/>
                <w:color w:val="auto"/>
              </w:rPr>
            </w:pPr>
          </w:p>
        </w:tc>
        <w:tc>
          <w:tcPr>
            <w:tcW w:w="320" w:type="dxa"/>
            <w:vAlign w:val="bottom"/>
            <w:tcBorders>
              <w:bottom w:val="single" w:sz="8" w:color="5673B8"/>
            </w:tcBorders>
          </w:tcPr>
          <w:p>
            <w:pPr>
              <w:spacing w:after="0"/>
              <w:rPr>
                <w:sz w:val="4"/>
                <w:szCs w:val="4"/>
                <w:color w:val="auto"/>
              </w:rPr>
            </w:pPr>
          </w:p>
        </w:tc>
        <w:tc>
          <w:tcPr>
            <w:tcW w:w="1840" w:type="dxa"/>
            <w:vAlign w:val="bottom"/>
            <w:tcBorders>
              <w:bottom w:val="single" w:sz="8" w:color="5673B8"/>
            </w:tcBorders>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1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vMerge w:val="restart"/>
          </w:tcPr>
          <w:p>
            <w:pPr>
              <w:ind w:left="94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386</w:t>
            </w:r>
          </w:p>
        </w:tc>
        <w:tc>
          <w:tcPr>
            <w:tcW w:w="300" w:type="dxa"/>
            <w:vAlign w:val="bottom"/>
            <w:vMerge w:val="restart"/>
          </w:tcPr>
          <w:p>
            <w:pPr>
              <w:ind w:left="20"/>
              <w:spacing w:after="0"/>
              <w:rPr>
                <w:sz w:val="20"/>
                <w:szCs w:val="20"/>
                <w:color w:val="auto"/>
              </w:rPr>
            </w:pPr>
            <w:r>
              <w:rPr>
                <w:rFonts w:ascii="Arial" w:cs="Arial" w:eastAsia="Arial" w:hAnsi="Arial"/>
                <w:sz w:val="8"/>
                <w:szCs w:val="8"/>
                <w:color w:val="auto"/>
              </w:rPr>
              <w:t>(9)</w:t>
            </w:r>
          </w:p>
        </w:tc>
        <w:tc>
          <w:tcPr>
            <w:tcW w:w="1200" w:type="dxa"/>
            <w:vAlign w:val="bottom"/>
            <w:vMerge w:val="restart"/>
          </w:tcPr>
          <w:p>
            <w:pPr>
              <w:jc w:val="right"/>
              <w:ind w:right="57"/>
              <w:spacing w:after="0"/>
              <w:rPr>
                <w:sz w:val="20"/>
                <w:szCs w:val="20"/>
                <w:color w:val="auto"/>
              </w:rPr>
            </w:pPr>
            <w:r>
              <w:rPr>
                <w:rFonts w:ascii="Arial" w:cs="Arial" w:eastAsia="Arial" w:hAnsi="Arial"/>
                <w:sz w:val="13"/>
                <w:szCs w:val="13"/>
                <w:color w:val="auto"/>
              </w:rPr>
              <w:t>65,620</w:t>
            </w:r>
          </w:p>
        </w:tc>
        <w:tc>
          <w:tcPr>
            <w:tcW w:w="1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4"/>
                <w:szCs w:val="4"/>
                <w:color w:val="auto"/>
              </w:rPr>
            </w:pPr>
          </w:p>
        </w:tc>
        <w:tc>
          <w:tcPr>
            <w:tcW w:w="184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00" w:type="dxa"/>
            <w:vAlign w:val="bottom"/>
            <w:tcBorders>
              <w:bottom w:val="single" w:sz="8" w:color="5673B8"/>
            </w:tcBorders>
          </w:tcPr>
          <w:p>
            <w:pPr>
              <w:spacing w:after="0"/>
              <w:rPr>
                <w:sz w:val="4"/>
                <w:szCs w:val="4"/>
                <w:color w:val="auto"/>
              </w:rPr>
            </w:pPr>
          </w:p>
        </w:tc>
        <w:tc>
          <w:tcPr>
            <w:tcW w:w="1240" w:type="dxa"/>
            <w:vAlign w:val="bottom"/>
            <w:tcBorders>
              <w:bottom w:val="single" w:sz="8" w:color="5673B8"/>
            </w:tcBorders>
          </w:tcPr>
          <w:p>
            <w:pPr>
              <w:spacing w:after="0"/>
              <w:rPr>
                <w:sz w:val="4"/>
                <w:szCs w:val="4"/>
                <w:color w:val="auto"/>
              </w:rPr>
            </w:pPr>
          </w:p>
        </w:tc>
        <w:tc>
          <w:tcPr>
            <w:tcW w:w="740" w:type="dxa"/>
            <w:vAlign w:val="bottom"/>
            <w:tcBorders>
              <w:bottom w:val="single" w:sz="8" w:color="5673B8"/>
            </w:tcBorders>
          </w:tcPr>
          <w:p>
            <w:pPr>
              <w:spacing w:after="0"/>
              <w:rPr>
                <w:sz w:val="4"/>
                <w:szCs w:val="4"/>
                <w:color w:val="auto"/>
              </w:rPr>
            </w:pPr>
          </w:p>
        </w:tc>
        <w:tc>
          <w:tcPr>
            <w:tcW w:w="840" w:type="dxa"/>
            <w:vAlign w:val="bottom"/>
            <w:tcBorders>
              <w:bottom w:val="single" w:sz="8" w:color="5673B8"/>
            </w:tcBorders>
          </w:tcPr>
          <w:p>
            <w:pPr>
              <w:spacing w:after="0"/>
              <w:rPr>
                <w:sz w:val="4"/>
                <w:szCs w:val="4"/>
                <w:color w:val="auto"/>
              </w:rPr>
            </w:pPr>
          </w:p>
        </w:tc>
        <w:tc>
          <w:tcPr>
            <w:tcW w:w="100" w:type="dxa"/>
            <w:vAlign w:val="bottom"/>
            <w:tcBorders>
              <w:bottom w:val="single" w:sz="8" w:color="5673B8"/>
            </w:tcBorders>
          </w:tcPr>
          <w:p>
            <w:pPr>
              <w:spacing w:after="0"/>
              <w:rPr>
                <w:sz w:val="4"/>
                <w:szCs w:val="4"/>
                <w:color w:val="auto"/>
              </w:rPr>
            </w:pPr>
          </w:p>
        </w:tc>
        <w:tc>
          <w:tcPr>
            <w:tcW w:w="880" w:type="dxa"/>
            <w:vAlign w:val="bottom"/>
            <w:tcBorders>
              <w:bottom w:val="single" w:sz="8" w:color="5673B8"/>
            </w:tcBorders>
          </w:tcPr>
          <w:p>
            <w:pPr>
              <w:spacing w:after="0"/>
              <w:rPr>
                <w:sz w:val="4"/>
                <w:szCs w:val="4"/>
                <w:color w:val="auto"/>
              </w:rPr>
            </w:pPr>
          </w:p>
        </w:tc>
        <w:tc>
          <w:tcPr>
            <w:tcW w:w="300" w:type="dxa"/>
            <w:vAlign w:val="bottom"/>
            <w:tcBorders>
              <w:bottom w:val="single" w:sz="8" w:color="5673B8"/>
            </w:tcBorders>
          </w:tcPr>
          <w:p>
            <w:pPr>
              <w:spacing w:after="0"/>
              <w:rPr>
                <w:sz w:val="4"/>
                <w:szCs w:val="4"/>
                <w:color w:val="auto"/>
              </w:rPr>
            </w:pPr>
          </w:p>
        </w:tc>
        <w:tc>
          <w:tcPr>
            <w:tcW w:w="1200" w:type="dxa"/>
            <w:vAlign w:val="bottom"/>
            <w:tcBorders>
              <w:bottom w:val="single" w:sz="8" w:color="5673B8"/>
            </w:tcBorders>
          </w:tcPr>
          <w:p>
            <w:pPr>
              <w:spacing w:after="0"/>
              <w:rPr>
                <w:sz w:val="4"/>
                <w:szCs w:val="4"/>
                <w:color w:val="auto"/>
              </w:rPr>
            </w:pPr>
          </w:p>
        </w:tc>
        <w:tc>
          <w:tcPr>
            <w:tcW w:w="1680" w:type="dxa"/>
            <w:vAlign w:val="bottom"/>
            <w:tcBorders>
              <w:bottom w:val="single" w:sz="8" w:color="5673B8"/>
            </w:tcBorders>
          </w:tcPr>
          <w:p>
            <w:pPr>
              <w:spacing w:after="0"/>
              <w:rPr>
                <w:sz w:val="4"/>
                <w:szCs w:val="4"/>
                <w:color w:val="auto"/>
              </w:rPr>
            </w:pPr>
          </w:p>
        </w:tc>
        <w:tc>
          <w:tcPr>
            <w:tcW w:w="320" w:type="dxa"/>
            <w:vAlign w:val="bottom"/>
            <w:tcBorders>
              <w:bottom w:val="single" w:sz="8" w:color="5673B8"/>
            </w:tcBorders>
          </w:tcPr>
          <w:p>
            <w:pPr>
              <w:spacing w:after="0"/>
              <w:rPr>
                <w:sz w:val="4"/>
                <w:szCs w:val="4"/>
                <w:color w:val="auto"/>
              </w:rPr>
            </w:pPr>
          </w:p>
        </w:tc>
        <w:tc>
          <w:tcPr>
            <w:tcW w:w="1840" w:type="dxa"/>
            <w:vAlign w:val="bottom"/>
            <w:tcBorders>
              <w:bottom w:val="single" w:sz="8" w:color="5673B8"/>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6,392</w:t>
            </w:r>
          </w:p>
        </w:tc>
        <w:tc>
          <w:tcPr>
            <w:tcW w:w="300" w:type="dxa"/>
            <w:vAlign w:val="bottom"/>
          </w:tcPr>
          <w:p>
            <w:pPr>
              <w:ind w:left="20"/>
              <w:spacing w:after="0"/>
              <w:rPr>
                <w:sz w:val="20"/>
                <w:szCs w:val="20"/>
                <w:color w:val="auto"/>
              </w:rPr>
            </w:pPr>
            <w:r>
              <w:rPr>
                <w:rFonts w:ascii="Arial" w:cs="Arial" w:eastAsia="Arial" w:hAnsi="Arial"/>
                <w:sz w:val="8"/>
                <w:szCs w:val="8"/>
                <w:color w:val="auto"/>
              </w:rPr>
              <w:t>(10)</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1,086,640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2,932</w:t>
            </w:r>
          </w:p>
        </w:tc>
        <w:tc>
          <w:tcPr>
            <w:tcW w:w="300" w:type="dxa"/>
            <w:vAlign w:val="bottom"/>
          </w:tcPr>
          <w:p>
            <w:pPr>
              <w:ind w:left="20"/>
              <w:spacing w:after="0"/>
              <w:rPr>
                <w:sz w:val="20"/>
                <w:szCs w:val="20"/>
                <w:color w:val="auto"/>
              </w:rPr>
            </w:pPr>
            <w:r>
              <w:rPr>
                <w:rFonts w:ascii="Arial" w:cs="Arial" w:eastAsia="Arial" w:hAnsi="Arial"/>
                <w:sz w:val="8"/>
                <w:szCs w:val="8"/>
                <w:color w:val="auto"/>
              </w:rPr>
              <w:t>(11)</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498,440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12,741</w:t>
            </w:r>
          </w:p>
        </w:tc>
        <w:tc>
          <w:tcPr>
            <w:tcW w:w="300" w:type="dxa"/>
            <w:vAlign w:val="bottom"/>
          </w:tcPr>
          <w:p>
            <w:pPr>
              <w:ind w:left="20"/>
              <w:spacing w:after="0"/>
              <w:rPr>
                <w:sz w:val="20"/>
                <w:szCs w:val="20"/>
                <w:color w:val="auto"/>
              </w:rPr>
            </w:pPr>
            <w:r>
              <w:rPr>
                <w:rFonts w:ascii="Arial" w:cs="Arial" w:eastAsia="Arial" w:hAnsi="Arial"/>
                <w:sz w:val="8"/>
                <w:szCs w:val="8"/>
                <w:color w:val="auto"/>
              </w:rPr>
              <w:t>(12)</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2,165,970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Borders>
              <w:bottom w:val="single" w:sz="8" w:color="5673B8"/>
            </w:tcBorders>
          </w:tcPr>
          <w:p>
            <w:pPr>
              <w:spacing w:after="0"/>
              <w:rPr>
                <w:sz w:val="2"/>
                <w:szCs w:val="2"/>
                <w:color w:val="auto"/>
              </w:rPr>
            </w:pPr>
          </w:p>
        </w:tc>
        <w:tc>
          <w:tcPr>
            <w:tcW w:w="940" w:type="dxa"/>
            <w:vAlign w:val="bottom"/>
            <w:tcBorders>
              <w:bottom w:val="single" w:sz="8" w:color="5673B8"/>
            </w:tcBorders>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vMerge w:val="restart"/>
          </w:tcPr>
          <w:p>
            <w:pPr>
              <w:ind w:left="20"/>
              <w:spacing w:after="0"/>
              <w:rPr>
                <w:sz w:val="20"/>
                <w:szCs w:val="20"/>
                <w:color w:val="auto"/>
              </w:rPr>
            </w:pPr>
            <w:r>
              <w:rPr>
                <w:rFonts w:ascii="Arial" w:cs="Arial" w:eastAsia="Arial" w:hAnsi="Arial"/>
                <w:sz w:val="13"/>
                <w:szCs w:val="13"/>
                <w:b w:val="1"/>
                <w:bCs w:val="1"/>
                <w:color w:val="852166"/>
              </w:rPr>
              <w:t>Philip L.</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15,407</w:t>
            </w:r>
          </w:p>
        </w:tc>
        <w:tc>
          <w:tcPr>
            <w:tcW w:w="300" w:type="dxa"/>
            <w:vAlign w:val="bottom"/>
          </w:tcPr>
          <w:p>
            <w:pPr>
              <w:ind w:left="20"/>
              <w:spacing w:after="0"/>
              <w:rPr>
                <w:sz w:val="20"/>
                <w:szCs w:val="20"/>
                <w:color w:val="auto"/>
              </w:rPr>
            </w:pPr>
            <w:r>
              <w:rPr>
                <w:rFonts w:ascii="Arial" w:cs="Arial" w:eastAsia="Arial" w:hAnsi="Arial"/>
                <w:sz w:val="8"/>
                <w:szCs w:val="8"/>
                <w:color w:val="auto"/>
              </w:rPr>
              <w:t>(6)</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2,619,190</w:t>
            </w:r>
          </w:p>
        </w:tc>
        <w:tc>
          <w:tcPr>
            <w:tcW w:w="1680" w:type="dxa"/>
            <w:vAlign w:val="bottom"/>
          </w:tcPr>
          <w:p>
            <w:pPr>
              <w:jc w:val="right"/>
              <w:spacing w:after="0"/>
              <w:rPr>
                <w:sz w:val="20"/>
                <w:szCs w:val="20"/>
                <w:color w:val="auto"/>
              </w:rPr>
            </w:pPr>
            <w:r>
              <w:rPr>
                <w:rFonts w:ascii="Arial" w:cs="Arial" w:eastAsia="Arial" w:hAnsi="Arial"/>
                <w:sz w:val="13"/>
                <w:szCs w:val="13"/>
                <w:color w:val="auto"/>
              </w:rPr>
              <w:t>30,814</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(16)</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5,238,380</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100" w:type="dxa"/>
            <w:vAlign w:val="bottom"/>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1240" w:type="dxa"/>
            <w:vAlign w:val="bottom"/>
          </w:tcPr>
          <w:p>
            <w:pPr>
              <w:ind w:left="940"/>
              <w:spacing w:after="0" w:line="129"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line="129" w:lineRule="exact"/>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7,704</w:t>
            </w:r>
          </w:p>
        </w:tc>
        <w:tc>
          <w:tcPr>
            <w:tcW w:w="300" w:type="dxa"/>
            <w:vAlign w:val="bottom"/>
          </w:tcPr>
          <w:p>
            <w:pPr>
              <w:ind w:left="20"/>
              <w:spacing w:after="0"/>
              <w:rPr>
                <w:sz w:val="20"/>
                <w:szCs w:val="20"/>
                <w:color w:val="auto"/>
              </w:rPr>
            </w:pPr>
            <w:r>
              <w:rPr>
                <w:rFonts w:ascii="Arial" w:cs="Arial" w:eastAsia="Arial" w:hAnsi="Arial"/>
                <w:sz w:val="8"/>
                <w:szCs w:val="8"/>
                <w:color w:val="auto"/>
              </w:rPr>
              <w:t>(7)</w:t>
            </w:r>
          </w:p>
        </w:tc>
        <w:tc>
          <w:tcPr>
            <w:tcW w:w="1200" w:type="dxa"/>
            <w:vAlign w:val="bottom"/>
          </w:tcPr>
          <w:p>
            <w:pPr>
              <w:jc w:val="right"/>
              <w:ind w:right="57"/>
              <w:spacing w:after="0" w:line="129" w:lineRule="exact"/>
              <w:rPr>
                <w:sz w:val="20"/>
                <w:szCs w:val="20"/>
                <w:color w:val="auto"/>
              </w:rPr>
            </w:pPr>
            <w:r>
              <w:rPr>
                <w:rFonts w:ascii="Arial" w:cs="Arial" w:eastAsia="Arial" w:hAnsi="Arial"/>
                <w:sz w:val="13"/>
                <w:szCs w:val="13"/>
                <w:color w:val="auto"/>
              </w:rPr>
              <w:t>1,309,680</w:t>
            </w:r>
          </w:p>
        </w:tc>
        <w:tc>
          <w:tcPr>
            <w:tcW w:w="1680" w:type="dxa"/>
            <w:vAlign w:val="bottom"/>
          </w:tcPr>
          <w:p>
            <w:pPr>
              <w:jc w:val="right"/>
              <w:spacing w:after="0" w:line="129" w:lineRule="exact"/>
              <w:rPr>
                <w:sz w:val="20"/>
                <w:szCs w:val="20"/>
                <w:color w:val="auto"/>
              </w:rPr>
            </w:pPr>
            <w:r>
              <w:rPr>
                <w:rFonts w:ascii="Arial" w:cs="Arial" w:eastAsia="Arial" w:hAnsi="Arial"/>
                <w:sz w:val="13"/>
                <w:szCs w:val="13"/>
                <w:color w:val="auto"/>
              </w:rPr>
              <w:t>31,864</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(17)</w:t>
            </w:r>
          </w:p>
        </w:tc>
        <w:tc>
          <w:tcPr>
            <w:tcW w:w="1840" w:type="dxa"/>
            <w:vAlign w:val="bottom"/>
          </w:tcPr>
          <w:p>
            <w:pPr>
              <w:jc w:val="right"/>
              <w:ind w:right="117"/>
              <w:spacing w:after="0" w:line="129" w:lineRule="exact"/>
              <w:rPr>
                <w:sz w:val="20"/>
                <w:szCs w:val="20"/>
                <w:color w:val="auto"/>
              </w:rPr>
            </w:pPr>
            <w:r>
              <w:rPr>
                <w:rFonts w:ascii="Arial" w:cs="Arial" w:eastAsia="Arial" w:hAnsi="Arial"/>
                <w:sz w:val="13"/>
                <w:szCs w:val="13"/>
                <w:color w:val="auto"/>
              </w:rPr>
              <w:t>5,416,880</w:t>
            </w: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940" w:type="dxa"/>
            <w:vAlign w:val="bottom"/>
          </w:tcPr>
          <w:p>
            <w:pPr>
              <w:ind w:left="20"/>
              <w:spacing w:after="0" w:line="48" w:lineRule="exact"/>
              <w:rPr>
                <w:sz w:val="20"/>
                <w:szCs w:val="20"/>
                <w:color w:val="auto"/>
              </w:rPr>
            </w:pPr>
            <w:r>
              <w:rPr>
                <w:rFonts w:ascii="Arial" w:cs="Arial" w:eastAsia="Arial" w:hAnsi="Arial"/>
                <w:sz w:val="5"/>
                <w:szCs w:val="5"/>
                <w:b w:val="1"/>
                <w:bCs w:val="1"/>
                <w:color w:val="852166"/>
              </w:rPr>
              <w:t>Johnson</w:t>
            </w:r>
          </w:p>
        </w:tc>
        <w:tc>
          <w:tcPr>
            <w:tcW w:w="1100" w:type="dxa"/>
            <w:vAlign w:val="bottom"/>
            <w:tcBorders>
              <w:bottom w:val="single" w:sz="8" w:color="5673B8"/>
            </w:tcBorders>
          </w:tcPr>
          <w:p>
            <w:pPr>
              <w:spacing w:after="0"/>
              <w:rPr>
                <w:sz w:val="5"/>
                <w:szCs w:val="5"/>
                <w:color w:val="auto"/>
              </w:rPr>
            </w:pPr>
          </w:p>
        </w:tc>
        <w:tc>
          <w:tcPr>
            <w:tcW w:w="124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84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300" w:type="dxa"/>
            <w:vAlign w:val="bottom"/>
            <w:tcBorders>
              <w:bottom w:val="single" w:sz="8" w:color="5673B8"/>
            </w:tcBorders>
          </w:tcPr>
          <w:p>
            <w:pPr>
              <w:spacing w:after="0"/>
              <w:rPr>
                <w:sz w:val="5"/>
                <w:szCs w:val="5"/>
                <w:color w:val="auto"/>
              </w:rPr>
            </w:pPr>
          </w:p>
        </w:tc>
        <w:tc>
          <w:tcPr>
            <w:tcW w:w="1200" w:type="dxa"/>
            <w:vAlign w:val="bottom"/>
            <w:tcBorders>
              <w:bottom w:val="single" w:sz="8" w:color="5673B8"/>
            </w:tcBorders>
          </w:tcPr>
          <w:p>
            <w:pPr>
              <w:spacing w:after="0"/>
              <w:rPr>
                <w:sz w:val="5"/>
                <w:szCs w:val="5"/>
                <w:color w:val="auto"/>
              </w:rPr>
            </w:pPr>
          </w:p>
        </w:tc>
        <w:tc>
          <w:tcPr>
            <w:tcW w:w="1680" w:type="dxa"/>
            <w:vAlign w:val="bottom"/>
            <w:tcBorders>
              <w:bottom w:val="single" w:sz="8" w:color="5673B8"/>
            </w:tcBorders>
          </w:tcPr>
          <w:p>
            <w:pPr>
              <w:spacing w:after="0"/>
              <w:rPr>
                <w:sz w:val="5"/>
                <w:szCs w:val="5"/>
                <w:color w:val="auto"/>
              </w:rPr>
            </w:pPr>
          </w:p>
        </w:tc>
        <w:tc>
          <w:tcPr>
            <w:tcW w:w="320" w:type="dxa"/>
            <w:vAlign w:val="bottom"/>
            <w:tcBorders>
              <w:bottom w:val="single" w:sz="8" w:color="5673B8"/>
            </w:tcBorders>
          </w:tcPr>
          <w:p>
            <w:pPr>
              <w:spacing w:after="0"/>
              <w:rPr>
                <w:sz w:val="5"/>
                <w:szCs w:val="5"/>
                <w:color w:val="auto"/>
              </w:rPr>
            </w:pPr>
          </w:p>
        </w:tc>
        <w:tc>
          <w:tcPr>
            <w:tcW w:w="184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11,949</w:t>
            </w:r>
          </w:p>
        </w:tc>
        <w:tc>
          <w:tcPr>
            <w:tcW w:w="300" w:type="dxa"/>
            <w:vAlign w:val="bottom"/>
          </w:tcPr>
          <w:p>
            <w:pPr>
              <w:ind w:left="20"/>
              <w:spacing w:after="0"/>
              <w:rPr>
                <w:sz w:val="20"/>
                <w:szCs w:val="20"/>
                <w:color w:val="auto"/>
              </w:rPr>
            </w:pPr>
            <w:r>
              <w:rPr>
                <w:rFonts w:ascii="Arial" w:cs="Arial" w:eastAsia="Arial" w:hAnsi="Arial"/>
                <w:sz w:val="8"/>
                <w:szCs w:val="8"/>
                <w:color w:val="auto"/>
              </w:rPr>
              <w:t>(8)</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2,031,330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Borders>
              <w:bottom w:val="single" w:sz="8" w:color="5673B8"/>
            </w:tcBorders>
          </w:tcPr>
          <w:p>
            <w:pPr>
              <w:spacing w:after="0"/>
              <w:rPr>
                <w:sz w:val="2"/>
                <w:szCs w:val="2"/>
                <w:color w:val="auto"/>
              </w:rPr>
            </w:pPr>
          </w:p>
        </w:tc>
        <w:tc>
          <w:tcPr>
            <w:tcW w:w="940" w:type="dxa"/>
            <w:vAlign w:val="bottom"/>
            <w:tcBorders>
              <w:bottom w:val="single" w:sz="8" w:color="5673B8"/>
            </w:tcBorders>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130,000</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113.1</w:t>
            </w:r>
          </w:p>
        </w:tc>
        <w:tc>
          <w:tcPr>
            <w:tcW w:w="840" w:type="dxa"/>
            <w:vAlign w:val="bottom"/>
          </w:tcPr>
          <w:p>
            <w:pPr>
              <w:jc w:val="center"/>
              <w:ind w:right="17"/>
              <w:spacing w:after="0"/>
              <w:rPr>
                <w:sz w:val="20"/>
                <w:szCs w:val="20"/>
                <w:color w:val="auto"/>
              </w:rPr>
            </w:pPr>
            <w:r>
              <w:rPr>
                <w:rFonts w:ascii="Arial" w:cs="Arial" w:eastAsia="Arial" w:hAnsi="Arial"/>
                <w:sz w:val="13"/>
                <w:szCs w:val="13"/>
                <w:color w:val="auto"/>
                <w:w w:val="96"/>
              </w:rPr>
              <w:t>2/26/2030</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2,506</w:t>
            </w:r>
          </w:p>
        </w:tc>
        <w:tc>
          <w:tcPr>
            <w:tcW w:w="300" w:type="dxa"/>
            <w:vAlign w:val="bottom"/>
          </w:tcPr>
          <w:p>
            <w:pPr>
              <w:ind w:left="20"/>
              <w:spacing w:after="0"/>
              <w:rPr>
                <w:sz w:val="20"/>
                <w:szCs w:val="20"/>
                <w:color w:val="auto"/>
              </w:rPr>
            </w:pPr>
            <w:r>
              <w:rPr>
                <w:rFonts w:ascii="Arial" w:cs="Arial" w:eastAsia="Arial" w:hAnsi="Arial"/>
                <w:sz w:val="8"/>
                <w:szCs w:val="8"/>
                <w:color w:val="auto"/>
              </w:rPr>
              <w:t>(13)</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426,020</w:t>
            </w:r>
          </w:p>
        </w:tc>
        <w:tc>
          <w:tcPr>
            <w:tcW w:w="1680" w:type="dxa"/>
            <w:vAlign w:val="bottom"/>
          </w:tcPr>
          <w:p>
            <w:pPr>
              <w:jc w:val="right"/>
              <w:spacing w:after="0"/>
              <w:rPr>
                <w:sz w:val="20"/>
                <w:szCs w:val="20"/>
                <w:color w:val="auto"/>
              </w:rPr>
            </w:pPr>
            <w:r>
              <w:rPr>
                <w:rFonts w:ascii="Arial" w:cs="Arial" w:eastAsia="Arial" w:hAnsi="Arial"/>
                <w:sz w:val="13"/>
                <w:szCs w:val="13"/>
                <w:color w:val="auto"/>
              </w:rPr>
              <w:t>57,012</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(17)</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9,692,040</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vMerge w:val="restart"/>
          </w:tcPr>
          <w:p>
            <w:pPr>
              <w:ind w:left="20"/>
              <w:spacing w:after="0"/>
              <w:rPr>
                <w:sz w:val="20"/>
                <w:szCs w:val="20"/>
                <w:color w:val="auto"/>
              </w:rPr>
            </w:pPr>
            <w:r>
              <w:rPr>
                <w:rFonts w:ascii="Arial" w:cs="Arial" w:eastAsia="Arial" w:hAnsi="Arial"/>
                <w:sz w:val="13"/>
                <w:szCs w:val="13"/>
                <w:b w:val="1"/>
                <w:bCs w:val="1"/>
                <w:color w:val="852166"/>
              </w:rPr>
              <w:t>Bruce C.</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125,000</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140.03</w:t>
            </w:r>
          </w:p>
        </w:tc>
        <w:tc>
          <w:tcPr>
            <w:tcW w:w="840" w:type="dxa"/>
            <w:vAlign w:val="bottom"/>
          </w:tcPr>
          <w:p>
            <w:pPr>
              <w:jc w:val="center"/>
              <w:ind w:right="17"/>
              <w:spacing w:after="0"/>
              <w:rPr>
                <w:sz w:val="20"/>
                <w:szCs w:val="20"/>
                <w:color w:val="auto"/>
              </w:rPr>
            </w:pPr>
            <w:r>
              <w:rPr>
                <w:rFonts w:ascii="Arial" w:cs="Arial" w:eastAsia="Arial" w:hAnsi="Arial"/>
                <w:sz w:val="13"/>
                <w:szCs w:val="13"/>
                <w:color w:val="auto"/>
                <w:w w:val="96"/>
              </w:rPr>
              <w:t>2/27/2029</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35,924</w:t>
            </w:r>
          </w:p>
        </w:tc>
        <w:tc>
          <w:tcPr>
            <w:tcW w:w="300" w:type="dxa"/>
            <w:vAlign w:val="bottom"/>
          </w:tcPr>
          <w:p>
            <w:pPr>
              <w:ind w:left="20"/>
              <w:spacing w:after="0"/>
              <w:rPr>
                <w:sz w:val="20"/>
                <w:szCs w:val="20"/>
                <w:color w:val="auto"/>
              </w:rPr>
            </w:pPr>
            <w:r>
              <w:rPr>
                <w:rFonts w:ascii="Arial" w:cs="Arial" w:eastAsia="Arial" w:hAnsi="Arial"/>
                <w:sz w:val="8"/>
                <w:szCs w:val="8"/>
                <w:color w:val="auto"/>
              </w:rPr>
              <w:t>(8)</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6,107,080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100" w:type="dxa"/>
            <w:vAlign w:val="bottom"/>
          </w:tcPr>
          <w:p>
            <w:pPr>
              <w:jc w:val="right"/>
              <w:ind w:right="37"/>
              <w:spacing w:after="0" w:line="129" w:lineRule="exact"/>
              <w:rPr>
                <w:sz w:val="20"/>
                <w:szCs w:val="20"/>
                <w:color w:val="auto"/>
              </w:rPr>
            </w:pPr>
            <w:r>
              <w:rPr>
                <w:rFonts w:ascii="Arial" w:cs="Arial" w:eastAsia="Arial" w:hAnsi="Arial"/>
                <w:sz w:val="13"/>
                <w:szCs w:val="13"/>
                <w:color w:val="auto"/>
              </w:rPr>
              <w:t>92,500</w:t>
            </w:r>
          </w:p>
        </w:tc>
        <w:tc>
          <w:tcPr>
            <w:tcW w:w="1240" w:type="dxa"/>
            <w:vAlign w:val="bottom"/>
          </w:tcPr>
          <w:p>
            <w:pPr>
              <w:ind w:left="940"/>
              <w:spacing w:after="0" w:line="129"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line="129" w:lineRule="exact"/>
              <w:rPr>
                <w:sz w:val="20"/>
                <w:szCs w:val="20"/>
                <w:color w:val="auto"/>
              </w:rPr>
            </w:pPr>
            <w:r>
              <w:rPr>
                <w:rFonts w:ascii="Arial" w:cs="Arial" w:eastAsia="Arial" w:hAnsi="Arial"/>
                <w:sz w:val="13"/>
                <w:szCs w:val="13"/>
                <w:color w:val="auto"/>
              </w:rPr>
              <w:t>140.67</w:t>
            </w:r>
          </w:p>
        </w:tc>
        <w:tc>
          <w:tcPr>
            <w:tcW w:w="840" w:type="dxa"/>
            <w:vAlign w:val="bottom"/>
          </w:tcPr>
          <w:p>
            <w:pPr>
              <w:jc w:val="center"/>
              <w:ind w:right="17"/>
              <w:spacing w:after="0" w:line="129" w:lineRule="exact"/>
              <w:rPr>
                <w:sz w:val="20"/>
                <w:szCs w:val="20"/>
                <w:color w:val="auto"/>
              </w:rPr>
            </w:pPr>
            <w:r>
              <w:rPr>
                <w:rFonts w:ascii="Arial" w:cs="Arial" w:eastAsia="Arial" w:hAnsi="Arial"/>
                <w:sz w:val="13"/>
                <w:szCs w:val="13"/>
                <w:color w:val="auto"/>
                <w:w w:val="96"/>
              </w:rPr>
              <w:t>2/29/2028</w:t>
            </w:r>
          </w:p>
        </w:tc>
        <w:tc>
          <w:tcPr>
            <w:tcW w:w="10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20,228</w:t>
            </w:r>
          </w:p>
        </w:tc>
        <w:tc>
          <w:tcPr>
            <w:tcW w:w="300" w:type="dxa"/>
            <w:vAlign w:val="bottom"/>
          </w:tcPr>
          <w:p>
            <w:pPr>
              <w:ind w:left="20"/>
              <w:spacing w:after="0"/>
              <w:rPr>
                <w:sz w:val="20"/>
                <w:szCs w:val="20"/>
                <w:color w:val="auto"/>
              </w:rPr>
            </w:pPr>
            <w:r>
              <w:rPr>
                <w:rFonts w:ascii="Arial" w:cs="Arial" w:eastAsia="Arial" w:hAnsi="Arial"/>
                <w:sz w:val="8"/>
                <w:szCs w:val="8"/>
                <w:color w:val="auto"/>
              </w:rPr>
              <w:t>(10)</w:t>
            </w:r>
          </w:p>
        </w:tc>
        <w:tc>
          <w:tcPr>
            <w:tcW w:w="1200" w:type="dxa"/>
            <w:vAlign w:val="bottom"/>
          </w:tcPr>
          <w:p>
            <w:pPr>
              <w:jc w:val="right"/>
              <w:ind w:right="57"/>
              <w:spacing w:after="0" w:line="129" w:lineRule="exact"/>
              <w:rPr>
                <w:sz w:val="20"/>
                <w:szCs w:val="20"/>
                <w:color w:val="auto"/>
              </w:rPr>
            </w:pPr>
            <w:r>
              <w:rPr>
                <w:rFonts w:ascii="Arial" w:cs="Arial" w:eastAsia="Arial" w:hAnsi="Arial"/>
                <w:sz w:val="13"/>
                <w:szCs w:val="13"/>
                <w:color w:val="auto"/>
              </w:rPr>
              <w:t>3,438,760</w:t>
            </w:r>
          </w:p>
        </w:tc>
        <w:tc>
          <w:tcPr>
            <w:tcW w:w="168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1840" w:type="dxa"/>
            <w:vAlign w:val="bottom"/>
          </w:tcPr>
          <w:p>
            <w:pPr>
              <w:jc w:val="right"/>
              <w:ind w:right="117"/>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940" w:type="dxa"/>
            <w:vAlign w:val="bottom"/>
          </w:tcPr>
          <w:p>
            <w:pPr>
              <w:ind w:left="20"/>
              <w:spacing w:after="0" w:line="48" w:lineRule="exact"/>
              <w:rPr>
                <w:sz w:val="20"/>
                <w:szCs w:val="20"/>
                <w:color w:val="auto"/>
              </w:rPr>
            </w:pPr>
            <w:r>
              <w:rPr>
                <w:rFonts w:ascii="Arial" w:cs="Arial" w:eastAsia="Arial" w:hAnsi="Arial"/>
                <w:sz w:val="5"/>
                <w:szCs w:val="5"/>
                <w:b w:val="1"/>
                <w:bCs w:val="1"/>
                <w:color w:val="852166"/>
              </w:rPr>
              <w:t>Cozadd</w:t>
            </w:r>
          </w:p>
        </w:tc>
        <w:tc>
          <w:tcPr>
            <w:tcW w:w="1100" w:type="dxa"/>
            <w:vAlign w:val="bottom"/>
            <w:tcBorders>
              <w:bottom w:val="single" w:sz="8" w:color="5673B8"/>
            </w:tcBorders>
          </w:tcPr>
          <w:p>
            <w:pPr>
              <w:spacing w:after="0"/>
              <w:rPr>
                <w:sz w:val="5"/>
                <w:szCs w:val="5"/>
                <w:color w:val="auto"/>
              </w:rPr>
            </w:pPr>
          </w:p>
        </w:tc>
        <w:tc>
          <w:tcPr>
            <w:tcW w:w="124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84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300" w:type="dxa"/>
            <w:vAlign w:val="bottom"/>
            <w:tcBorders>
              <w:bottom w:val="single" w:sz="8" w:color="5673B8"/>
            </w:tcBorders>
          </w:tcPr>
          <w:p>
            <w:pPr>
              <w:spacing w:after="0"/>
              <w:rPr>
                <w:sz w:val="5"/>
                <w:szCs w:val="5"/>
                <w:color w:val="auto"/>
              </w:rPr>
            </w:pPr>
          </w:p>
        </w:tc>
        <w:tc>
          <w:tcPr>
            <w:tcW w:w="1200" w:type="dxa"/>
            <w:vAlign w:val="bottom"/>
            <w:tcBorders>
              <w:bottom w:val="single" w:sz="8" w:color="5673B8"/>
            </w:tcBorders>
          </w:tcPr>
          <w:p>
            <w:pPr>
              <w:spacing w:after="0"/>
              <w:rPr>
                <w:sz w:val="5"/>
                <w:szCs w:val="5"/>
                <w:color w:val="auto"/>
              </w:rPr>
            </w:pPr>
          </w:p>
        </w:tc>
        <w:tc>
          <w:tcPr>
            <w:tcW w:w="1680" w:type="dxa"/>
            <w:vAlign w:val="bottom"/>
            <w:tcBorders>
              <w:bottom w:val="single" w:sz="8" w:color="5673B8"/>
            </w:tcBorders>
          </w:tcPr>
          <w:p>
            <w:pPr>
              <w:spacing w:after="0"/>
              <w:rPr>
                <w:sz w:val="5"/>
                <w:szCs w:val="5"/>
                <w:color w:val="auto"/>
              </w:rPr>
            </w:pPr>
          </w:p>
        </w:tc>
        <w:tc>
          <w:tcPr>
            <w:tcW w:w="320" w:type="dxa"/>
            <w:vAlign w:val="bottom"/>
            <w:tcBorders>
              <w:bottom w:val="single" w:sz="8" w:color="5673B8"/>
            </w:tcBorders>
          </w:tcPr>
          <w:p>
            <w:pPr>
              <w:spacing w:after="0"/>
              <w:rPr>
                <w:sz w:val="5"/>
                <w:szCs w:val="5"/>
                <w:color w:val="auto"/>
              </w:rPr>
            </w:pPr>
          </w:p>
        </w:tc>
        <w:tc>
          <w:tcPr>
            <w:tcW w:w="184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86,500</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136.18</w:t>
            </w:r>
          </w:p>
        </w:tc>
        <w:tc>
          <w:tcPr>
            <w:tcW w:w="840" w:type="dxa"/>
            <w:vAlign w:val="bottom"/>
          </w:tcPr>
          <w:p>
            <w:pPr>
              <w:jc w:val="center"/>
              <w:ind w:right="17"/>
              <w:spacing w:after="0"/>
              <w:rPr>
                <w:sz w:val="20"/>
                <w:szCs w:val="20"/>
                <w:color w:val="auto"/>
              </w:rPr>
            </w:pPr>
            <w:r>
              <w:rPr>
                <w:rFonts w:ascii="Arial" w:cs="Arial" w:eastAsia="Arial" w:hAnsi="Arial"/>
                <w:sz w:val="13"/>
                <w:szCs w:val="13"/>
                <w:color w:val="auto"/>
                <w:w w:val="94"/>
              </w:rPr>
              <w:t>3/1/2027</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10,686</w:t>
            </w:r>
          </w:p>
        </w:tc>
        <w:tc>
          <w:tcPr>
            <w:tcW w:w="300" w:type="dxa"/>
            <w:vAlign w:val="bottom"/>
          </w:tcPr>
          <w:p>
            <w:pPr>
              <w:ind w:left="20"/>
              <w:spacing w:after="0"/>
              <w:rPr>
                <w:sz w:val="20"/>
                <w:szCs w:val="20"/>
                <w:color w:val="auto"/>
              </w:rPr>
            </w:pPr>
            <w:r>
              <w:rPr>
                <w:rFonts w:ascii="Arial" w:cs="Arial" w:eastAsia="Arial" w:hAnsi="Arial"/>
                <w:sz w:val="8"/>
                <w:szCs w:val="8"/>
                <w:color w:val="auto"/>
              </w:rPr>
              <w:t>(11)</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1,816,620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35,917</w:t>
            </w:r>
          </w:p>
        </w:tc>
        <w:tc>
          <w:tcPr>
            <w:tcW w:w="300" w:type="dxa"/>
            <w:vAlign w:val="bottom"/>
          </w:tcPr>
          <w:p>
            <w:pPr>
              <w:ind w:left="20"/>
              <w:spacing w:after="0"/>
              <w:rPr>
                <w:sz w:val="20"/>
                <w:szCs w:val="20"/>
                <w:color w:val="auto"/>
              </w:rPr>
            </w:pPr>
            <w:r>
              <w:rPr>
                <w:rFonts w:ascii="Arial" w:cs="Arial" w:eastAsia="Arial" w:hAnsi="Arial"/>
                <w:sz w:val="8"/>
                <w:szCs w:val="8"/>
                <w:color w:val="auto"/>
              </w:rPr>
              <w:t>(12)</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6,105,890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80" w:type="dxa"/>
            <w:vAlign w:val="bottom"/>
            <w:tcBorders>
              <w:bottom w:val="single" w:sz="8" w:color="5673B8"/>
            </w:tcBorders>
          </w:tcPr>
          <w:p>
            <w:pPr>
              <w:spacing w:after="0"/>
              <w:rPr>
                <w:sz w:val="2"/>
                <w:szCs w:val="2"/>
                <w:color w:val="auto"/>
              </w:rPr>
            </w:pPr>
          </w:p>
        </w:tc>
        <w:tc>
          <w:tcPr>
            <w:tcW w:w="940" w:type="dxa"/>
            <w:vAlign w:val="bottom"/>
            <w:tcBorders>
              <w:bottom w:val="single" w:sz="8" w:color="5673B8"/>
            </w:tcBorders>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27,000</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113.1</w:t>
            </w:r>
          </w:p>
        </w:tc>
        <w:tc>
          <w:tcPr>
            <w:tcW w:w="840" w:type="dxa"/>
            <w:vAlign w:val="bottom"/>
          </w:tcPr>
          <w:p>
            <w:pPr>
              <w:jc w:val="center"/>
              <w:ind w:right="17"/>
              <w:spacing w:after="0"/>
              <w:rPr>
                <w:sz w:val="20"/>
                <w:szCs w:val="20"/>
                <w:color w:val="auto"/>
              </w:rPr>
            </w:pPr>
            <w:r>
              <w:rPr>
                <w:rFonts w:ascii="Arial" w:cs="Arial" w:eastAsia="Arial" w:hAnsi="Arial"/>
                <w:sz w:val="13"/>
                <w:szCs w:val="13"/>
                <w:color w:val="auto"/>
                <w:w w:val="96"/>
              </w:rPr>
              <w:t>2/26/2030</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17,718</w:t>
            </w:r>
          </w:p>
        </w:tc>
        <w:tc>
          <w:tcPr>
            <w:tcW w:w="300" w:type="dxa"/>
            <w:vAlign w:val="bottom"/>
          </w:tcPr>
          <w:p>
            <w:pPr>
              <w:ind w:left="20"/>
              <w:spacing w:after="0"/>
              <w:rPr>
                <w:sz w:val="20"/>
                <w:szCs w:val="20"/>
                <w:color w:val="auto"/>
              </w:rPr>
            </w:pPr>
            <w:r>
              <w:rPr>
                <w:rFonts w:ascii="Arial" w:cs="Arial" w:eastAsia="Arial" w:hAnsi="Arial"/>
                <w:sz w:val="8"/>
                <w:szCs w:val="8"/>
                <w:color w:val="auto"/>
              </w:rPr>
              <w:t>(6)</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3,012,060</w:t>
            </w:r>
          </w:p>
        </w:tc>
        <w:tc>
          <w:tcPr>
            <w:tcW w:w="1680" w:type="dxa"/>
            <w:vAlign w:val="bottom"/>
          </w:tcPr>
          <w:p>
            <w:pPr>
              <w:jc w:val="right"/>
              <w:spacing w:after="0"/>
              <w:rPr>
                <w:sz w:val="20"/>
                <w:szCs w:val="20"/>
                <w:color w:val="auto"/>
              </w:rPr>
            </w:pPr>
            <w:r>
              <w:rPr>
                <w:rFonts w:ascii="Arial" w:cs="Arial" w:eastAsia="Arial" w:hAnsi="Arial"/>
                <w:sz w:val="13"/>
                <w:szCs w:val="13"/>
                <w:color w:val="auto"/>
              </w:rPr>
              <w:t>35,436</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(16)</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6,024,120</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vMerge w:val="restart"/>
          </w:tcPr>
          <w:p>
            <w:pPr>
              <w:ind w:left="20"/>
              <w:spacing w:after="0"/>
              <w:rPr>
                <w:sz w:val="20"/>
                <w:szCs w:val="20"/>
                <w:color w:val="auto"/>
              </w:rPr>
            </w:pPr>
            <w:r>
              <w:rPr>
                <w:rFonts w:ascii="Arial" w:cs="Arial" w:eastAsia="Arial" w:hAnsi="Arial"/>
                <w:sz w:val="13"/>
                <w:szCs w:val="13"/>
                <w:b w:val="1"/>
                <w:bCs w:val="1"/>
                <w:color w:val="852166"/>
              </w:rPr>
              <w:t>Robert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30,500</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137.12</w:t>
            </w:r>
          </w:p>
        </w:tc>
        <w:tc>
          <w:tcPr>
            <w:tcW w:w="840" w:type="dxa"/>
            <w:vAlign w:val="bottom"/>
          </w:tcPr>
          <w:p>
            <w:pPr>
              <w:jc w:val="center"/>
              <w:ind w:right="17"/>
              <w:spacing w:after="0"/>
              <w:rPr>
                <w:sz w:val="20"/>
                <w:szCs w:val="20"/>
                <w:color w:val="auto"/>
              </w:rPr>
            </w:pPr>
            <w:r>
              <w:rPr>
                <w:rFonts w:ascii="Arial" w:cs="Arial" w:eastAsia="Arial" w:hAnsi="Arial"/>
                <w:sz w:val="13"/>
                <w:szCs w:val="13"/>
                <w:color w:val="auto"/>
                <w:w w:val="94"/>
              </w:rPr>
              <w:t>8/7/2029</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8,859</w:t>
            </w:r>
          </w:p>
        </w:tc>
        <w:tc>
          <w:tcPr>
            <w:tcW w:w="300" w:type="dxa"/>
            <w:vAlign w:val="bottom"/>
          </w:tcPr>
          <w:p>
            <w:pPr>
              <w:ind w:left="20"/>
              <w:spacing w:after="0"/>
              <w:rPr>
                <w:sz w:val="20"/>
                <w:szCs w:val="20"/>
                <w:color w:val="auto"/>
              </w:rPr>
            </w:pPr>
            <w:r>
              <w:rPr>
                <w:rFonts w:ascii="Arial" w:cs="Arial" w:eastAsia="Arial" w:hAnsi="Arial"/>
                <w:sz w:val="8"/>
                <w:szCs w:val="8"/>
                <w:color w:val="auto"/>
              </w:rPr>
              <w:t>(7)</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1,506,030</w:t>
            </w:r>
          </w:p>
        </w:tc>
        <w:tc>
          <w:tcPr>
            <w:tcW w:w="1680" w:type="dxa"/>
            <w:vAlign w:val="bottom"/>
          </w:tcPr>
          <w:p>
            <w:pPr>
              <w:jc w:val="right"/>
              <w:spacing w:after="0"/>
              <w:rPr>
                <w:sz w:val="20"/>
                <w:szCs w:val="20"/>
                <w:color w:val="auto"/>
              </w:rPr>
            </w:pPr>
            <w:r>
              <w:rPr>
                <w:rFonts w:ascii="Arial" w:cs="Arial" w:eastAsia="Arial" w:hAnsi="Arial"/>
                <w:sz w:val="13"/>
                <w:szCs w:val="13"/>
                <w:color w:val="auto"/>
              </w:rPr>
              <w:t>33,856</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(17)</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5,755,520</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100" w:type="dxa"/>
            <w:vAlign w:val="bottom"/>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1240" w:type="dxa"/>
            <w:vAlign w:val="bottom"/>
          </w:tcPr>
          <w:p>
            <w:pPr>
              <w:ind w:left="940"/>
              <w:spacing w:after="0" w:line="129"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line="129" w:lineRule="exact"/>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12,696</w:t>
            </w:r>
          </w:p>
        </w:tc>
        <w:tc>
          <w:tcPr>
            <w:tcW w:w="300" w:type="dxa"/>
            <w:vAlign w:val="bottom"/>
          </w:tcPr>
          <w:p>
            <w:pPr>
              <w:ind w:left="20"/>
              <w:spacing w:after="0"/>
              <w:rPr>
                <w:sz w:val="20"/>
                <w:szCs w:val="20"/>
                <w:color w:val="auto"/>
              </w:rPr>
            </w:pPr>
            <w:r>
              <w:rPr>
                <w:rFonts w:ascii="Arial" w:cs="Arial" w:eastAsia="Arial" w:hAnsi="Arial"/>
                <w:sz w:val="8"/>
                <w:szCs w:val="8"/>
                <w:color w:val="auto"/>
              </w:rPr>
              <w:t>(8)</w:t>
            </w:r>
          </w:p>
        </w:tc>
        <w:tc>
          <w:tcPr>
            <w:tcW w:w="1200" w:type="dxa"/>
            <w:vAlign w:val="bottom"/>
          </w:tcPr>
          <w:p>
            <w:pPr>
              <w:jc w:val="right"/>
              <w:ind w:right="57"/>
              <w:spacing w:after="0" w:line="129" w:lineRule="exact"/>
              <w:rPr>
                <w:sz w:val="20"/>
                <w:szCs w:val="20"/>
                <w:color w:val="auto"/>
              </w:rPr>
            </w:pPr>
            <w:r>
              <w:rPr>
                <w:rFonts w:ascii="Arial" w:cs="Arial" w:eastAsia="Arial" w:hAnsi="Arial"/>
                <w:sz w:val="13"/>
                <w:szCs w:val="13"/>
                <w:color w:val="auto"/>
              </w:rPr>
              <w:t>2,158,320</w:t>
            </w:r>
          </w:p>
        </w:tc>
        <w:tc>
          <w:tcPr>
            <w:tcW w:w="168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1840" w:type="dxa"/>
            <w:vAlign w:val="bottom"/>
          </w:tcPr>
          <w:p>
            <w:pPr>
              <w:jc w:val="right"/>
              <w:ind w:right="117"/>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940" w:type="dxa"/>
            <w:vAlign w:val="bottom"/>
            <w:vMerge w:val="restart"/>
          </w:tcPr>
          <w:p>
            <w:pPr>
              <w:ind w:left="20"/>
              <w:spacing w:after="0" w:line="117" w:lineRule="exact"/>
              <w:rPr>
                <w:sz w:val="20"/>
                <w:szCs w:val="20"/>
                <w:color w:val="auto"/>
              </w:rPr>
            </w:pPr>
            <w:r>
              <w:rPr>
                <w:rFonts w:ascii="Arial" w:cs="Arial" w:eastAsia="Arial" w:hAnsi="Arial"/>
                <w:sz w:val="13"/>
                <w:szCs w:val="13"/>
                <w:b w:val="1"/>
                <w:bCs w:val="1"/>
                <w:color w:val="852166"/>
                <w:w w:val="99"/>
              </w:rPr>
              <w:t>Iannone, M.D.,</w:t>
            </w:r>
          </w:p>
        </w:tc>
        <w:tc>
          <w:tcPr>
            <w:tcW w:w="1100" w:type="dxa"/>
            <w:vAlign w:val="bottom"/>
            <w:tcBorders>
              <w:bottom w:val="single" w:sz="8" w:color="5673B8"/>
            </w:tcBorders>
          </w:tcPr>
          <w:p>
            <w:pPr>
              <w:spacing w:after="0"/>
              <w:rPr>
                <w:sz w:val="5"/>
                <w:szCs w:val="5"/>
                <w:color w:val="auto"/>
              </w:rPr>
            </w:pPr>
          </w:p>
        </w:tc>
        <w:tc>
          <w:tcPr>
            <w:tcW w:w="124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84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300" w:type="dxa"/>
            <w:vAlign w:val="bottom"/>
            <w:tcBorders>
              <w:bottom w:val="single" w:sz="8" w:color="5673B8"/>
            </w:tcBorders>
          </w:tcPr>
          <w:p>
            <w:pPr>
              <w:spacing w:after="0"/>
              <w:rPr>
                <w:sz w:val="5"/>
                <w:szCs w:val="5"/>
                <w:color w:val="auto"/>
              </w:rPr>
            </w:pPr>
          </w:p>
        </w:tc>
        <w:tc>
          <w:tcPr>
            <w:tcW w:w="1200" w:type="dxa"/>
            <w:vAlign w:val="bottom"/>
            <w:tcBorders>
              <w:bottom w:val="single" w:sz="8" w:color="5673B8"/>
            </w:tcBorders>
          </w:tcPr>
          <w:p>
            <w:pPr>
              <w:spacing w:after="0"/>
              <w:rPr>
                <w:sz w:val="5"/>
                <w:szCs w:val="5"/>
                <w:color w:val="auto"/>
              </w:rPr>
            </w:pPr>
          </w:p>
        </w:tc>
        <w:tc>
          <w:tcPr>
            <w:tcW w:w="1680" w:type="dxa"/>
            <w:vAlign w:val="bottom"/>
            <w:tcBorders>
              <w:bottom w:val="single" w:sz="8" w:color="5673B8"/>
            </w:tcBorders>
          </w:tcPr>
          <w:p>
            <w:pPr>
              <w:spacing w:after="0"/>
              <w:rPr>
                <w:sz w:val="5"/>
                <w:szCs w:val="5"/>
                <w:color w:val="auto"/>
              </w:rPr>
            </w:pPr>
          </w:p>
        </w:tc>
        <w:tc>
          <w:tcPr>
            <w:tcW w:w="320" w:type="dxa"/>
            <w:vAlign w:val="bottom"/>
            <w:tcBorders>
              <w:bottom w:val="single" w:sz="8" w:color="5673B8"/>
            </w:tcBorders>
          </w:tcPr>
          <w:p>
            <w:pPr>
              <w:spacing w:after="0"/>
              <w:rPr>
                <w:sz w:val="5"/>
                <w:szCs w:val="5"/>
                <w:color w:val="auto"/>
              </w:rPr>
            </w:pPr>
          </w:p>
        </w:tc>
        <w:tc>
          <w:tcPr>
            <w:tcW w:w="184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1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vMerge w:val="restart"/>
          </w:tcPr>
          <w:p>
            <w:pPr>
              <w:ind w:left="94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6,223</w:t>
            </w:r>
          </w:p>
        </w:tc>
        <w:tc>
          <w:tcPr>
            <w:tcW w:w="300" w:type="dxa"/>
            <w:vAlign w:val="bottom"/>
            <w:vMerge w:val="restart"/>
          </w:tcPr>
          <w:p>
            <w:pPr>
              <w:ind w:left="20"/>
              <w:spacing w:after="0"/>
              <w:rPr>
                <w:sz w:val="20"/>
                <w:szCs w:val="20"/>
                <w:color w:val="auto"/>
              </w:rPr>
            </w:pPr>
            <w:r>
              <w:rPr>
                <w:rFonts w:ascii="Arial" w:cs="Arial" w:eastAsia="Arial" w:hAnsi="Arial"/>
                <w:sz w:val="8"/>
                <w:szCs w:val="8"/>
                <w:color w:val="auto"/>
              </w:rPr>
              <w:t>(10)</w:t>
            </w:r>
          </w:p>
        </w:tc>
        <w:tc>
          <w:tcPr>
            <w:tcW w:w="1200" w:type="dxa"/>
            <w:vAlign w:val="bottom"/>
            <w:vMerge w:val="restart"/>
          </w:tcPr>
          <w:p>
            <w:pPr>
              <w:jc w:val="right"/>
              <w:ind w:right="57"/>
              <w:spacing w:after="0"/>
              <w:rPr>
                <w:sz w:val="20"/>
                <w:szCs w:val="20"/>
                <w:color w:val="auto"/>
              </w:rPr>
            </w:pPr>
            <w:r>
              <w:rPr>
                <w:rFonts w:ascii="Arial" w:cs="Arial" w:eastAsia="Arial" w:hAnsi="Arial"/>
                <w:sz w:val="13"/>
                <w:szCs w:val="13"/>
                <w:color w:val="auto"/>
              </w:rPr>
              <w:t>1,057,910</w:t>
            </w:r>
          </w:p>
        </w:tc>
        <w:tc>
          <w:tcPr>
            <w:tcW w:w="1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
                <w:szCs w:val="2"/>
                <w:color w:val="auto"/>
              </w:rPr>
            </w:pPr>
          </w:p>
        </w:tc>
        <w:tc>
          <w:tcPr>
            <w:tcW w:w="184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66"/>
        </w:trPr>
        <w:tc>
          <w:tcPr>
            <w:tcW w:w="8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3"/>
                <w:szCs w:val="13"/>
                <w:b w:val="1"/>
                <w:bCs w:val="1"/>
                <w:color w:val="852166"/>
              </w:rPr>
              <w:t>M.S.C.E.</w:t>
            </w:r>
          </w:p>
        </w:tc>
        <w:tc>
          <w:tcPr>
            <w:tcW w:w="1100" w:type="dxa"/>
            <w:vAlign w:val="bottom"/>
            <w:tcBorders>
              <w:bottom w:val="single" w:sz="8" w:color="5673B8"/>
            </w:tcBorders>
            <w:vMerge w:val="continue"/>
          </w:tcPr>
          <w:p>
            <w:pPr>
              <w:spacing w:after="0"/>
              <w:rPr>
                <w:sz w:val="14"/>
                <w:szCs w:val="14"/>
                <w:color w:val="auto"/>
              </w:rPr>
            </w:pPr>
          </w:p>
        </w:tc>
        <w:tc>
          <w:tcPr>
            <w:tcW w:w="1240" w:type="dxa"/>
            <w:vAlign w:val="bottom"/>
            <w:tcBorders>
              <w:bottom w:val="single" w:sz="8" w:color="5673B8"/>
            </w:tcBorders>
            <w:vMerge w:val="continue"/>
          </w:tcPr>
          <w:p>
            <w:pPr>
              <w:spacing w:after="0"/>
              <w:rPr>
                <w:sz w:val="14"/>
                <w:szCs w:val="14"/>
                <w:color w:val="auto"/>
              </w:rPr>
            </w:pPr>
          </w:p>
        </w:tc>
        <w:tc>
          <w:tcPr>
            <w:tcW w:w="740" w:type="dxa"/>
            <w:vAlign w:val="bottom"/>
            <w:tcBorders>
              <w:bottom w:val="single" w:sz="8" w:color="5673B8"/>
            </w:tcBorders>
            <w:vMerge w:val="continue"/>
          </w:tcPr>
          <w:p>
            <w:pPr>
              <w:spacing w:after="0"/>
              <w:rPr>
                <w:sz w:val="14"/>
                <w:szCs w:val="14"/>
                <w:color w:val="auto"/>
              </w:rPr>
            </w:pPr>
          </w:p>
        </w:tc>
        <w:tc>
          <w:tcPr>
            <w:tcW w:w="940" w:type="dxa"/>
            <w:vAlign w:val="bottom"/>
            <w:tcBorders>
              <w:bottom w:val="single" w:sz="8" w:color="5673B8"/>
            </w:tcBorders>
            <w:gridSpan w:val="2"/>
            <w:vMerge w:val="continue"/>
          </w:tcPr>
          <w:p>
            <w:pPr>
              <w:spacing w:after="0"/>
              <w:rPr>
                <w:sz w:val="14"/>
                <w:szCs w:val="14"/>
                <w:color w:val="auto"/>
              </w:rPr>
            </w:pPr>
          </w:p>
        </w:tc>
        <w:tc>
          <w:tcPr>
            <w:tcW w:w="880" w:type="dxa"/>
            <w:vAlign w:val="bottom"/>
            <w:tcBorders>
              <w:bottom w:val="single" w:sz="8" w:color="5673B8"/>
            </w:tcBorders>
            <w:vMerge w:val="continue"/>
          </w:tcPr>
          <w:p>
            <w:pPr>
              <w:spacing w:after="0"/>
              <w:rPr>
                <w:sz w:val="14"/>
                <w:szCs w:val="14"/>
                <w:color w:val="auto"/>
              </w:rPr>
            </w:pPr>
          </w:p>
        </w:tc>
        <w:tc>
          <w:tcPr>
            <w:tcW w:w="300" w:type="dxa"/>
            <w:vAlign w:val="bottom"/>
            <w:tcBorders>
              <w:bottom w:val="single" w:sz="8" w:color="5673B8"/>
            </w:tcBorders>
            <w:vMerge w:val="continue"/>
          </w:tcPr>
          <w:p>
            <w:pPr>
              <w:spacing w:after="0"/>
              <w:rPr>
                <w:sz w:val="14"/>
                <w:szCs w:val="14"/>
                <w:color w:val="auto"/>
              </w:rPr>
            </w:pPr>
          </w:p>
        </w:tc>
        <w:tc>
          <w:tcPr>
            <w:tcW w:w="1200" w:type="dxa"/>
            <w:vAlign w:val="bottom"/>
            <w:tcBorders>
              <w:bottom w:val="single" w:sz="8" w:color="5673B8"/>
            </w:tcBorders>
            <w:vMerge w:val="continue"/>
          </w:tcPr>
          <w:p>
            <w:pPr>
              <w:spacing w:after="0"/>
              <w:rPr>
                <w:sz w:val="14"/>
                <w:szCs w:val="14"/>
                <w:color w:val="auto"/>
              </w:rPr>
            </w:pPr>
          </w:p>
        </w:tc>
        <w:tc>
          <w:tcPr>
            <w:tcW w:w="1680" w:type="dxa"/>
            <w:vAlign w:val="bottom"/>
            <w:tcBorders>
              <w:bottom w:val="single" w:sz="8" w:color="5673B8"/>
            </w:tcBorders>
            <w:vMerge w:val="continue"/>
          </w:tcPr>
          <w:p>
            <w:pPr>
              <w:spacing w:after="0"/>
              <w:rPr>
                <w:sz w:val="14"/>
                <w:szCs w:val="14"/>
                <w:color w:val="auto"/>
              </w:rPr>
            </w:pPr>
          </w:p>
        </w:tc>
        <w:tc>
          <w:tcPr>
            <w:tcW w:w="320" w:type="dxa"/>
            <w:vAlign w:val="bottom"/>
            <w:tcBorders>
              <w:bottom w:val="single" w:sz="8" w:color="5673B8"/>
            </w:tcBorders>
          </w:tcPr>
          <w:p>
            <w:pPr>
              <w:spacing w:after="0"/>
              <w:rPr>
                <w:sz w:val="14"/>
                <w:szCs w:val="14"/>
                <w:color w:val="auto"/>
              </w:rPr>
            </w:pPr>
          </w:p>
        </w:tc>
        <w:tc>
          <w:tcPr>
            <w:tcW w:w="1840" w:type="dxa"/>
            <w:vAlign w:val="bottom"/>
            <w:tcBorders>
              <w:bottom w:val="single" w:sz="8" w:color="5673B8"/>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2,843</w:t>
            </w:r>
          </w:p>
        </w:tc>
        <w:tc>
          <w:tcPr>
            <w:tcW w:w="300" w:type="dxa"/>
            <w:vAlign w:val="bottom"/>
          </w:tcPr>
          <w:p>
            <w:pPr>
              <w:ind w:left="20"/>
              <w:spacing w:after="0"/>
              <w:rPr>
                <w:sz w:val="20"/>
                <w:szCs w:val="20"/>
                <w:color w:val="auto"/>
              </w:rPr>
            </w:pPr>
            <w:r>
              <w:rPr>
                <w:rFonts w:ascii="Arial" w:cs="Arial" w:eastAsia="Arial" w:hAnsi="Arial"/>
                <w:sz w:val="8"/>
                <w:szCs w:val="8"/>
                <w:color w:val="auto"/>
              </w:rPr>
              <w:t>(11)</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483,310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11,699</w:t>
            </w:r>
          </w:p>
        </w:tc>
        <w:tc>
          <w:tcPr>
            <w:tcW w:w="300" w:type="dxa"/>
            <w:vAlign w:val="bottom"/>
          </w:tcPr>
          <w:p>
            <w:pPr>
              <w:ind w:left="20"/>
              <w:spacing w:after="0"/>
              <w:rPr>
                <w:sz w:val="20"/>
                <w:szCs w:val="20"/>
                <w:color w:val="auto"/>
              </w:rPr>
            </w:pPr>
            <w:r>
              <w:rPr>
                <w:rFonts w:ascii="Arial" w:cs="Arial" w:eastAsia="Arial" w:hAnsi="Arial"/>
                <w:sz w:val="8"/>
                <w:szCs w:val="8"/>
                <w:color w:val="auto"/>
              </w:rPr>
              <w:t>(12)</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1,988,830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Borders>
              <w:bottom w:val="single" w:sz="8" w:color="5673B8"/>
            </w:tcBorders>
          </w:tcPr>
          <w:p>
            <w:pPr>
              <w:spacing w:after="0"/>
              <w:rPr>
                <w:sz w:val="2"/>
                <w:szCs w:val="2"/>
                <w:color w:val="auto"/>
              </w:rPr>
            </w:pPr>
          </w:p>
        </w:tc>
        <w:tc>
          <w:tcPr>
            <w:tcW w:w="940" w:type="dxa"/>
            <w:vAlign w:val="bottom"/>
            <w:tcBorders>
              <w:bottom w:val="single" w:sz="8" w:color="5673B8"/>
            </w:tcBorders>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21,000</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113.1</w:t>
            </w:r>
          </w:p>
        </w:tc>
        <w:tc>
          <w:tcPr>
            <w:tcW w:w="840" w:type="dxa"/>
            <w:vAlign w:val="bottom"/>
          </w:tcPr>
          <w:p>
            <w:pPr>
              <w:jc w:val="center"/>
              <w:ind w:right="17"/>
              <w:spacing w:after="0"/>
              <w:rPr>
                <w:sz w:val="20"/>
                <w:szCs w:val="20"/>
                <w:color w:val="auto"/>
              </w:rPr>
            </w:pPr>
            <w:r>
              <w:rPr>
                <w:rFonts w:ascii="Arial" w:cs="Arial" w:eastAsia="Arial" w:hAnsi="Arial"/>
                <w:sz w:val="13"/>
                <w:szCs w:val="13"/>
                <w:color w:val="auto"/>
                <w:w w:val="96"/>
              </w:rPr>
              <w:t>2/26/2030</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12,518</w:t>
            </w:r>
          </w:p>
        </w:tc>
        <w:tc>
          <w:tcPr>
            <w:tcW w:w="300" w:type="dxa"/>
            <w:vAlign w:val="bottom"/>
          </w:tcPr>
          <w:p>
            <w:pPr>
              <w:ind w:left="20"/>
              <w:spacing w:after="0"/>
              <w:rPr>
                <w:sz w:val="20"/>
                <w:szCs w:val="20"/>
                <w:color w:val="auto"/>
              </w:rPr>
            </w:pPr>
            <w:r>
              <w:rPr>
                <w:rFonts w:ascii="Arial" w:cs="Arial" w:eastAsia="Arial" w:hAnsi="Arial"/>
                <w:sz w:val="8"/>
                <w:szCs w:val="8"/>
                <w:color w:val="auto"/>
              </w:rPr>
              <w:t>(6)</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2,128,060</w:t>
            </w:r>
          </w:p>
        </w:tc>
        <w:tc>
          <w:tcPr>
            <w:tcW w:w="1680" w:type="dxa"/>
            <w:vAlign w:val="bottom"/>
          </w:tcPr>
          <w:p>
            <w:pPr>
              <w:jc w:val="right"/>
              <w:spacing w:after="0"/>
              <w:rPr>
                <w:sz w:val="20"/>
                <w:szCs w:val="20"/>
                <w:color w:val="auto"/>
              </w:rPr>
            </w:pPr>
            <w:r>
              <w:rPr>
                <w:rFonts w:ascii="Arial" w:cs="Arial" w:eastAsia="Arial" w:hAnsi="Arial"/>
                <w:sz w:val="13"/>
                <w:szCs w:val="13"/>
                <w:color w:val="auto"/>
              </w:rPr>
              <w:t>25,036</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(16)</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4,256,120</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30,000</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137.12</w:t>
            </w:r>
          </w:p>
        </w:tc>
        <w:tc>
          <w:tcPr>
            <w:tcW w:w="840" w:type="dxa"/>
            <w:vAlign w:val="bottom"/>
          </w:tcPr>
          <w:p>
            <w:pPr>
              <w:jc w:val="center"/>
              <w:ind w:right="17"/>
              <w:spacing w:after="0"/>
              <w:rPr>
                <w:sz w:val="20"/>
                <w:szCs w:val="20"/>
                <w:color w:val="auto"/>
              </w:rPr>
            </w:pPr>
            <w:r>
              <w:rPr>
                <w:rFonts w:ascii="Arial" w:cs="Arial" w:eastAsia="Arial" w:hAnsi="Arial"/>
                <w:sz w:val="13"/>
                <w:szCs w:val="13"/>
                <w:color w:val="auto"/>
                <w:w w:val="94"/>
              </w:rPr>
              <w:t>8/7/2029</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5,778</w:t>
            </w:r>
          </w:p>
        </w:tc>
        <w:tc>
          <w:tcPr>
            <w:tcW w:w="300" w:type="dxa"/>
            <w:vAlign w:val="bottom"/>
          </w:tcPr>
          <w:p>
            <w:pPr>
              <w:ind w:left="20"/>
              <w:spacing w:after="0"/>
              <w:rPr>
                <w:sz w:val="20"/>
                <w:szCs w:val="20"/>
                <w:color w:val="auto"/>
              </w:rPr>
            </w:pPr>
            <w:r>
              <w:rPr>
                <w:rFonts w:ascii="Arial" w:cs="Arial" w:eastAsia="Arial" w:hAnsi="Arial"/>
                <w:sz w:val="8"/>
                <w:szCs w:val="8"/>
                <w:color w:val="auto"/>
              </w:rPr>
              <w:t>(7)</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982,260</w:t>
            </w:r>
          </w:p>
        </w:tc>
        <w:tc>
          <w:tcPr>
            <w:tcW w:w="1680" w:type="dxa"/>
            <w:vAlign w:val="bottom"/>
          </w:tcPr>
          <w:p>
            <w:pPr>
              <w:jc w:val="right"/>
              <w:spacing w:after="0"/>
              <w:rPr>
                <w:sz w:val="20"/>
                <w:szCs w:val="20"/>
                <w:color w:val="auto"/>
              </w:rPr>
            </w:pPr>
            <w:r>
              <w:rPr>
                <w:rFonts w:ascii="Arial" w:cs="Arial" w:eastAsia="Arial" w:hAnsi="Arial"/>
                <w:sz w:val="13"/>
                <w:szCs w:val="13"/>
                <w:color w:val="auto"/>
              </w:rPr>
              <w:t>24,696</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(17)</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4,198,320</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40" w:type="dxa"/>
            <w:vAlign w:val="bottom"/>
            <w:vMerge w:val="restart"/>
          </w:tcPr>
          <w:p>
            <w:pPr>
              <w:ind w:left="20"/>
              <w:spacing w:after="0"/>
              <w:rPr>
                <w:sz w:val="20"/>
                <w:szCs w:val="20"/>
                <w:color w:val="auto"/>
              </w:rPr>
            </w:pPr>
            <w:r>
              <w:rPr>
                <w:rFonts w:ascii="Arial" w:cs="Arial" w:eastAsia="Arial" w:hAnsi="Arial"/>
                <w:sz w:val="13"/>
                <w:szCs w:val="13"/>
                <w:b w:val="1"/>
                <w:bCs w:val="1"/>
                <w:color w:val="852166"/>
                <w:w w:val="99"/>
              </w:rPr>
              <w:t>Neena M. Patil</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9,261</w:t>
            </w:r>
          </w:p>
        </w:tc>
        <w:tc>
          <w:tcPr>
            <w:tcW w:w="300" w:type="dxa"/>
            <w:vAlign w:val="bottom"/>
          </w:tcPr>
          <w:p>
            <w:pPr>
              <w:ind w:left="20"/>
              <w:spacing w:after="0"/>
              <w:rPr>
                <w:sz w:val="20"/>
                <w:szCs w:val="20"/>
                <w:color w:val="auto"/>
              </w:rPr>
            </w:pPr>
            <w:r>
              <w:rPr>
                <w:rFonts w:ascii="Arial" w:cs="Arial" w:eastAsia="Arial" w:hAnsi="Arial"/>
                <w:sz w:val="8"/>
                <w:szCs w:val="8"/>
                <w:color w:val="auto"/>
              </w:rPr>
              <w:t>(8)</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1,574,370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1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vMerge w:val="restart"/>
          </w:tcPr>
          <w:p>
            <w:pPr>
              <w:ind w:left="94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4,709</w:t>
            </w:r>
          </w:p>
        </w:tc>
        <w:tc>
          <w:tcPr>
            <w:tcW w:w="300" w:type="dxa"/>
            <w:vAlign w:val="bottom"/>
            <w:vMerge w:val="restart"/>
          </w:tcPr>
          <w:p>
            <w:pPr>
              <w:ind w:left="20"/>
              <w:spacing w:after="0"/>
              <w:rPr>
                <w:sz w:val="20"/>
                <w:szCs w:val="20"/>
                <w:color w:val="auto"/>
              </w:rPr>
            </w:pPr>
            <w:r>
              <w:rPr>
                <w:rFonts w:ascii="Arial" w:cs="Arial" w:eastAsia="Arial" w:hAnsi="Arial"/>
                <w:sz w:val="8"/>
                <w:szCs w:val="8"/>
                <w:color w:val="auto"/>
              </w:rPr>
              <w:t>(10)</w:t>
            </w:r>
          </w:p>
        </w:tc>
        <w:tc>
          <w:tcPr>
            <w:tcW w:w="1200" w:type="dxa"/>
            <w:vAlign w:val="bottom"/>
            <w:vMerge w:val="restart"/>
          </w:tcPr>
          <w:p>
            <w:pPr>
              <w:jc w:val="right"/>
              <w:ind w:right="57"/>
              <w:spacing w:after="0"/>
              <w:rPr>
                <w:sz w:val="20"/>
                <w:szCs w:val="20"/>
                <w:color w:val="auto"/>
              </w:rPr>
            </w:pPr>
            <w:r>
              <w:rPr>
                <w:rFonts w:ascii="Arial" w:cs="Arial" w:eastAsia="Arial" w:hAnsi="Arial"/>
                <w:sz w:val="13"/>
                <w:szCs w:val="13"/>
                <w:color w:val="auto"/>
              </w:rPr>
              <w:t>800,530</w:t>
            </w:r>
          </w:p>
        </w:tc>
        <w:tc>
          <w:tcPr>
            <w:tcW w:w="1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5"/>
                <w:szCs w:val="5"/>
                <w:color w:val="auto"/>
              </w:rPr>
            </w:pPr>
          </w:p>
        </w:tc>
        <w:tc>
          <w:tcPr>
            <w:tcW w:w="184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2,221</w:t>
            </w:r>
          </w:p>
        </w:tc>
        <w:tc>
          <w:tcPr>
            <w:tcW w:w="300" w:type="dxa"/>
            <w:vAlign w:val="bottom"/>
          </w:tcPr>
          <w:p>
            <w:pPr>
              <w:ind w:left="20"/>
              <w:spacing w:after="0"/>
              <w:rPr>
                <w:sz w:val="20"/>
                <w:szCs w:val="20"/>
                <w:color w:val="auto"/>
              </w:rPr>
            </w:pPr>
            <w:r>
              <w:rPr>
                <w:rFonts w:ascii="Arial" w:cs="Arial" w:eastAsia="Arial" w:hAnsi="Arial"/>
                <w:sz w:val="8"/>
                <w:szCs w:val="8"/>
                <w:color w:val="auto"/>
              </w:rPr>
              <w:t>(11)</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377,570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8,852</w:t>
            </w:r>
          </w:p>
        </w:tc>
        <w:tc>
          <w:tcPr>
            <w:tcW w:w="300" w:type="dxa"/>
            <w:vAlign w:val="bottom"/>
          </w:tcPr>
          <w:p>
            <w:pPr>
              <w:ind w:left="20"/>
              <w:spacing w:after="0"/>
              <w:rPr>
                <w:sz w:val="20"/>
                <w:szCs w:val="20"/>
                <w:color w:val="auto"/>
              </w:rPr>
            </w:pPr>
            <w:r>
              <w:rPr>
                <w:rFonts w:ascii="Arial" w:cs="Arial" w:eastAsia="Arial" w:hAnsi="Arial"/>
                <w:sz w:val="8"/>
                <w:szCs w:val="8"/>
                <w:color w:val="auto"/>
              </w:rPr>
              <w:t>(12)</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1,504,840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Borders>
              <w:bottom w:val="single" w:sz="8" w:color="5673B8"/>
            </w:tcBorders>
          </w:tcPr>
          <w:p>
            <w:pPr>
              <w:spacing w:after="0"/>
              <w:rPr>
                <w:sz w:val="2"/>
                <w:szCs w:val="2"/>
                <w:color w:val="auto"/>
              </w:rPr>
            </w:pPr>
          </w:p>
        </w:tc>
        <w:tc>
          <w:tcPr>
            <w:tcW w:w="940" w:type="dxa"/>
            <w:vAlign w:val="bottom"/>
            <w:tcBorders>
              <w:bottom w:val="single" w:sz="8" w:color="5673B8"/>
            </w:tcBorders>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6,907</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109.45</w:t>
            </w:r>
          </w:p>
        </w:tc>
        <w:tc>
          <w:tcPr>
            <w:tcW w:w="840" w:type="dxa"/>
            <w:vAlign w:val="bottom"/>
          </w:tcPr>
          <w:p>
            <w:pPr>
              <w:jc w:val="center"/>
              <w:ind w:right="17"/>
              <w:spacing w:after="0"/>
              <w:rPr>
                <w:sz w:val="20"/>
                <w:szCs w:val="20"/>
                <w:color w:val="auto"/>
              </w:rPr>
            </w:pPr>
            <w:r>
              <w:rPr>
                <w:rFonts w:ascii="Arial" w:cs="Arial" w:eastAsia="Arial" w:hAnsi="Arial"/>
                <w:sz w:val="13"/>
                <w:szCs w:val="13"/>
                <w:color w:val="auto"/>
                <w:w w:val="94"/>
              </w:rPr>
              <w:t>5/6/2030</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11,941</w:t>
            </w:r>
          </w:p>
        </w:tc>
        <w:tc>
          <w:tcPr>
            <w:tcW w:w="300" w:type="dxa"/>
            <w:vAlign w:val="bottom"/>
          </w:tcPr>
          <w:p>
            <w:pPr>
              <w:ind w:left="20"/>
              <w:spacing w:after="0"/>
              <w:rPr>
                <w:sz w:val="20"/>
                <w:szCs w:val="20"/>
                <w:color w:val="auto"/>
              </w:rPr>
            </w:pPr>
            <w:r>
              <w:rPr>
                <w:rFonts w:ascii="Arial" w:cs="Arial" w:eastAsia="Arial" w:hAnsi="Arial"/>
                <w:sz w:val="8"/>
                <w:szCs w:val="8"/>
                <w:color w:val="auto"/>
              </w:rPr>
              <w:t>(6)</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2,029,970</w:t>
            </w:r>
          </w:p>
        </w:tc>
        <w:tc>
          <w:tcPr>
            <w:tcW w:w="1680" w:type="dxa"/>
            <w:vAlign w:val="bottom"/>
          </w:tcPr>
          <w:p>
            <w:pPr>
              <w:jc w:val="right"/>
              <w:spacing w:after="0"/>
              <w:rPr>
                <w:sz w:val="20"/>
                <w:szCs w:val="20"/>
                <w:color w:val="auto"/>
              </w:rPr>
            </w:pPr>
            <w:r>
              <w:rPr>
                <w:rFonts w:ascii="Arial" w:cs="Arial" w:eastAsia="Arial" w:hAnsi="Arial"/>
                <w:sz w:val="13"/>
                <w:szCs w:val="13"/>
                <w:color w:val="auto"/>
              </w:rPr>
              <w:t>23,882</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(16)</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4,059,940</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5,778</w:t>
            </w:r>
          </w:p>
        </w:tc>
        <w:tc>
          <w:tcPr>
            <w:tcW w:w="300" w:type="dxa"/>
            <w:vAlign w:val="bottom"/>
          </w:tcPr>
          <w:p>
            <w:pPr>
              <w:ind w:left="20"/>
              <w:spacing w:after="0"/>
              <w:rPr>
                <w:sz w:val="20"/>
                <w:szCs w:val="20"/>
                <w:color w:val="auto"/>
              </w:rPr>
            </w:pPr>
            <w:r>
              <w:rPr>
                <w:rFonts w:ascii="Arial" w:cs="Arial" w:eastAsia="Arial" w:hAnsi="Arial"/>
                <w:sz w:val="8"/>
                <w:szCs w:val="8"/>
                <w:color w:val="auto"/>
              </w:rPr>
              <w:t>(7)</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982,260</w:t>
            </w:r>
          </w:p>
        </w:tc>
        <w:tc>
          <w:tcPr>
            <w:tcW w:w="1680" w:type="dxa"/>
            <w:vAlign w:val="bottom"/>
          </w:tcPr>
          <w:p>
            <w:pPr>
              <w:jc w:val="right"/>
              <w:spacing w:after="0"/>
              <w:rPr>
                <w:sz w:val="20"/>
                <w:szCs w:val="20"/>
                <w:color w:val="auto"/>
              </w:rPr>
            </w:pPr>
            <w:r>
              <w:rPr>
                <w:rFonts w:ascii="Arial" w:cs="Arial" w:eastAsia="Arial" w:hAnsi="Arial"/>
                <w:sz w:val="13"/>
                <w:szCs w:val="13"/>
                <w:color w:val="auto"/>
              </w:rPr>
              <w:t>24,122</w:t>
            </w:r>
          </w:p>
        </w:tc>
        <w:tc>
          <w:tcPr>
            <w:tcW w:w="320" w:type="dxa"/>
            <w:vAlign w:val="bottom"/>
          </w:tcPr>
          <w:p>
            <w:pPr>
              <w:jc w:val="right"/>
              <w:ind w:right="99"/>
              <w:spacing w:after="0"/>
              <w:rPr>
                <w:sz w:val="20"/>
                <w:szCs w:val="20"/>
                <w:color w:val="auto"/>
              </w:rPr>
            </w:pPr>
            <w:r>
              <w:rPr>
                <w:rFonts w:ascii="Arial" w:cs="Arial" w:eastAsia="Arial" w:hAnsi="Arial"/>
                <w:sz w:val="8"/>
                <w:szCs w:val="8"/>
                <w:color w:val="auto"/>
              </w:rPr>
              <w:t>(17)</w:t>
            </w: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4,100,740</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vMerge w:val="restart"/>
          </w:tcPr>
          <w:p>
            <w:pPr>
              <w:ind w:left="20"/>
              <w:spacing w:after="0"/>
              <w:rPr>
                <w:sz w:val="20"/>
                <w:szCs w:val="20"/>
                <w:color w:val="auto"/>
              </w:rPr>
            </w:pPr>
            <w:r>
              <w:rPr>
                <w:rFonts w:ascii="Arial" w:cs="Arial" w:eastAsia="Arial" w:hAnsi="Arial"/>
                <w:sz w:val="13"/>
                <w:szCs w:val="13"/>
                <w:b w:val="1"/>
                <w:bCs w:val="1"/>
                <w:color w:val="852166"/>
              </w:rPr>
              <w:t>Samantha</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5,247</w:t>
            </w:r>
          </w:p>
        </w:tc>
        <w:tc>
          <w:tcPr>
            <w:tcW w:w="300" w:type="dxa"/>
            <w:vAlign w:val="bottom"/>
          </w:tcPr>
          <w:p>
            <w:pPr>
              <w:ind w:left="20"/>
              <w:spacing w:after="0"/>
              <w:rPr>
                <w:sz w:val="20"/>
                <w:szCs w:val="20"/>
                <w:color w:val="auto"/>
              </w:rPr>
            </w:pPr>
            <w:r>
              <w:rPr>
                <w:rFonts w:ascii="Arial" w:cs="Arial" w:eastAsia="Arial" w:hAnsi="Arial"/>
                <w:sz w:val="8"/>
                <w:szCs w:val="8"/>
                <w:color w:val="auto"/>
              </w:rPr>
              <w:t>(14)</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891,990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100" w:type="dxa"/>
            <w:vAlign w:val="bottom"/>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1240" w:type="dxa"/>
            <w:vAlign w:val="bottom"/>
          </w:tcPr>
          <w:p>
            <w:pPr>
              <w:ind w:left="940"/>
              <w:spacing w:after="0" w:line="129"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line="129" w:lineRule="exact"/>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3,798</w:t>
            </w:r>
          </w:p>
        </w:tc>
        <w:tc>
          <w:tcPr>
            <w:tcW w:w="300" w:type="dxa"/>
            <w:vAlign w:val="bottom"/>
          </w:tcPr>
          <w:p>
            <w:pPr>
              <w:ind w:left="20"/>
              <w:spacing w:after="0"/>
              <w:rPr>
                <w:sz w:val="20"/>
                <w:szCs w:val="20"/>
                <w:color w:val="auto"/>
              </w:rPr>
            </w:pPr>
            <w:r>
              <w:rPr>
                <w:rFonts w:ascii="Arial" w:cs="Arial" w:eastAsia="Arial" w:hAnsi="Arial"/>
                <w:sz w:val="8"/>
                <w:szCs w:val="8"/>
                <w:color w:val="auto"/>
              </w:rPr>
              <w:t>(8)</w:t>
            </w:r>
          </w:p>
        </w:tc>
        <w:tc>
          <w:tcPr>
            <w:tcW w:w="1200" w:type="dxa"/>
            <w:vAlign w:val="bottom"/>
          </w:tcPr>
          <w:p>
            <w:pPr>
              <w:jc w:val="right"/>
              <w:ind w:right="57"/>
              <w:spacing w:after="0" w:line="129" w:lineRule="exact"/>
              <w:rPr>
                <w:sz w:val="20"/>
                <w:szCs w:val="20"/>
                <w:color w:val="auto"/>
              </w:rPr>
            </w:pPr>
            <w:r>
              <w:rPr>
                <w:rFonts w:ascii="Arial" w:cs="Arial" w:eastAsia="Arial" w:hAnsi="Arial"/>
                <w:sz w:val="13"/>
                <w:szCs w:val="13"/>
                <w:color w:val="auto"/>
              </w:rPr>
              <w:t>645,660</w:t>
            </w:r>
          </w:p>
        </w:tc>
        <w:tc>
          <w:tcPr>
            <w:tcW w:w="168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1840" w:type="dxa"/>
            <w:vAlign w:val="bottom"/>
          </w:tcPr>
          <w:p>
            <w:pPr>
              <w:jc w:val="right"/>
              <w:ind w:right="117"/>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940" w:type="dxa"/>
            <w:vAlign w:val="bottom"/>
          </w:tcPr>
          <w:p>
            <w:pPr>
              <w:ind w:left="20"/>
              <w:spacing w:after="0" w:line="48" w:lineRule="exact"/>
              <w:rPr>
                <w:sz w:val="20"/>
                <w:szCs w:val="20"/>
                <w:color w:val="auto"/>
              </w:rPr>
            </w:pPr>
            <w:r>
              <w:rPr>
                <w:rFonts w:ascii="Arial" w:cs="Arial" w:eastAsia="Arial" w:hAnsi="Arial"/>
                <w:sz w:val="5"/>
                <w:szCs w:val="5"/>
                <w:b w:val="1"/>
                <w:bCs w:val="1"/>
                <w:color w:val="852166"/>
              </w:rPr>
              <w:t>Pearce</w:t>
            </w:r>
          </w:p>
        </w:tc>
        <w:tc>
          <w:tcPr>
            <w:tcW w:w="1100" w:type="dxa"/>
            <w:vAlign w:val="bottom"/>
            <w:tcBorders>
              <w:bottom w:val="single" w:sz="8" w:color="5673B8"/>
            </w:tcBorders>
          </w:tcPr>
          <w:p>
            <w:pPr>
              <w:spacing w:after="0"/>
              <w:rPr>
                <w:sz w:val="5"/>
                <w:szCs w:val="5"/>
                <w:color w:val="auto"/>
              </w:rPr>
            </w:pPr>
          </w:p>
        </w:tc>
        <w:tc>
          <w:tcPr>
            <w:tcW w:w="1240" w:type="dxa"/>
            <w:vAlign w:val="bottom"/>
            <w:tcBorders>
              <w:bottom w:val="single" w:sz="8" w:color="5673B8"/>
            </w:tcBorders>
          </w:tcPr>
          <w:p>
            <w:pPr>
              <w:spacing w:after="0"/>
              <w:rPr>
                <w:sz w:val="5"/>
                <w:szCs w:val="5"/>
                <w:color w:val="auto"/>
              </w:rPr>
            </w:pPr>
          </w:p>
        </w:tc>
        <w:tc>
          <w:tcPr>
            <w:tcW w:w="740" w:type="dxa"/>
            <w:vAlign w:val="bottom"/>
            <w:tcBorders>
              <w:bottom w:val="single" w:sz="8" w:color="5673B8"/>
            </w:tcBorders>
          </w:tcPr>
          <w:p>
            <w:pPr>
              <w:spacing w:after="0"/>
              <w:rPr>
                <w:sz w:val="5"/>
                <w:szCs w:val="5"/>
                <w:color w:val="auto"/>
              </w:rPr>
            </w:pPr>
          </w:p>
        </w:tc>
        <w:tc>
          <w:tcPr>
            <w:tcW w:w="840" w:type="dxa"/>
            <w:vAlign w:val="bottom"/>
            <w:tcBorders>
              <w:bottom w:val="single" w:sz="8" w:color="5673B8"/>
            </w:tcBorders>
          </w:tcPr>
          <w:p>
            <w:pPr>
              <w:spacing w:after="0"/>
              <w:rPr>
                <w:sz w:val="5"/>
                <w:szCs w:val="5"/>
                <w:color w:val="auto"/>
              </w:rPr>
            </w:pPr>
          </w:p>
        </w:tc>
        <w:tc>
          <w:tcPr>
            <w:tcW w:w="100" w:type="dxa"/>
            <w:vAlign w:val="bottom"/>
            <w:tcBorders>
              <w:bottom w:val="single" w:sz="8" w:color="5673B8"/>
            </w:tcBorders>
          </w:tcPr>
          <w:p>
            <w:pPr>
              <w:spacing w:after="0"/>
              <w:rPr>
                <w:sz w:val="5"/>
                <w:szCs w:val="5"/>
                <w:color w:val="auto"/>
              </w:rPr>
            </w:pPr>
          </w:p>
        </w:tc>
        <w:tc>
          <w:tcPr>
            <w:tcW w:w="880" w:type="dxa"/>
            <w:vAlign w:val="bottom"/>
            <w:tcBorders>
              <w:bottom w:val="single" w:sz="8" w:color="5673B8"/>
            </w:tcBorders>
          </w:tcPr>
          <w:p>
            <w:pPr>
              <w:spacing w:after="0"/>
              <w:rPr>
                <w:sz w:val="5"/>
                <w:szCs w:val="5"/>
                <w:color w:val="auto"/>
              </w:rPr>
            </w:pPr>
          </w:p>
        </w:tc>
        <w:tc>
          <w:tcPr>
            <w:tcW w:w="300" w:type="dxa"/>
            <w:vAlign w:val="bottom"/>
            <w:tcBorders>
              <w:bottom w:val="single" w:sz="8" w:color="5673B8"/>
            </w:tcBorders>
          </w:tcPr>
          <w:p>
            <w:pPr>
              <w:spacing w:after="0"/>
              <w:rPr>
                <w:sz w:val="5"/>
                <w:szCs w:val="5"/>
                <w:color w:val="auto"/>
              </w:rPr>
            </w:pPr>
          </w:p>
        </w:tc>
        <w:tc>
          <w:tcPr>
            <w:tcW w:w="1200" w:type="dxa"/>
            <w:vAlign w:val="bottom"/>
            <w:tcBorders>
              <w:bottom w:val="single" w:sz="8" w:color="5673B8"/>
            </w:tcBorders>
          </w:tcPr>
          <w:p>
            <w:pPr>
              <w:spacing w:after="0"/>
              <w:rPr>
                <w:sz w:val="5"/>
                <w:szCs w:val="5"/>
                <w:color w:val="auto"/>
              </w:rPr>
            </w:pPr>
          </w:p>
        </w:tc>
        <w:tc>
          <w:tcPr>
            <w:tcW w:w="1680" w:type="dxa"/>
            <w:vAlign w:val="bottom"/>
            <w:tcBorders>
              <w:bottom w:val="single" w:sz="8" w:color="5673B8"/>
            </w:tcBorders>
          </w:tcPr>
          <w:p>
            <w:pPr>
              <w:spacing w:after="0"/>
              <w:rPr>
                <w:sz w:val="5"/>
                <w:szCs w:val="5"/>
                <w:color w:val="auto"/>
              </w:rPr>
            </w:pPr>
          </w:p>
        </w:tc>
        <w:tc>
          <w:tcPr>
            <w:tcW w:w="320" w:type="dxa"/>
            <w:vAlign w:val="bottom"/>
            <w:tcBorders>
              <w:bottom w:val="single" w:sz="8" w:color="5673B8"/>
            </w:tcBorders>
          </w:tcPr>
          <w:p>
            <w:pPr>
              <w:spacing w:after="0"/>
              <w:rPr>
                <w:sz w:val="5"/>
                <w:szCs w:val="5"/>
                <w:color w:val="auto"/>
              </w:rPr>
            </w:pPr>
          </w:p>
        </w:tc>
        <w:tc>
          <w:tcPr>
            <w:tcW w:w="1840" w:type="dxa"/>
            <w:vAlign w:val="bottom"/>
            <w:tcBorders>
              <w:bottom w:val="single" w:sz="8" w:color="5673B8"/>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1,934</w:t>
            </w:r>
          </w:p>
        </w:tc>
        <w:tc>
          <w:tcPr>
            <w:tcW w:w="300" w:type="dxa"/>
            <w:vAlign w:val="bottom"/>
          </w:tcPr>
          <w:p>
            <w:pPr>
              <w:ind w:left="20"/>
              <w:spacing w:after="0"/>
              <w:rPr>
                <w:sz w:val="20"/>
                <w:szCs w:val="20"/>
                <w:color w:val="auto"/>
              </w:rPr>
            </w:pPr>
            <w:r>
              <w:rPr>
                <w:rFonts w:ascii="Arial" w:cs="Arial" w:eastAsia="Arial" w:hAnsi="Arial"/>
                <w:sz w:val="8"/>
                <w:szCs w:val="8"/>
                <w:color w:val="auto"/>
              </w:rPr>
              <w:t>(10)</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328,780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959</w:t>
            </w:r>
          </w:p>
        </w:tc>
        <w:tc>
          <w:tcPr>
            <w:tcW w:w="300" w:type="dxa"/>
            <w:vAlign w:val="bottom"/>
          </w:tcPr>
          <w:p>
            <w:pPr>
              <w:ind w:left="20"/>
              <w:spacing w:after="0"/>
              <w:rPr>
                <w:sz w:val="20"/>
                <w:szCs w:val="20"/>
                <w:color w:val="auto"/>
              </w:rPr>
            </w:pPr>
            <w:r>
              <w:rPr>
                <w:rFonts w:ascii="Arial" w:cs="Arial" w:eastAsia="Arial" w:hAnsi="Arial"/>
                <w:sz w:val="8"/>
                <w:szCs w:val="8"/>
                <w:color w:val="auto"/>
              </w:rPr>
              <w:t>(11)</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163,030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Borders>
              <w:bottom w:val="single" w:sz="8" w:color="5673B8"/>
            </w:tcBorders>
          </w:tcPr>
          <w:p>
            <w:pPr>
              <w:spacing w:after="0"/>
              <w:rPr>
                <w:sz w:val="2"/>
                <w:szCs w:val="2"/>
                <w:color w:val="auto"/>
              </w:rPr>
            </w:pPr>
          </w:p>
        </w:tc>
        <w:tc>
          <w:tcPr>
            <w:tcW w:w="1240" w:type="dxa"/>
            <w:vAlign w:val="bottom"/>
            <w:tcBorders>
              <w:bottom w:val="single" w:sz="8" w:color="5673B8"/>
            </w:tcBorders>
          </w:tcPr>
          <w:p>
            <w:pPr>
              <w:spacing w:after="0"/>
              <w:rPr>
                <w:sz w:val="2"/>
                <w:szCs w:val="2"/>
                <w:color w:val="auto"/>
              </w:rPr>
            </w:pPr>
          </w:p>
        </w:tc>
        <w:tc>
          <w:tcPr>
            <w:tcW w:w="740" w:type="dxa"/>
            <w:vAlign w:val="bottom"/>
            <w:tcBorders>
              <w:bottom w:val="single" w:sz="8" w:color="5673B8"/>
            </w:tcBorders>
          </w:tcPr>
          <w:p>
            <w:pPr>
              <w:spacing w:after="0"/>
              <w:rPr>
                <w:sz w:val="2"/>
                <w:szCs w:val="2"/>
                <w:color w:val="auto"/>
              </w:rPr>
            </w:pPr>
          </w:p>
        </w:tc>
        <w:tc>
          <w:tcPr>
            <w:tcW w:w="840" w:type="dxa"/>
            <w:vAlign w:val="bottom"/>
            <w:tcBorders>
              <w:bottom w:val="single" w:sz="8" w:color="5673B8"/>
            </w:tcBorders>
          </w:tcPr>
          <w:p>
            <w:pPr>
              <w:spacing w:after="0"/>
              <w:rPr>
                <w:sz w:val="2"/>
                <w:szCs w:val="2"/>
                <w:color w:val="auto"/>
              </w:rPr>
            </w:pPr>
          </w:p>
        </w:tc>
        <w:tc>
          <w:tcPr>
            <w:tcW w:w="100" w:type="dxa"/>
            <w:vAlign w:val="bottom"/>
            <w:tcBorders>
              <w:bottom w:val="single" w:sz="8" w:color="5673B8"/>
            </w:tcBorders>
          </w:tcPr>
          <w:p>
            <w:pPr>
              <w:spacing w:after="0"/>
              <w:rPr>
                <w:sz w:val="2"/>
                <w:szCs w:val="2"/>
                <w:color w:val="auto"/>
              </w:rPr>
            </w:pPr>
          </w:p>
        </w:tc>
        <w:tc>
          <w:tcPr>
            <w:tcW w:w="880" w:type="dxa"/>
            <w:vAlign w:val="bottom"/>
            <w:tcBorders>
              <w:bottom w:val="single" w:sz="8" w:color="5673B8"/>
            </w:tcBorders>
          </w:tcPr>
          <w:p>
            <w:pPr>
              <w:spacing w:after="0"/>
              <w:rPr>
                <w:sz w:val="2"/>
                <w:szCs w:val="2"/>
                <w:color w:val="auto"/>
              </w:rPr>
            </w:pPr>
          </w:p>
        </w:tc>
        <w:tc>
          <w:tcPr>
            <w:tcW w:w="300" w:type="dxa"/>
            <w:vAlign w:val="bottom"/>
            <w:tcBorders>
              <w:bottom w:val="single" w:sz="8" w:color="5673B8"/>
            </w:tcBorders>
          </w:tcPr>
          <w:p>
            <w:pPr>
              <w:spacing w:after="0"/>
              <w:rPr>
                <w:sz w:val="2"/>
                <w:szCs w:val="2"/>
                <w:color w:val="auto"/>
              </w:rPr>
            </w:pPr>
          </w:p>
        </w:tc>
        <w:tc>
          <w:tcPr>
            <w:tcW w:w="1200" w:type="dxa"/>
            <w:vAlign w:val="bottom"/>
            <w:tcBorders>
              <w:bottom w:val="single" w:sz="8" w:color="5673B8"/>
            </w:tcBorders>
          </w:tcPr>
          <w:p>
            <w:pPr>
              <w:spacing w:after="0"/>
              <w:rPr>
                <w:sz w:val="2"/>
                <w:szCs w:val="2"/>
                <w:color w:val="auto"/>
              </w:rPr>
            </w:pPr>
          </w:p>
        </w:tc>
        <w:tc>
          <w:tcPr>
            <w:tcW w:w="1680" w:type="dxa"/>
            <w:vAlign w:val="bottom"/>
            <w:tcBorders>
              <w:bottom w:val="single" w:sz="8" w:color="5673B8"/>
            </w:tcBorders>
          </w:tcPr>
          <w:p>
            <w:pPr>
              <w:spacing w:after="0"/>
              <w:rPr>
                <w:sz w:val="2"/>
                <w:szCs w:val="2"/>
                <w:color w:val="auto"/>
              </w:rPr>
            </w:pPr>
          </w:p>
        </w:tc>
        <w:tc>
          <w:tcPr>
            <w:tcW w:w="320" w:type="dxa"/>
            <w:vAlign w:val="bottom"/>
            <w:tcBorders>
              <w:bottom w:val="single" w:sz="8" w:color="5673B8"/>
            </w:tcBorders>
          </w:tcPr>
          <w:p>
            <w:pPr>
              <w:spacing w:after="0"/>
              <w:rPr>
                <w:sz w:val="2"/>
                <w:szCs w:val="2"/>
                <w:color w:val="auto"/>
              </w:rPr>
            </w:pPr>
          </w:p>
        </w:tc>
        <w:tc>
          <w:tcPr>
            <w:tcW w:w="1840" w:type="dxa"/>
            <w:vAlign w:val="bottom"/>
            <w:tcBorders>
              <w:bottom w:val="single" w:sz="8" w:color="5673B8"/>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Pr>
          <w:p>
            <w:pPr>
              <w:ind w:left="9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3,637</w:t>
            </w:r>
          </w:p>
        </w:tc>
        <w:tc>
          <w:tcPr>
            <w:tcW w:w="300" w:type="dxa"/>
            <w:vAlign w:val="bottom"/>
          </w:tcPr>
          <w:p>
            <w:pPr>
              <w:ind w:left="20"/>
              <w:spacing w:after="0"/>
              <w:rPr>
                <w:sz w:val="20"/>
                <w:szCs w:val="20"/>
                <w:color w:val="auto"/>
              </w:rPr>
            </w:pPr>
            <w:r>
              <w:rPr>
                <w:rFonts w:ascii="Arial" w:cs="Arial" w:eastAsia="Arial" w:hAnsi="Arial"/>
                <w:sz w:val="8"/>
                <w:szCs w:val="8"/>
                <w:color w:val="auto"/>
              </w:rPr>
              <w:t>(12)</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618,290</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Borders>
              <w:bottom w:val="single" w:sz="8" w:color="852166"/>
            </w:tcBorders>
          </w:tcPr>
          <w:p>
            <w:pPr>
              <w:spacing w:after="0"/>
              <w:rPr>
                <w:sz w:val="2"/>
                <w:szCs w:val="2"/>
                <w:color w:val="auto"/>
              </w:rPr>
            </w:pPr>
          </w:p>
        </w:tc>
        <w:tc>
          <w:tcPr>
            <w:tcW w:w="940" w:type="dxa"/>
            <w:vAlign w:val="bottom"/>
            <w:tcBorders>
              <w:bottom w:val="single" w:sz="8" w:color="852166"/>
            </w:tcBorders>
          </w:tcPr>
          <w:p>
            <w:pPr>
              <w:spacing w:after="0"/>
              <w:rPr>
                <w:sz w:val="2"/>
                <w:szCs w:val="2"/>
                <w:color w:val="auto"/>
              </w:rPr>
            </w:pPr>
          </w:p>
        </w:tc>
        <w:tc>
          <w:tcPr>
            <w:tcW w:w="1100" w:type="dxa"/>
            <w:vAlign w:val="bottom"/>
            <w:tcBorders>
              <w:bottom w:val="single" w:sz="8" w:color="852166"/>
            </w:tcBorders>
          </w:tcPr>
          <w:p>
            <w:pPr>
              <w:spacing w:after="0"/>
              <w:rPr>
                <w:sz w:val="2"/>
                <w:szCs w:val="2"/>
                <w:color w:val="auto"/>
              </w:rPr>
            </w:pPr>
          </w:p>
        </w:tc>
        <w:tc>
          <w:tcPr>
            <w:tcW w:w="1240" w:type="dxa"/>
            <w:vAlign w:val="bottom"/>
            <w:tcBorders>
              <w:bottom w:val="single" w:sz="8" w:color="852166"/>
            </w:tcBorders>
          </w:tcPr>
          <w:p>
            <w:pPr>
              <w:spacing w:after="0"/>
              <w:rPr>
                <w:sz w:val="2"/>
                <w:szCs w:val="2"/>
                <w:color w:val="auto"/>
              </w:rPr>
            </w:pPr>
          </w:p>
        </w:tc>
        <w:tc>
          <w:tcPr>
            <w:tcW w:w="740" w:type="dxa"/>
            <w:vAlign w:val="bottom"/>
            <w:tcBorders>
              <w:bottom w:val="single" w:sz="8" w:color="852166"/>
            </w:tcBorders>
          </w:tcPr>
          <w:p>
            <w:pPr>
              <w:spacing w:after="0"/>
              <w:rPr>
                <w:sz w:val="2"/>
                <w:szCs w:val="2"/>
                <w:color w:val="auto"/>
              </w:rPr>
            </w:pPr>
          </w:p>
        </w:tc>
        <w:tc>
          <w:tcPr>
            <w:tcW w:w="840" w:type="dxa"/>
            <w:vAlign w:val="bottom"/>
            <w:tcBorders>
              <w:bottom w:val="single" w:sz="8" w:color="852166"/>
            </w:tcBorders>
          </w:tcPr>
          <w:p>
            <w:pPr>
              <w:spacing w:after="0"/>
              <w:rPr>
                <w:sz w:val="2"/>
                <w:szCs w:val="2"/>
                <w:color w:val="auto"/>
              </w:rPr>
            </w:pPr>
          </w:p>
        </w:tc>
        <w:tc>
          <w:tcPr>
            <w:tcW w:w="100" w:type="dxa"/>
            <w:vAlign w:val="bottom"/>
            <w:tcBorders>
              <w:bottom w:val="single" w:sz="8" w:color="852166"/>
            </w:tcBorders>
          </w:tcPr>
          <w:p>
            <w:pPr>
              <w:spacing w:after="0"/>
              <w:rPr>
                <w:sz w:val="2"/>
                <w:szCs w:val="2"/>
                <w:color w:val="auto"/>
              </w:rPr>
            </w:pPr>
          </w:p>
        </w:tc>
        <w:tc>
          <w:tcPr>
            <w:tcW w:w="880" w:type="dxa"/>
            <w:vAlign w:val="bottom"/>
            <w:tcBorders>
              <w:bottom w:val="single" w:sz="8" w:color="852166"/>
            </w:tcBorders>
          </w:tcPr>
          <w:p>
            <w:pPr>
              <w:spacing w:after="0"/>
              <w:rPr>
                <w:sz w:val="2"/>
                <w:szCs w:val="2"/>
                <w:color w:val="auto"/>
              </w:rPr>
            </w:pPr>
          </w:p>
        </w:tc>
        <w:tc>
          <w:tcPr>
            <w:tcW w:w="300" w:type="dxa"/>
            <w:vAlign w:val="bottom"/>
            <w:tcBorders>
              <w:bottom w:val="single" w:sz="8" w:color="852166"/>
            </w:tcBorders>
          </w:tcPr>
          <w:p>
            <w:pPr>
              <w:spacing w:after="0"/>
              <w:rPr>
                <w:sz w:val="2"/>
                <w:szCs w:val="2"/>
                <w:color w:val="auto"/>
              </w:rPr>
            </w:pPr>
          </w:p>
        </w:tc>
        <w:tc>
          <w:tcPr>
            <w:tcW w:w="1200" w:type="dxa"/>
            <w:vAlign w:val="bottom"/>
            <w:tcBorders>
              <w:bottom w:val="single" w:sz="8" w:color="852166"/>
            </w:tcBorders>
          </w:tcPr>
          <w:p>
            <w:pPr>
              <w:spacing w:after="0"/>
              <w:rPr>
                <w:sz w:val="2"/>
                <w:szCs w:val="2"/>
                <w:color w:val="auto"/>
              </w:rPr>
            </w:pPr>
          </w:p>
        </w:tc>
        <w:tc>
          <w:tcPr>
            <w:tcW w:w="1680" w:type="dxa"/>
            <w:vAlign w:val="bottom"/>
            <w:tcBorders>
              <w:bottom w:val="single" w:sz="8" w:color="852166"/>
            </w:tcBorders>
          </w:tcPr>
          <w:p>
            <w:pPr>
              <w:spacing w:after="0"/>
              <w:rPr>
                <w:sz w:val="2"/>
                <w:szCs w:val="2"/>
                <w:color w:val="auto"/>
              </w:rPr>
            </w:pPr>
          </w:p>
        </w:tc>
        <w:tc>
          <w:tcPr>
            <w:tcW w:w="320" w:type="dxa"/>
            <w:vAlign w:val="bottom"/>
            <w:tcBorders>
              <w:bottom w:val="single" w:sz="8" w:color="852166"/>
            </w:tcBorders>
          </w:tcPr>
          <w:p>
            <w:pPr>
              <w:spacing w:after="0"/>
              <w:rPr>
                <w:sz w:val="2"/>
                <w:szCs w:val="2"/>
                <w:color w:val="auto"/>
              </w:rPr>
            </w:pPr>
          </w:p>
        </w:tc>
        <w:tc>
          <w:tcPr>
            <w:tcW w:w="1840" w:type="dxa"/>
            <w:vAlign w:val="bottom"/>
            <w:tcBorders>
              <w:bottom w:val="single" w:sz="8" w:color="85216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100" w:hanging="332"/>
        <w:spacing w:after="0" w:line="269" w:lineRule="auto"/>
        <w:tabs>
          <w:tab w:leader="none" w:pos="327"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 addition to the specific vesting schedule for each stock award, each unvested stock award is subject to the general terms of the 2011 Plan, as applicable, including the potential for future vesting acceleration described above under the heading “</w:t>
      </w:r>
      <w:r>
        <w:rPr>
          <w:rFonts w:ascii="Arial" w:cs="Arial" w:eastAsia="Arial" w:hAnsi="Arial"/>
          <w:sz w:val="14"/>
          <w:szCs w:val="14"/>
          <w:i w:val="1"/>
          <w:iCs w:val="1"/>
          <w:color w:val="auto"/>
        </w:rPr>
        <w:t>Description of Compensation Arrangements—Equity Compensation Arrangements</w:t>
      </w:r>
      <w:r>
        <w:rPr>
          <w:rFonts w:ascii="Arial" w:cs="Arial" w:eastAsia="Arial" w:hAnsi="Arial"/>
          <w:sz w:val="14"/>
          <w:szCs w:val="14"/>
          <w:color w:val="auto"/>
        </w:rPr>
        <w:t>” as well as the potential vesting acceleration (i) under the terms of the CIC Plan described below under the heading “</w:t>
      </w:r>
      <w:r>
        <w:rPr>
          <w:rFonts w:ascii="Arial" w:cs="Arial" w:eastAsia="Arial" w:hAnsi="Arial"/>
          <w:sz w:val="14"/>
          <w:szCs w:val="14"/>
          <w:i w:val="1"/>
          <w:iCs w:val="1"/>
          <w:color w:val="auto"/>
        </w:rPr>
        <w:t>Potential Payments upon Termination or Change in Control—</w:t>
      </w:r>
      <w:r>
        <w:rPr>
          <w:rFonts w:ascii="Arial" w:cs="Arial" w:eastAsia="Arial" w:hAnsi="Arial"/>
          <w:sz w:val="14"/>
          <w:szCs w:val="14"/>
          <w:color w:val="auto"/>
        </w:rPr>
        <w:t xml:space="preserve"> </w:t>
      </w:r>
      <w:r>
        <w:rPr>
          <w:rFonts w:ascii="Arial" w:cs="Arial" w:eastAsia="Arial" w:hAnsi="Arial"/>
          <w:sz w:val="14"/>
          <w:szCs w:val="14"/>
          <w:i w:val="1"/>
          <w:iCs w:val="1"/>
          <w:color w:val="auto"/>
        </w:rPr>
        <w:t>Change in Control Plan</w:t>
      </w:r>
      <w:r>
        <w:rPr>
          <w:rFonts w:ascii="Arial" w:cs="Arial" w:eastAsia="Arial" w:hAnsi="Arial"/>
          <w:sz w:val="14"/>
          <w:szCs w:val="14"/>
          <w:color w:val="auto"/>
        </w:rPr>
        <w:t>” and (ii) pursuant to the 2022, 2023, 2024 and 2025 RSU and PSU award agreements described under, “</w:t>
      </w:r>
      <w:r>
        <w:rPr>
          <w:rFonts w:ascii="Arial" w:cs="Arial" w:eastAsia="Arial" w:hAnsi="Arial"/>
          <w:sz w:val="14"/>
          <w:szCs w:val="14"/>
          <w:i w:val="1"/>
          <w:iCs w:val="1"/>
          <w:color w:val="auto"/>
        </w:rPr>
        <w:t>Potential Payments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1242695" cy="2057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83</w:t>
            </w:r>
          </w:p>
        </w:tc>
      </w:tr>
      <w:tr>
        <w:trPr>
          <w:trHeight w:val="494"/>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22" w:right="319" w:bottom="1440" w:gutter="0" w:footer="0" w:header="0"/>
        </w:sectPr>
      </w:pPr>
    </w:p>
    <w:bookmarkStart w:id="91" w:name="page92"/>
    <w:bookmarkEnd w:id="91"/>
    <w:p>
      <w:pPr>
        <w:ind w:left="112"/>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2" w:right="60"/>
        <w:spacing w:after="0" w:line="305" w:lineRule="auto"/>
        <w:rPr>
          <w:sz w:val="20"/>
          <w:szCs w:val="20"/>
          <w:color w:val="auto"/>
        </w:rPr>
      </w:pPr>
      <w:r>
        <w:rPr>
          <w:rFonts w:ascii="Arial" w:cs="Arial" w:eastAsia="Arial" w:hAnsi="Arial"/>
          <w:sz w:val="14"/>
          <w:szCs w:val="14"/>
          <w:i w:val="1"/>
          <w:iCs w:val="1"/>
          <w:color w:val="auto"/>
        </w:rPr>
        <w:t>Termination or Change in Control—Treatment of 2022, 2023, 2024 and 2025 RSUs</w:t>
      </w:r>
      <w:r>
        <w:rPr>
          <w:rFonts w:ascii="Arial" w:cs="Arial" w:eastAsia="Arial" w:hAnsi="Arial"/>
          <w:sz w:val="14"/>
          <w:szCs w:val="14"/>
          <w:color w:val="auto"/>
        </w:rPr>
        <w:t>” and “</w:t>
      </w:r>
      <w:r>
        <w:rPr>
          <w:rFonts w:ascii="Arial" w:cs="Arial" w:eastAsia="Arial" w:hAnsi="Arial"/>
          <w:sz w:val="14"/>
          <w:szCs w:val="14"/>
          <w:i w:val="1"/>
          <w:iCs w:val="1"/>
          <w:color w:val="auto"/>
        </w:rPr>
        <w:t>Potential Payments upon Termination or Change in Control—Treatment of 2023, 2024 and 2025 PSUs.</w:t>
      </w:r>
      <w:r>
        <w:rPr>
          <w:rFonts w:ascii="Arial" w:cs="Arial" w:eastAsia="Arial" w:hAnsi="Arial"/>
          <w:sz w:val="14"/>
          <w:szCs w:val="14"/>
          <w:color w:val="auto"/>
        </w:rPr>
        <w:t>”</w:t>
      </w:r>
    </w:p>
    <w:p>
      <w:pPr>
        <w:spacing w:after="0" w:line="23" w:lineRule="exact"/>
        <w:rPr>
          <w:sz w:val="20"/>
          <w:szCs w:val="20"/>
          <w:color w:val="auto"/>
        </w:rPr>
      </w:pPr>
    </w:p>
    <w:p>
      <w:pPr>
        <w:ind w:left="332" w:right="140" w:hanging="332"/>
        <w:spacing w:after="0" w:line="267" w:lineRule="auto"/>
        <w:tabs>
          <w:tab w:leader="none" w:pos="319" w:val="left"/>
        </w:tabs>
        <w:numPr>
          <w:ilvl w:val="0"/>
          <w:numId w:val="80"/>
        </w:numPr>
        <w:rPr>
          <w:rFonts w:ascii="Arial" w:cs="Arial" w:eastAsia="Arial" w:hAnsi="Arial"/>
          <w:sz w:val="14"/>
          <w:szCs w:val="14"/>
          <w:color w:val="auto"/>
        </w:rPr>
      </w:pPr>
      <w:r>
        <w:rPr>
          <w:rFonts w:ascii="Arial" w:cs="Arial" w:eastAsia="Arial" w:hAnsi="Arial"/>
          <w:sz w:val="14"/>
          <w:szCs w:val="14"/>
          <w:color w:val="auto"/>
        </w:rPr>
        <w:t>As a general matter, stock options granted to NEOs expire on the day before the tenth anniversary of their grant date, or earlier in the event of an NEO’s termination of service. In the event of an NEO’s termination of service, stock options generally expire three months after such termination of service, with the exception of Mr. Cozadd’s stock options, which expire on the date that is twelve (12) months following the date his service as a member of the Board terminates, subject to extension under limited circumstances such as if the sale of shares during such time was prohibited by our insider trading policy or if exercise would result in violation of securities registration requirements. For more information, see description under the heading “</w:t>
      </w:r>
      <w:r>
        <w:rPr>
          <w:rFonts w:ascii="Arial" w:cs="Arial" w:eastAsia="Arial" w:hAnsi="Arial"/>
          <w:sz w:val="14"/>
          <w:szCs w:val="14"/>
          <w:i w:val="1"/>
          <w:iCs w:val="1"/>
          <w:color w:val="auto"/>
        </w:rPr>
        <w:t>Potential Payments upon Termination or Change in Control—Equity Compensation Plans.</w:t>
      </w:r>
      <w:r>
        <w:rPr>
          <w:rFonts w:ascii="Arial" w:cs="Arial" w:eastAsia="Arial" w:hAnsi="Arial"/>
          <w:sz w:val="14"/>
          <w:szCs w:val="14"/>
          <w:color w:val="auto"/>
        </w:rPr>
        <w:t>”</w:t>
      </w:r>
    </w:p>
    <w:p>
      <w:pPr>
        <w:spacing w:after="0" w:line="49" w:lineRule="exact"/>
        <w:rPr>
          <w:rFonts w:ascii="Arial" w:cs="Arial" w:eastAsia="Arial" w:hAnsi="Arial"/>
          <w:sz w:val="14"/>
          <w:szCs w:val="14"/>
          <w:color w:val="auto"/>
        </w:rPr>
      </w:pPr>
    </w:p>
    <w:p>
      <w:pPr>
        <w:ind w:left="332" w:right="180" w:hanging="332"/>
        <w:spacing w:after="0" w:line="285" w:lineRule="auto"/>
        <w:tabs>
          <w:tab w:leader="none" w:pos="319"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market values of the time-based RSU awards and PSU awards that have not vested are calculated by multiplying the number of shares underlying the RSU awards and PSU awards shown in the table by $170.00, the closing price of our ordinary shares on December 31, 2025.</w:t>
      </w:r>
    </w:p>
    <w:p>
      <w:pPr>
        <w:spacing w:after="0" w:line="36" w:lineRule="exact"/>
        <w:rPr>
          <w:rFonts w:ascii="Arial" w:cs="Arial" w:eastAsia="Arial" w:hAnsi="Arial"/>
          <w:sz w:val="14"/>
          <w:szCs w:val="14"/>
          <w:color w:val="auto"/>
        </w:rPr>
      </w:pPr>
    </w:p>
    <w:p>
      <w:pPr>
        <w:ind w:left="332" w:right="80" w:hanging="332"/>
        <w:spacing w:after="0" w:line="305" w:lineRule="auto"/>
        <w:tabs>
          <w:tab w:leader="none" w:pos="319"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market values of the PSU awards that have not vested are calculated by multiplying the number of shares underlying the PSU awards shown in the table by $170.00, the closing price of our ordinary shares on December 31, 2025.</w:t>
      </w:r>
    </w:p>
    <w:p>
      <w:pPr>
        <w:spacing w:after="0" w:line="22" w:lineRule="exact"/>
        <w:rPr>
          <w:rFonts w:ascii="Arial" w:cs="Arial" w:eastAsia="Arial" w:hAnsi="Arial"/>
          <w:sz w:val="14"/>
          <w:szCs w:val="14"/>
          <w:color w:val="auto"/>
        </w:rPr>
      </w:pPr>
    </w:p>
    <w:p>
      <w:pPr>
        <w:ind w:left="312" w:hanging="312"/>
        <w:spacing w:after="0"/>
        <w:tabs>
          <w:tab w:leader="none" w:pos="312" w:val="left"/>
        </w:tabs>
        <w:numPr>
          <w:ilvl w:val="0"/>
          <w:numId w:val="80"/>
        </w:numPr>
        <w:rPr>
          <w:rFonts w:ascii="Arial" w:cs="Arial" w:eastAsia="Arial" w:hAnsi="Arial"/>
          <w:sz w:val="14"/>
          <w:szCs w:val="14"/>
          <w:color w:val="auto"/>
        </w:rPr>
      </w:pPr>
      <w:r>
        <w:rPr>
          <w:rFonts w:ascii="Arial" w:cs="Arial" w:eastAsia="Arial" w:hAnsi="Arial"/>
          <w:sz w:val="14"/>
          <w:szCs w:val="14"/>
          <w:color w:val="auto"/>
        </w:rPr>
        <w:t>RSUs awarded on August 7, 2025, vesting in equal annual installments over four years measured from the vesting commencement date of September 8, 2025.</w:t>
      </w:r>
    </w:p>
    <w:p>
      <w:pPr>
        <w:spacing w:after="0" w:line="95" w:lineRule="exact"/>
        <w:rPr>
          <w:rFonts w:ascii="Arial" w:cs="Arial" w:eastAsia="Arial" w:hAnsi="Arial"/>
          <w:sz w:val="14"/>
          <w:szCs w:val="14"/>
          <w:color w:val="auto"/>
        </w:rPr>
      </w:pPr>
    </w:p>
    <w:p>
      <w:pPr>
        <w:ind w:left="332" w:right="180" w:hanging="332"/>
        <w:spacing w:after="0" w:line="285" w:lineRule="auto"/>
        <w:tabs>
          <w:tab w:leader="none" w:pos="319" w:val="left"/>
        </w:tabs>
        <w:numPr>
          <w:ilvl w:val="0"/>
          <w:numId w:val="80"/>
        </w:numPr>
        <w:rPr>
          <w:rFonts w:ascii="Arial" w:cs="Arial" w:eastAsia="Arial" w:hAnsi="Arial"/>
          <w:sz w:val="14"/>
          <w:szCs w:val="14"/>
          <w:color w:val="auto"/>
        </w:rPr>
      </w:pPr>
      <w:r>
        <w:rPr>
          <w:rFonts w:ascii="Arial" w:cs="Arial" w:eastAsia="Arial" w:hAnsi="Arial"/>
          <w:sz w:val="14"/>
          <w:szCs w:val="14"/>
          <w:color w:val="auto"/>
        </w:rPr>
        <w:t>RSUs awarded on February 27, 2025, vesting in equal annual installments over four years measured from the vesting commencement date of March 5, 2025, subject to continued service through such date.</w:t>
      </w:r>
    </w:p>
    <w:p>
      <w:pPr>
        <w:spacing w:after="0" w:line="36" w:lineRule="exact"/>
        <w:rPr>
          <w:rFonts w:ascii="Arial" w:cs="Arial" w:eastAsia="Arial" w:hAnsi="Arial"/>
          <w:sz w:val="14"/>
          <w:szCs w:val="14"/>
          <w:color w:val="auto"/>
        </w:rPr>
      </w:pPr>
    </w:p>
    <w:p>
      <w:pPr>
        <w:ind w:left="312" w:hanging="312"/>
        <w:spacing w:after="0"/>
        <w:tabs>
          <w:tab w:leader="none" w:pos="312" w:val="left"/>
        </w:tabs>
        <w:numPr>
          <w:ilvl w:val="0"/>
          <w:numId w:val="80"/>
        </w:numPr>
        <w:rPr>
          <w:rFonts w:ascii="Arial" w:cs="Arial" w:eastAsia="Arial" w:hAnsi="Arial"/>
          <w:sz w:val="14"/>
          <w:szCs w:val="14"/>
          <w:color w:val="auto"/>
        </w:rPr>
      </w:pPr>
      <w:r>
        <w:rPr>
          <w:rFonts w:ascii="Arial" w:cs="Arial" w:eastAsia="Arial" w:hAnsi="Arial"/>
          <w:sz w:val="14"/>
          <w:szCs w:val="14"/>
          <w:color w:val="auto"/>
        </w:rPr>
        <w:t>RSUs awarded as retention grants on February 27, 2025, which will vest in full on June 30, 2026, subject to continued service through such date.</w:t>
      </w:r>
    </w:p>
    <w:p>
      <w:pPr>
        <w:spacing w:after="0" w:line="95" w:lineRule="exact"/>
        <w:rPr>
          <w:rFonts w:ascii="Arial" w:cs="Arial" w:eastAsia="Arial" w:hAnsi="Arial"/>
          <w:sz w:val="14"/>
          <w:szCs w:val="14"/>
          <w:color w:val="auto"/>
        </w:rPr>
      </w:pPr>
    </w:p>
    <w:p>
      <w:pPr>
        <w:ind w:left="332" w:right="440" w:hanging="332"/>
        <w:spacing w:after="0" w:line="305" w:lineRule="auto"/>
        <w:tabs>
          <w:tab w:leader="none" w:pos="319" w:val="left"/>
        </w:tabs>
        <w:numPr>
          <w:ilvl w:val="0"/>
          <w:numId w:val="80"/>
        </w:numPr>
        <w:rPr>
          <w:rFonts w:ascii="Arial" w:cs="Arial" w:eastAsia="Arial" w:hAnsi="Arial"/>
          <w:sz w:val="14"/>
          <w:szCs w:val="14"/>
          <w:color w:val="auto"/>
        </w:rPr>
      </w:pPr>
      <w:r>
        <w:rPr>
          <w:rFonts w:ascii="Arial" w:cs="Arial" w:eastAsia="Arial" w:hAnsi="Arial"/>
          <w:sz w:val="14"/>
          <w:szCs w:val="14"/>
          <w:color w:val="auto"/>
        </w:rPr>
        <w:t>RSUs awarded on March 1, 2024, vesting in equal annual installments over four years measured from the vesting commencement date of March 5, 2024, subject to continued service through such date.</w:t>
      </w:r>
    </w:p>
    <w:p>
      <w:pPr>
        <w:spacing w:after="0" w:line="22" w:lineRule="exact"/>
        <w:rPr>
          <w:rFonts w:ascii="Arial" w:cs="Arial" w:eastAsia="Arial" w:hAnsi="Arial"/>
          <w:sz w:val="14"/>
          <w:szCs w:val="14"/>
          <w:color w:val="auto"/>
        </w:rPr>
      </w:pPr>
    </w:p>
    <w:p>
      <w:pPr>
        <w:ind w:left="332" w:hanging="332"/>
        <w:spacing w:after="0" w:line="285" w:lineRule="auto"/>
        <w:tabs>
          <w:tab w:leader="none" w:pos="319" w:val="left"/>
        </w:tabs>
        <w:numPr>
          <w:ilvl w:val="0"/>
          <w:numId w:val="80"/>
        </w:numPr>
        <w:rPr>
          <w:rFonts w:ascii="Arial" w:cs="Arial" w:eastAsia="Arial" w:hAnsi="Arial"/>
          <w:sz w:val="14"/>
          <w:szCs w:val="14"/>
          <w:color w:val="auto"/>
        </w:rPr>
      </w:pPr>
      <w:r>
        <w:rPr>
          <w:rFonts w:ascii="Arial" w:cs="Arial" w:eastAsia="Arial" w:hAnsi="Arial"/>
          <w:sz w:val="14"/>
          <w:szCs w:val="14"/>
          <w:color w:val="auto"/>
        </w:rPr>
        <w:t>RSUs awarded on November 10, 2023, vesting in equal annual installments over four years measured from the vesting commencement date of December 5, 2023, subject to continued service through such date.</w:t>
      </w:r>
    </w:p>
    <w:p>
      <w:pPr>
        <w:spacing w:after="0" w:line="36" w:lineRule="exact"/>
        <w:rPr>
          <w:rFonts w:ascii="Arial" w:cs="Arial" w:eastAsia="Arial" w:hAnsi="Arial"/>
          <w:sz w:val="14"/>
          <w:szCs w:val="14"/>
          <w:color w:val="auto"/>
        </w:rPr>
      </w:pPr>
    </w:p>
    <w:p>
      <w:pPr>
        <w:ind w:left="332" w:right="420" w:hanging="332"/>
        <w:spacing w:after="0" w:line="305" w:lineRule="auto"/>
        <w:tabs>
          <w:tab w:leader="none" w:pos="331" w:val="left"/>
        </w:tabs>
        <w:numPr>
          <w:ilvl w:val="0"/>
          <w:numId w:val="80"/>
        </w:numPr>
        <w:rPr>
          <w:rFonts w:ascii="Arial" w:cs="Arial" w:eastAsia="Arial" w:hAnsi="Arial"/>
          <w:sz w:val="14"/>
          <w:szCs w:val="14"/>
          <w:color w:val="auto"/>
        </w:rPr>
      </w:pPr>
      <w:r>
        <w:rPr>
          <w:rFonts w:ascii="Arial" w:cs="Arial" w:eastAsia="Arial" w:hAnsi="Arial"/>
          <w:sz w:val="14"/>
          <w:szCs w:val="14"/>
          <w:color w:val="auto"/>
        </w:rPr>
        <w:t>RSUs awarded on March 3, 2023, vesting in equal annual installments over four years measured from the vesting commencement date of March 5, 2023, subject to continued service through such date.</w:t>
      </w:r>
    </w:p>
    <w:p>
      <w:pPr>
        <w:spacing w:after="0" w:line="22" w:lineRule="exact"/>
        <w:rPr>
          <w:rFonts w:ascii="Arial" w:cs="Arial" w:eastAsia="Arial" w:hAnsi="Arial"/>
          <w:sz w:val="14"/>
          <w:szCs w:val="14"/>
          <w:color w:val="auto"/>
        </w:rPr>
      </w:pPr>
    </w:p>
    <w:p>
      <w:pPr>
        <w:ind w:left="332" w:right="440" w:hanging="332"/>
        <w:spacing w:after="0" w:line="305" w:lineRule="auto"/>
        <w:tabs>
          <w:tab w:leader="none" w:pos="321" w:val="left"/>
        </w:tabs>
        <w:numPr>
          <w:ilvl w:val="0"/>
          <w:numId w:val="80"/>
        </w:numPr>
        <w:rPr>
          <w:rFonts w:ascii="Arial" w:cs="Arial" w:eastAsia="Arial" w:hAnsi="Arial"/>
          <w:sz w:val="14"/>
          <w:szCs w:val="14"/>
          <w:color w:val="auto"/>
        </w:rPr>
      </w:pPr>
      <w:r>
        <w:rPr>
          <w:rFonts w:ascii="Arial" w:cs="Arial" w:eastAsia="Arial" w:hAnsi="Arial"/>
          <w:sz w:val="14"/>
          <w:szCs w:val="14"/>
          <w:color w:val="auto"/>
        </w:rPr>
        <w:t>RSUs awarded on March 3, 2022, vesting in equal annual installments over four years measured from the vesting commencement date of March 5, 2022, subject to continued service through such date.</w:t>
      </w:r>
    </w:p>
    <w:p>
      <w:pPr>
        <w:spacing w:after="0" w:line="9" w:lineRule="exact"/>
        <w:rPr>
          <w:rFonts w:ascii="Arial" w:cs="Arial" w:eastAsia="Arial" w:hAnsi="Arial"/>
          <w:sz w:val="14"/>
          <w:szCs w:val="14"/>
          <w:color w:val="auto"/>
        </w:rPr>
      </w:pPr>
    </w:p>
    <w:p>
      <w:pPr>
        <w:ind w:left="332" w:right="60" w:hanging="332"/>
        <w:spacing w:after="0" w:line="305" w:lineRule="auto"/>
        <w:tabs>
          <w:tab w:leader="none" w:pos="331"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This reflects the actual number of shares earned under PSUs granted in 2023 based on the performance period ended December 31, 2025. The PSUs vested on January 16, 2026.</w:t>
      </w:r>
    </w:p>
    <w:p>
      <w:pPr>
        <w:spacing w:after="0" w:line="22" w:lineRule="exact"/>
        <w:rPr>
          <w:rFonts w:ascii="Arial" w:cs="Arial" w:eastAsia="Arial" w:hAnsi="Arial"/>
          <w:sz w:val="14"/>
          <w:szCs w:val="14"/>
          <w:color w:val="auto"/>
        </w:rPr>
      </w:pPr>
    </w:p>
    <w:p>
      <w:pPr>
        <w:ind w:left="332" w:hanging="332"/>
        <w:spacing w:after="0"/>
        <w:tabs>
          <w:tab w:leader="none" w:pos="332" w:val="left"/>
        </w:tabs>
        <w:numPr>
          <w:ilvl w:val="0"/>
          <w:numId w:val="80"/>
        </w:numPr>
        <w:rPr>
          <w:rFonts w:ascii="Arial" w:cs="Arial" w:eastAsia="Arial" w:hAnsi="Arial"/>
          <w:sz w:val="14"/>
          <w:szCs w:val="14"/>
          <w:color w:val="auto"/>
        </w:rPr>
      </w:pPr>
      <w:r>
        <w:rPr>
          <w:rFonts w:ascii="Arial" w:cs="Arial" w:eastAsia="Arial" w:hAnsi="Arial"/>
          <w:sz w:val="14"/>
          <w:szCs w:val="14"/>
          <w:color w:val="auto"/>
        </w:rPr>
        <w:t>RSUs awarded on November 20, 2025, which will vest in full on July 24, 2026, subject to continued service through such date.</w:t>
      </w:r>
    </w:p>
    <w:p>
      <w:pPr>
        <w:spacing w:after="0" w:line="95" w:lineRule="exact"/>
        <w:rPr>
          <w:rFonts w:ascii="Arial" w:cs="Arial" w:eastAsia="Arial" w:hAnsi="Arial"/>
          <w:sz w:val="14"/>
          <w:szCs w:val="14"/>
          <w:color w:val="auto"/>
        </w:rPr>
      </w:pPr>
    </w:p>
    <w:p>
      <w:pPr>
        <w:ind w:left="332" w:right="340" w:hanging="332"/>
        <w:spacing w:after="0" w:line="305" w:lineRule="auto"/>
        <w:tabs>
          <w:tab w:leader="none" w:pos="331" w:val="left"/>
        </w:tabs>
        <w:numPr>
          <w:ilvl w:val="0"/>
          <w:numId w:val="80"/>
        </w:numPr>
        <w:rPr>
          <w:rFonts w:ascii="Arial" w:cs="Arial" w:eastAsia="Arial" w:hAnsi="Arial"/>
          <w:sz w:val="14"/>
          <w:szCs w:val="14"/>
          <w:color w:val="auto"/>
        </w:rPr>
      </w:pPr>
      <w:r>
        <w:rPr>
          <w:rFonts w:ascii="Arial" w:cs="Arial" w:eastAsia="Arial" w:hAnsi="Arial"/>
          <w:sz w:val="14"/>
          <w:szCs w:val="14"/>
          <w:color w:val="auto"/>
        </w:rPr>
        <w:t>RSUs awarded on August 2, 2024, vesting in equal annual installments over four years measured from the vesting commencement date of August 5, 2024, subject to continued service through such date.</w:t>
      </w:r>
    </w:p>
    <w:p>
      <w:pPr>
        <w:spacing w:after="0" w:line="9" w:lineRule="exact"/>
        <w:rPr>
          <w:rFonts w:ascii="Arial" w:cs="Arial" w:eastAsia="Arial" w:hAnsi="Arial"/>
          <w:sz w:val="14"/>
          <w:szCs w:val="14"/>
          <w:color w:val="auto"/>
        </w:rPr>
      </w:pPr>
    </w:p>
    <w:p>
      <w:pPr>
        <w:ind w:left="332" w:right="20" w:hanging="332"/>
        <w:spacing w:after="0" w:line="268" w:lineRule="auto"/>
        <w:tabs>
          <w:tab w:leader="none" w:pos="331" w:val="left"/>
        </w:tabs>
        <w:numPr>
          <w:ilvl w:val="0"/>
          <w:numId w:val="80"/>
        </w:numPr>
        <w:rPr>
          <w:rFonts w:ascii="Arial" w:cs="Arial" w:eastAsia="Arial" w:hAnsi="Arial"/>
          <w:sz w:val="14"/>
          <w:szCs w:val="14"/>
          <w:color w:val="auto"/>
        </w:rPr>
      </w:pPr>
      <w:r>
        <w:rPr>
          <w:rFonts w:ascii="Arial" w:cs="Arial" w:eastAsia="Arial" w:hAnsi="Arial"/>
          <w:sz w:val="14"/>
          <w:szCs w:val="14"/>
          <w:color w:val="auto"/>
        </w:rPr>
        <w:t>For the PSUs granted to Ms. Gala in August 2025, the maximum number of PSUs is shown assuming a maximum performance of 200%. The actual number of PSUs that could be earned is not yet determinable. For additional information on the 2025 PSUs, see “</w:t>
      </w:r>
      <w:r>
        <w:rPr>
          <w:rFonts w:ascii="Arial" w:cs="Arial" w:eastAsia="Arial" w:hAnsi="Arial"/>
          <w:sz w:val="14"/>
          <w:szCs w:val="14"/>
          <w:i w:val="1"/>
          <w:iCs w:val="1"/>
          <w:color w:val="auto"/>
        </w:rPr>
        <w:t>Compensation Discussion and Analysis—2025 Compensation Decisions for</w:t>
      </w:r>
      <w:r>
        <w:rPr>
          <w:rFonts w:ascii="Arial" w:cs="Arial" w:eastAsia="Arial" w:hAnsi="Arial"/>
          <w:sz w:val="14"/>
          <w:szCs w:val="14"/>
          <w:color w:val="auto"/>
        </w:rPr>
        <w:t xml:space="preserve"> </w:t>
      </w:r>
      <w:r>
        <w:rPr>
          <w:rFonts w:ascii="Arial" w:cs="Arial" w:eastAsia="Arial" w:hAnsi="Arial"/>
          <w:sz w:val="14"/>
          <w:szCs w:val="14"/>
          <w:i w:val="1"/>
          <w:iCs w:val="1"/>
          <w:color w:val="auto"/>
        </w:rPr>
        <w:t>Our NEOs—Long-Term Incentive Program</w:t>
      </w:r>
      <w:r>
        <w:rPr>
          <w:rFonts w:ascii="Arial" w:cs="Arial" w:eastAsia="Arial" w:hAnsi="Arial"/>
          <w:sz w:val="14"/>
          <w:szCs w:val="14"/>
          <w:color w:val="auto"/>
        </w:rPr>
        <w:t>” and “C</w:t>
      </w:r>
      <w:r>
        <w:rPr>
          <w:rFonts w:ascii="Arial" w:cs="Arial" w:eastAsia="Arial" w:hAnsi="Arial"/>
          <w:sz w:val="14"/>
          <w:szCs w:val="14"/>
          <w:i w:val="1"/>
          <w:iCs w:val="1"/>
          <w:color w:val="auto"/>
        </w:rPr>
        <w:t>ompensation Discussion and Analysis—Goals for and Achievement of 2025 Performance-Based Compensation —2025</w:t>
      </w:r>
    </w:p>
    <w:p>
      <w:pPr>
        <w:spacing w:after="0" w:line="1" w:lineRule="exact"/>
        <w:rPr>
          <w:rFonts w:ascii="Arial" w:cs="Arial" w:eastAsia="Arial" w:hAnsi="Arial"/>
          <w:sz w:val="14"/>
          <w:szCs w:val="14"/>
          <w:color w:val="auto"/>
        </w:rPr>
      </w:pPr>
    </w:p>
    <w:p>
      <w:pPr>
        <w:ind w:left="332"/>
        <w:spacing w:after="0"/>
        <w:rPr>
          <w:rFonts w:ascii="Arial" w:cs="Arial" w:eastAsia="Arial" w:hAnsi="Arial"/>
          <w:sz w:val="14"/>
          <w:szCs w:val="14"/>
          <w:color w:val="auto"/>
        </w:rPr>
      </w:pPr>
      <w:r>
        <w:rPr>
          <w:rFonts w:ascii="Arial" w:cs="Arial" w:eastAsia="Arial" w:hAnsi="Arial"/>
          <w:sz w:val="14"/>
          <w:szCs w:val="14"/>
          <w:i w:val="1"/>
          <w:iCs w:val="1"/>
          <w:color w:val="auto"/>
        </w:rPr>
        <w:t>– 2027 PSU Program</w:t>
      </w:r>
      <w:r>
        <w:rPr>
          <w:rFonts w:ascii="Arial" w:cs="Arial" w:eastAsia="Arial" w:hAnsi="Arial"/>
          <w:sz w:val="14"/>
          <w:szCs w:val="14"/>
          <w:color w:val="auto"/>
        </w:rPr>
        <w:t>” above.</w:t>
      </w:r>
    </w:p>
    <w:p>
      <w:pPr>
        <w:spacing w:after="0" w:line="81" w:lineRule="exact"/>
        <w:rPr>
          <w:rFonts w:ascii="Arial" w:cs="Arial" w:eastAsia="Arial" w:hAnsi="Arial"/>
          <w:sz w:val="14"/>
          <w:szCs w:val="14"/>
          <w:color w:val="auto"/>
        </w:rPr>
      </w:pPr>
    </w:p>
    <w:p>
      <w:pPr>
        <w:ind w:left="332" w:right="80" w:hanging="332"/>
        <w:spacing w:after="0" w:line="269" w:lineRule="auto"/>
        <w:tabs>
          <w:tab w:leader="none" w:pos="331" w:val="left"/>
        </w:tabs>
        <w:numPr>
          <w:ilvl w:val="0"/>
          <w:numId w:val="80"/>
        </w:numPr>
        <w:rPr>
          <w:rFonts w:ascii="Arial" w:cs="Arial" w:eastAsia="Arial" w:hAnsi="Arial"/>
          <w:sz w:val="14"/>
          <w:szCs w:val="14"/>
          <w:color w:val="auto"/>
        </w:rPr>
      </w:pPr>
      <w:r>
        <w:rPr>
          <w:rFonts w:ascii="Arial" w:cs="Arial" w:eastAsia="Arial" w:hAnsi="Arial"/>
          <w:sz w:val="14"/>
          <w:szCs w:val="14"/>
          <w:color w:val="auto"/>
        </w:rPr>
        <w:t>For the PSUs granted in 2025, the maximum number of PSUs is shown in each case assuming maximum performance of 200%. The actual number of PSUs that will be earned is not yet determinable. For additional information on the 2025 PSUs, see “</w:t>
      </w:r>
      <w:r>
        <w:rPr>
          <w:rFonts w:ascii="Arial" w:cs="Arial" w:eastAsia="Arial" w:hAnsi="Arial"/>
          <w:sz w:val="14"/>
          <w:szCs w:val="14"/>
          <w:i w:val="1"/>
          <w:iCs w:val="1"/>
          <w:color w:val="auto"/>
        </w:rPr>
        <w:t>Compensation Discussion and Analysis—2025 Compensation Decisions for Our NEOs</w:t>
      </w:r>
      <w:r>
        <w:rPr>
          <w:rFonts w:ascii="Arial" w:cs="Arial" w:eastAsia="Arial" w:hAnsi="Arial"/>
          <w:sz w:val="14"/>
          <w:szCs w:val="14"/>
          <w:color w:val="auto"/>
        </w:rPr>
        <w:t xml:space="preserve"> </w:t>
      </w:r>
      <w:r>
        <w:rPr>
          <w:rFonts w:ascii="Arial" w:cs="Arial" w:eastAsia="Arial" w:hAnsi="Arial"/>
          <w:sz w:val="14"/>
          <w:szCs w:val="14"/>
          <w:i w:val="1"/>
          <w:iCs w:val="1"/>
          <w:color w:val="auto"/>
        </w:rPr>
        <w:t>—Long-Term Incentive Program</w:t>
      </w:r>
      <w:r>
        <w:rPr>
          <w:rFonts w:ascii="Arial" w:cs="Arial" w:eastAsia="Arial" w:hAnsi="Arial"/>
          <w:sz w:val="14"/>
          <w:szCs w:val="14"/>
          <w:color w:val="auto"/>
        </w:rPr>
        <w:t>” and “</w:t>
      </w:r>
      <w:r>
        <w:rPr>
          <w:rFonts w:ascii="Arial" w:cs="Arial" w:eastAsia="Arial" w:hAnsi="Arial"/>
          <w:sz w:val="14"/>
          <w:szCs w:val="14"/>
          <w:i w:val="1"/>
          <w:iCs w:val="1"/>
          <w:color w:val="auto"/>
        </w:rPr>
        <w:t>Compensation Discussion and Analysis—Goals for and Achievement of 2025 Performance-Based Compensation —2025 – 2027 PSU Program</w:t>
      </w:r>
      <w:r>
        <w:rPr>
          <w:rFonts w:ascii="Arial" w:cs="Arial" w:eastAsia="Arial" w:hAnsi="Arial"/>
          <w:sz w:val="14"/>
          <w:szCs w:val="14"/>
          <w:color w:val="auto"/>
        </w:rPr>
        <w:t>” above.</w:t>
      </w:r>
    </w:p>
    <w:p>
      <w:pPr>
        <w:spacing w:after="0" w:line="47" w:lineRule="exact"/>
        <w:rPr>
          <w:rFonts w:ascii="Arial" w:cs="Arial" w:eastAsia="Arial" w:hAnsi="Arial"/>
          <w:sz w:val="14"/>
          <w:szCs w:val="14"/>
          <w:color w:val="auto"/>
        </w:rPr>
      </w:pPr>
    </w:p>
    <w:p>
      <w:pPr>
        <w:ind w:left="332" w:right="20" w:hanging="332"/>
        <w:spacing w:after="0" w:line="269" w:lineRule="auto"/>
        <w:tabs>
          <w:tab w:leader="none" w:pos="331" w:val="left"/>
        </w:tabs>
        <w:numPr>
          <w:ilvl w:val="0"/>
          <w:numId w:val="80"/>
        </w:numPr>
        <w:rPr>
          <w:rFonts w:ascii="Arial" w:cs="Arial" w:eastAsia="Arial" w:hAnsi="Arial"/>
          <w:sz w:val="14"/>
          <w:szCs w:val="14"/>
          <w:color w:val="auto"/>
        </w:rPr>
      </w:pPr>
      <w:r>
        <w:rPr>
          <w:rFonts w:ascii="Arial" w:cs="Arial" w:eastAsia="Arial" w:hAnsi="Arial"/>
          <w:sz w:val="14"/>
          <w:szCs w:val="14"/>
          <w:color w:val="auto"/>
        </w:rPr>
        <w:t>For the PSUs granted in 2024, the maximum number of PSUs is shown in each case assuming maximum performance of 200%. The actual number of PSUs that could be earned is between 0% and 200% of the target number of PSUs, which vest depending on our Company’s achievement with respect to certain performance criteria and our relative TSR compared to the constituents the Nasdaq Biotechnology Index over the three-year performance period. The actual number of PSUs that will be earned is not yet determinable.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5880735</wp:posOffset>
            </wp:positionH>
            <wp:positionV relativeFrom="paragraph">
              <wp:posOffset>121920</wp:posOffset>
            </wp:positionV>
            <wp:extent cx="1242695" cy="2057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4" w:lineRule="exact"/>
        <w:rPr>
          <w:sz w:val="20"/>
          <w:szCs w:val="20"/>
          <w:color w:val="auto"/>
        </w:rPr>
      </w:pPr>
    </w:p>
    <w:p>
      <w:pPr>
        <w:ind w:left="12"/>
        <w:spacing w:after="0"/>
        <w:tabs>
          <w:tab w:leader="none" w:pos="612" w:val="left"/>
        </w:tabs>
        <w:rPr>
          <w:sz w:val="20"/>
          <w:szCs w:val="20"/>
          <w:color w:val="auto"/>
        </w:rPr>
      </w:pPr>
      <w:r>
        <w:rPr>
          <w:rFonts w:ascii="Arial" w:cs="Arial" w:eastAsia="Arial" w:hAnsi="Arial"/>
          <w:sz w:val="18"/>
          <w:szCs w:val="18"/>
          <w:b w:val="1"/>
          <w:bCs w:val="1"/>
          <w:color w:val="852166"/>
        </w:rPr>
        <w:t>84</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332740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522" w:right="399" w:bottom="1440" w:gutter="0" w:footer="0" w:header="0"/>
        </w:sectPr>
      </w:pPr>
    </w:p>
    <w:bookmarkStart w:id="92" w:name="page93"/>
    <w:bookmarkEnd w:id="92"/>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Option Exercises and Stock Vested in Fiscal 2025</w:t>
      </w:r>
    </w:p>
    <w:p>
      <w:pPr>
        <w:spacing w:after="0" w:line="198"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The following table provides information on stock awards vested and stock options exercised, including the number of shares acquired upon exercise and the value realized, determined as described below, for the NEOs in the year ended December 31, 2025.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 w:type="dxa"/>
            <w:vAlign w:val="bottom"/>
          </w:tcPr>
          <w:p>
            <w:pPr>
              <w:spacing w:after="0"/>
              <w:rPr>
                <w:sz w:val="20"/>
                <w:szCs w:val="20"/>
                <w:color w:val="auto"/>
              </w:rPr>
            </w:pPr>
          </w:p>
        </w:tc>
        <w:tc>
          <w:tcPr>
            <w:tcW w:w="5480" w:type="dxa"/>
            <w:vAlign w:val="bottom"/>
            <w:tcBorders>
              <w:right w:val="single" w:sz="8" w:color="001C71"/>
            </w:tcBorders>
          </w:tcPr>
          <w:p>
            <w:pPr>
              <w:spacing w:after="0"/>
              <w:rPr>
                <w:sz w:val="20"/>
                <w:szCs w:val="20"/>
                <w:color w:val="auto"/>
              </w:rPr>
            </w:pPr>
          </w:p>
        </w:tc>
        <w:tc>
          <w:tcPr>
            <w:tcW w:w="2760" w:type="dxa"/>
            <w:vAlign w:val="bottom"/>
            <w:tcBorders>
              <w:top w:val="single" w:sz="8" w:color="001C71"/>
              <w:right w:val="single" w:sz="8" w:color="001C71"/>
            </w:tcBorders>
            <w:gridSpan w:val="2"/>
          </w:tcPr>
          <w:p>
            <w:pPr>
              <w:jc w:val="right"/>
              <w:ind w:right="811"/>
              <w:spacing w:after="0"/>
              <w:rPr>
                <w:sz w:val="20"/>
                <w:szCs w:val="20"/>
                <w:color w:val="auto"/>
              </w:rPr>
            </w:pPr>
            <w:r>
              <w:rPr>
                <w:rFonts w:ascii="Arial" w:cs="Arial" w:eastAsia="Arial" w:hAnsi="Arial"/>
                <w:sz w:val="14"/>
                <w:szCs w:val="14"/>
                <w:b w:val="1"/>
                <w:bCs w:val="1"/>
                <w:color w:val="001C71"/>
              </w:rPr>
              <w:t>Option Awards</w:t>
            </w:r>
          </w:p>
        </w:tc>
        <w:tc>
          <w:tcPr>
            <w:tcW w:w="100" w:type="dxa"/>
            <w:vAlign w:val="bottom"/>
            <w:tcBorders>
              <w:right w:val="single" w:sz="8" w:color="001C71"/>
            </w:tcBorders>
          </w:tcPr>
          <w:p>
            <w:pPr>
              <w:spacing w:after="0"/>
              <w:rPr>
                <w:sz w:val="20"/>
                <w:szCs w:val="20"/>
                <w:color w:val="auto"/>
              </w:rPr>
            </w:pPr>
          </w:p>
        </w:tc>
        <w:tc>
          <w:tcPr>
            <w:tcW w:w="2840" w:type="dxa"/>
            <w:vAlign w:val="bottom"/>
            <w:tcBorders>
              <w:top w:val="single" w:sz="8" w:color="001C71"/>
              <w:right w:val="single" w:sz="8" w:color="001C71"/>
            </w:tcBorders>
            <w:gridSpan w:val="2"/>
          </w:tcPr>
          <w:p>
            <w:pPr>
              <w:jc w:val="right"/>
              <w:ind w:right="951"/>
              <w:spacing w:after="0"/>
              <w:rPr>
                <w:sz w:val="20"/>
                <w:szCs w:val="20"/>
                <w:color w:val="auto"/>
              </w:rPr>
            </w:pPr>
            <w:r>
              <w:rPr>
                <w:rFonts w:ascii="Arial" w:cs="Arial" w:eastAsia="Arial" w:hAnsi="Arial"/>
                <w:sz w:val="14"/>
                <w:szCs w:val="14"/>
                <w:b w:val="1"/>
                <w:bCs w:val="1"/>
                <w:color w:val="001C71"/>
              </w:rPr>
              <w:t>Stock Awards</w:t>
            </w:r>
          </w:p>
        </w:tc>
        <w:tc>
          <w:tcPr>
            <w:tcW w:w="0" w:type="dxa"/>
            <w:vAlign w:val="bottom"/>
          </w:tcPr>
          <w:p>
            <w:pPr>
              <w:spacing w:after="0"/>
              <w:rPr>
                <w:sz w:val="1"/>
                <w:szCs w:val="1"/>
                <w:color w:val="auto"/>
              </w:rPr>
            </w:pPr>
          </w:p>
        </w:tc>
      </w:tr>
      <w:tr>
        <w:trPr>
          <w:trHeight w:val="201"/>
        </w:trPr>
        <w:tc>
          <w:tcPr>
            <w:tcW w:w="80" w:type="dxa"/>
            <w:vAlign w:val="bottom"/>
            <w:shd w:val="clear" w:color="auto" w:fill="001C71"/>
          </w:tcPr>
          <w:p>
            <w:pPr>
              <w:spacing w:after="0"/>
              <w:rPr>
                <w:sz w:val="17"/>
                <w:szCs w:val="17"/>
                <w:color w:val="auto"/>
              </w:rPr>
            </w:pPr>
          </w:p>
        </w:tc>
        <w:tc>
          <w:tcPr>
            <w:tcW w:w="5480" w:type="dxa"/>
            <w:vAlign w:val="bottom"/>
            <w:tcBorders>
              <w:right w:val="single" w:sz="8" w:color="001C71"/>
            </w:tcBorders>
            <w:shd w:val="clear" w:color="auto" w:fill="001C71"/>
          </w:tcPr>
          <w:p>
            <w:pPr>
              <w:spacing w:after="0"/>
              <w:rPr>
                <w:sz w:val="17"/>
                <w:szCs w:val="17"/>
                <w:color w:val="auto"/>
              </w:rPr>
            </w:pPr>
          </w:p>
        </w:tc>
        <w:tc>
          <w:tcPr>
            <w:tcW w:w="1620" w:type="dxa"/>
            <w:vAlign w:val="bottom"/>
            <w:shd w:val="clear" w:color="auto" w:fill="001C71"/>
          </w:tcPr>
          <w:p>
            <w:pPr>
              <w:jc w:val="right"/>
              <w:ind w:right="28"/>
              <w:spacing w:after="0"/>
              <w:rPr>
                <w:sz w:val="20"/>
                <w:szCs w:val="20"/>
                <w:color w:val="auto"/>
              </w:rPr>
            </w:pPr>
            <w:r>
              <w:rPr>
                <w:rFonts w:ascii="Arial" w:cs="Arial" w:eastAsia="Arial" w:hAnsi="Arial"/>
                <w:sz w:val="14"/>
                <w:szCs w:val="14"/>
                <w:b w:val="1"/>
                <w:bCs w:val="1"/>
                <w:color w:val="FFFFFF"/>
              </w:rPr>
              <w:t>Number of Shares</w:t>
            </w:r>
          </w:p>
        </w:tc>
        <w:tc>
          <w:tcPr>
            <w:tcW w:w="1240" w:type="dxa"/>
            <w:vAlign w:val="bottom"/>
            <w:tcBorders>
              <w:right w:val="single" w:sz="8" w:color="001C71"/>
            </w:tcBorders>
            <w:gridSpan w:val="2"/>
            <w:shd w:val="clear" w:color="auto" w:fill="001C71"/>
          </w:tcPr>
          <w:p>
            <w:pPr>
              <w:jc w:val="right"/>
              <w:ind w:right="140"/>
              <w:spacing w:after="0"/>
              <w:rPr>
                <w:sz w:val="20"/>
                <w:szCs w:val="20"/>
                <w:color w:val="auto"/>
              </w:rPr>
            </w:pPr>
            <w:r>
              <w:rPr>
                <w:rFonts w:ascii="Arial" w:cs="Arial" w:eastAsia="Arial" w:hAnsi="Arial"/>
                <w:sz w:val="14"/>
                <w:szCs w:val="14"/>
                <w:b w:val="1"/>
                <w:bCs w:val="1"/>
                <w:color w:val="FFFFFF"/>
              </w:rPr>
              <w:t>Value Realized</w:t>
            </w:r>
          </w:p>
        </w:tc>
        <w:tc>
          <w:tcPr>
            <w:tcW w:w="1600" w:type="dxa"/>
            <w:vAlign w:val="bottom"/>
            <w:shd w:val="clear" w:color="auto" w:fill="001C71"/>
          </w:tcPr>
          <w:p>
            <w:pPr>
              <w:jc w:val="right"/>
              <w:ind w:right="28"/>
              <w:spacing w:after="0"/>
              <w:rPr>
                <w:sz w:val="20"/>
                <w:szCs w:val="20"/>
                <w:color w:val="auto"/>
              </w:rPr>
            </w:pPr>
            <w:r>
              <w:rPr>
                <w:rFonts w:ascii="Arial" w:cs="Arial" w:eastAsia="Arial" w:hAnsi="Arial"/>
                <w:sz w:val="14"/>
                <w:szCs w:val="14"/>
                <w:b w:val="1"/>
                <w:bCs w:val="1"/>
                <w:color w:val="FFFFFF"/>
              </w:rPr>
              <w:t>Number of Shares</w:t>
            </w:r>
          </w:p>
        </w:tc>
        <w:tc>
          <w:tcPr>
            <w:tcW w:w="1240" w:type="dxa"/>
            <w:vAlign w:val="bottom"/>
            <w:tcBorders>
              <w:right w:val="single" w:sz="8" w:color="001C71"/>
            </w:tcBorders>
            <w:shd w:val="clear" w:color="auto" w:fill="001C71"/>
          </w:tcPr>
          <w:p>
            <w:pPr>
              <w:jc w:val="right"/>
              <w:ind w:right="71"/>
              <w:spacing w:after="0"/>
              <w:rPr>
                <w:sz w:val="20"/>
                <w:szCs w:val="20"/>
                <w:color w:val="auto"/>
              </w:rPr>
            </w:pPr>
            <w:r>
              <w:rPr>
                <w:rFonts w:ascii="Arial" w:cs="Arial" w:eastAsia="Arial" w:hAnsi="Arial"/>
                <w:sz w:val="14"/>
                <w:szCs w:val="14"/>
                <w:b w:val="1"/>
                <w:bCs w:val="1"/>
                <w:color w:val="FFFFFF"/>
              </w:rPr>
              <w:t>Value Realized</w:t>
            </w:r>
          </w:p>
        </w:tc>
        <w:tc>
          <w:tcPr>
            <w:tcW w:w="0" w:type="dxa"/>
            <w:vAlign w:val="bottom"/>
          </w:tcPr>
          <w:p>
            <w:pPr>
              <w:spacing w:after="0"/>
              <w:rPr>
                <w:sz w:val="1"/>
                <w:szCs w:val="1"/>
                <w:color w:val="auto"/>
              </w:rPr>
            </w:pPr>
          </w:p>
        </w:tc>
      </w:tr>
      <w:tr>
        <w:trPr>
          <w:trHeight w:val="173"/>
        </w:trPr>
        <w:tc>
          <w:tcPr>
            <w:tcW w:w="80" w:type="dxa"/>
            <w:vAlign w:val="bottom"/>
            <w:shd w:val="clear" w:color="auto" w:fill="001C71"/>
          </w:tcPr>
          <w:p>
            <w:pPr>
              <w:spacing w:after="0"/>
              <w:rPr>
                <w:sz w:val="15"/>
                <w:szCs w:val="15"/>
                <w:color w:val="auto"/>
              </w:rPr>
            </w:pPr>
          </w:p>
        </w:tc>
        <w:tc>
          <w:tcPr>
            <w:tcW w:w="5480" w:type="dxa"/>
            <w:vAlign w:val="bottom"/>
            <w:tcBorders>
              <w:right w:val="single" w:sz="8" w:color="001C71"/>
            </w:tcBorders>
            <w:vMerge w:val="restart"/>
            <w:shd w:val="clear" w:color="auto" w:fill="001C71"/>
          </w:tcPr>
          <w:p>
            <w:pPr>
              <w:ind w:left="20"/>
              <w:spacing w:after="0"/>
              <w:rPr>
                <w:sz w:val="20"/>
                <w:szCs w:val="20"/>
                <w:color w:val="auto"/>
              </w:rPr>
            </w:pPr>
            <w:r>
              <w:rPr>
                <w:rFonts w:ascii="Arial" w:cs="Arial" w:eastAsia="Arial" w:hAnsi="Arial"/>
                <w:sz w:val="14"/>
                <w:szCs w:val="14"/>
                <w:b w:val="1"/>
                <w:bCs w:val="1"/>
                <w:color w:val="FFFFFF"/>
              </w:rPr>
              <w:t>Name</w:t>
            </w:r>
          </w:p>
        </w:tc>
        <w:tc>
          <w:tcPr>
            <w:tcW w:w="1620" w:type="dxa"/>
            <w:vAlign w:val="bottom"/>
            <w:shd w:val="clear" w:color="auto" w:fill="001C71"/>
          </w:tcPr>
          <w:p>
            <w:pPr>
              <w:jc w:val="right"/>
              <w:ind w:right="68"/>
              <w:spacing w:after="0"/>
              <w:rPr>
                <w:sz w:val="20"/>
                <w:szCs w:val="20"/>
                <w:color w:val="auto"/>
              </w:rPr>
            </w:pPr>
            <w:r>
              <w:rPr>
                <w:rFonts w:ascii="Arial" w:cs="Arial" w:eastAsia="Arial" w:hAnsi="Arial"/>
                <w:sz w:val="14"/>
                <w:szCs w:val="14"/>
                <w:b w:val="1"/>
                <w:bCs w:val="1"/>
                <w:color w:val="FFFFFF"/>
              </w:rPr>
              <w:t>Acquired on Exercise</w:t>
            </w:r>
          </w:p>
        </w:tc>
        <w:tc>
          <w:tcPr>
            <w:tcW w:w="1240" w:type="dxa"/>
            <w:vAlign w:val="bottom"/>
            <w:tcBorders>
              <w:right w:val="single" w:sz="8" w:color="001C71"/>
            </w:tcBorders>
            <w:gridSpan w:val="2"/>
            <w:shd w:val="clear" w:color="auto" w:fill="001C71"/>
          </w:tcPr>
          <w:p>
            <w:pPr>
              <w:jc w:val="right"/>
              <w:ind w:right="140"/>
              <w:spacing w:after="0"/>
              <w:rPr>
                <w:sz w:val="20"/>
                <w:szCs w:val="20"/>
                <w:color w:val="auto"/>
              </w:rPr>
            </w:pPr>
            <w:r>
              <w:rPr>
                <w:rFonts w:ascii="Arial" w:cs="Arial" w:eastAsia="Arial" w:hAnsi="Arial"/>
                <w:sz w:val="14"/>
                <w:szCs w:val="14"/>
                <w:b w:val="1"/>
                <w:bCs w:val="1"/>
                <w:color w:val="FFFFFF"/>
              </w:rPr>
              <w:t>on Exercise</w:t>
            </w:r>
          </w:p>
        </w:tc>
        <w:tc>
          <w:tcPr>
            <w:tcW w:w="1600" w:type="dxa"/>
            <w:vAlign w:val="bottom"/>
            <w:shd w:val="clear" w:color="auto" w:fill="001C71"/>
          </w:tcPr>
          <w:p>
            <w:pPr>
              <w:jc w:val="right"/>
              <w:ind w:right="28"/>
              <w:spacing w:after="0"/>
              <w:rPr>
                <w:sz w:val="20"/>
                <w:szCs w:val="20"/>
                <w:color w:val="auto"/>
              </w:rPr>
            </w:pPr>
            <w:r>
              <w:rPr>
                <w:rFonts w:ascii="Arial" w:cs="Arial" w:eastAsia="Arial" w:hAnsi="Arial"/>
                <w:sz w:val="14"/>
                <w:szCs w:val="14"/>
                <w:b w:val="1"/>
                <w:bCs w:val="1"/>
                <w:color w:val="FFFFFF"/>
              </w:rPr>
              <w:t>Acquired on Vesting</w:t>
            </w:r>
          </w:p>
        </w:tc>
        <w:tc>
          <w:tcPr>
            <w:tcW w:w="1240" w:type="dxa"/>
            <w:vAlign w:val="bottom"/>
            <w:tcBorders>
              <w:right w:val="single" w:sz="8" w:color="001C71"/>
            </w:tcBorders>
            <w:shd w:val="clear" w:color="auto" w:fill="001C71"/>
          </w:tcPr>
          <w:p>
            <w:pPr>
              <w:jc w:val="right"/>
              <w:ind w:right="71"/>
              <w:spacing w:after="0"/>
              <w:rPr>
                <w:sz w:val="20"/>
                <w:szCs w:val="20"/>
                <w:color w:val="auto"/>
              </w:rPr>
            </w:pPr>
            <w:r>
              <w:rPr>
                <w:rFonts w:ascii="Arial" w:cs="Arial" w:eastAsia="Arial" w:hAnsi="Arial"/>
                <w:sz w:val="14"/>
                <w:szCs w:val="14"/>
                <w:b w:val="1"/>
                <w:bCs w:val="1"/>
                <w:color w:val="FFFFFF"/>
              </w:rPr>
              <w:t>on Vesting</w:t>
            </w:r>
          </w:p>
        </w:tc>
        <w:tc>
          <w:tcPr>
            <w:tcW w:w="0" w:type="dxa"/>
            <w:vAlign w:val="bottom"/>
          </w:tcPr>
          <w:p>
            <w:pPr>
              <w:spacing w:after="0"/>
              <w:rPr>
                <w:sz w:val="1"/>
                <w:szCs w:val="1"/>
                <w:color w:val="auto"/>
              </w:rPr>
            </w:pPr>
          </w:p>
        </w:tc>
      </w:tr>
      <w:tr>
        <w:trPr>
          <w:trHeight w:val="255"/>
        </w:trPr>
        <w:tc>
          <w:tcPr>
            <w:tcW w:w="80" w:type="dxa"/>
            <w:vAlign w:val="bottom"/>
            <w:tcBorders>
              <w:bottom w:val="single" w:sz="8" w:color="001C71"/>
            </w:tcBorders>
            <w:shd w:val="clear" w:color="auto" w:fill="001C71"/>
          </w:tcPr>
          <w:p>
            <w:pPr>
              <w:spacing w:after="0"/>
              <w:rPr>
                <w:sz w:val="22"/>
                <w:szCs w:val="22"/>
                <w:color w:val="auto"/>
              </w:rPr>
            </w:pPr>
          </w:p>
        </w:tc>
        <w:tc>
          <w:tcPr>
            <w:tcW w:w="5480" w:type="dxa"/>
            <w:vAlign w:val="bottom"/>
            <w:tcBorders>
              <w:bottom w:val="single" w:sz="8" w:color="001C71"/>
              <w:right w:val="single" w:sz="8" w:color="001C71"/>
            </w:tcBorders>
            <w:vMerge w:val="continue"/>
            <w:shd w:val="clear" w:color="auto" w:fill="001C71"/>
          </w:tcPr>
          <w:p>
            <w:pPr>
              <w:spacing w:after="0"/>
              <w:rPr>
                <w:sz w:val="22"/>
                <w:szCs w:val="22"/>
                <w:color w:val="auto"/>
              </w:rPr>
            </w:pPr>
          </w:p>
        </w:tc>
        <w:tc>
          <w:tcPr>
            <w:tcW w:w="1620" w:type="dxa"/>
            <w:vAlign w:val="bottom"/>
            <w:tcBorders>
              <w:bottom w:val="single" w:sz="8" w:color="001C71"/>
            </w:tcBorders>
            <w:shd w:val="clear" w:color="auto" w:fill="001C71"/>
          </w:tcPr>
          <w:p>
            <w:pPr>
              <w:jc w:val="right"/>
              <w:ind w:right="28"/>
              <w:spacing w:after="0"/>
              <w:rPr>
                <w:sz w:val="20"/>
                <w:szCs w:val="20"/>
                <w:color w:val="auto"/>
              </w:rPr>
            </w:pPr>
            <w:r>
              <w:rPr>
                <w:rFonts w:ascii="Arial" w:cs="Arial" w:eastAsia="Arial" w:hAnsi="Arial"/>
                <w:sz w:val="14"/>
                <w:szCs w:val="14"/>
                <w:b w:val="1"/>
                <w:bCs w:val="1"/>
                <w:color w:val="FFFFFF"/>
              </w:rPr>
              <w:t>(#)</w:t>
            </w:r>
          </w:p>
        </w:tc>
        <w:tc>
          <w:tcPr>
            <w:tcW w:w="1140" w:type="dxa"/>
            <w:vAlign w:val="bottom"/>
            <w:tcBorders>
              <w:bottom w:val="single" w:sz="8" w:color="001C71"/>
              <w:right w:val="single" w:sz="8" w:color="001C71"/>
            </w:tcBorders>
            <w:shd w:val="clear" w:color="auto" w:fill="001C71"/>
          </w:tcPr>
          <w:p>
            <w:pPr>
              <w:jc w:val="right"/>
              <w:spacing w:after="0" w:line="201"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8"/>
                <w:szCs w:val="8"/>
                <w:b w:val="1"/>
                <w:bCs w:val="1"/>
                <w:color w:val="FFFFFF"/>
              </w:rPr>
              <w:t>(1)</w:t>
            </w:r>
          </w:p>
        </w:tc>
        <w:tc>
          <w:tcPr>
            <w:tcW w:w="100" w:type="dxa"/>
            <w:vAlign w:val="bottom"/>
            <w:tcBorders>
              <w:bottom w:val="single" w:sz="8" w:color="001C71"/>
              <w:right w:val="single" w:sz="8" w:color="001C71"/>
            </w:tcBorders>
            <w:shd w:val="clear" w:color="auto" w:fill="001C71"/>
          </w:tcPr>
          <w:p>
            <w:pPr>
              <w:spacing w:after="0"/>
              <w:rPr>
                <w:sz w:val="22"/>
                <w:szCs w:val="22"/>
                <w:color w:val="auto"/>
              </w:rPr>
            </w:pPr>
          </w:p>
        </w:tc>
        <w:tc>
          <w:tcPr>
            <w:tcW w:w="1600" w:type="dxa"/>
            <w:vAlign w:val="bottom"/>
            <w:tcBorders>
              <w:bottom w:val="single" w:sz="8" w:color="001C71"/>
            </w:tcBorders>
            <w:shd w:val="clear" w:color="auto" w:fill="001C71"/>
          </w:tcPr>
          <w:p>
            <w:pPr>
              <w:jc w:val="right"/>
              <w:ind w:right="28"/>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bottom w:val="single" w:sz="8" w:color="001C71"/>
              <w:right w:val="single" w:sz="8" w:color="001C71"/>
            </w:tcBorders>
            <w:shd w:val="clear" w:color="auto" w:fill="001C71"/>
          </w:tcPr>
          <w:p>
            <w:pPr>
              <w:jc w:val="right"/>
              <w:ind w:right="71"/>
              <w:spacing w:after="0" w:line="201"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8"/>
                <w:szCs w:val="8"/>
                <w:b w:val="1"/>
                <w:bCs w:val="1"/>
                <w:color w:val="FFFFFF"/>
              </w:rPr>
              <w:t>(2)</w:t>
            </w:r>
          </w:p>
        </w:tc>
        <w:tc>
          <w:tcPr>
            <w:tcW w:w="0" w:type="dxa"/>
            <w:vAlign w:val="bottom"/>
          </w:tcPr>
          <w:p>
            <w:pPr>
              <w:spacing w:after="0"/>
              <w:rPr>
                <w:sz w:val="1"/>
                <w:szCs w:val="1"/>
                <w:color w:val="auto"/>
              </w:rPr>
            </w:pPr>
          </w:p>
        </w:tc>
      </w:tr>
      <w:tr>
        <w:trPr>
          <w:trHeight w:val="217"/>
        </w:trPr>
        <w:tc>
          <w:tcPr>
            <w:tcW w:w="80" w:type="dxa"/>
            <w:vAlign w:val="bottom"/>
            <w:tcBorders>
              <w:bottom w:val="single" w:sz="8" w:color="5673B8"/>
            </w:tcBorders>
          </w:tcPr>
          <w:p>
            <w:pPr>
              <w:spacing w:after="0"/>
              <w:rPr>
                <w:sz w:val="18"/>
                <w:szCs w:val="18"/>
                <w:color w:val="auto"/>
              </w:rPr>
            </w:pPr>
          </w:p>
        </w:tc>
        <w:tc>
          <w:tcPr>
            <w:tcW w:w="5480" w:type="dxa"/>
            <w:vAlign w:val="bottom"/>
            <w:tcBorders>
              <w:top w:val="single" w:sz="8" w:color="5673B8"/>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Renee D. Gala</w:t>
            </w:r>
          </w:p>
        </w:tc>
        <w:tc>
          <w:tcPr>
            <w:tcW w:w="1620" w:type="dxa"/>
            <w:vAlign w:val="bottom"/>
            <w:tcBorders>
              <w:bottom w:val="single" w:sz="8" w:color="5673B8"/>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5673B8"/>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5673B8"/>
            </w:tcBorders>
          </w:tcPr>
          <w:p>
            <w:pPr>
              <w:jc w:val="right"/>
              <w:ind w:right="68"/>
              <w:spacing w:after="0"/>
              <w:rPr>
                <w:sz w:val="20"/>
                <w:szCs w:val="20"/>
                <w:color w:val="auto"/>
              </w:rPr>
            </w:pPr>
            <w:r>
              <w:rPr>
                <w:rFonts w:ascii="Arial" w:cs="Arial" w:eastAsia="Arial" w:hAnsi="Arial"/>
                <w:sz w:val="14"/>
                <w:szCs w:val="14"/>
                <w:color w:val="auto"/>
              </w:rPr>
              <w:t>21,569</w:t>
            </w:r>
          </w:p>
        </w:tc>
        <w:tc>
          <w:tcPr>
            <w:tcW w:w="1240" w:type="dxa"/>
            <w:vAlign w:val="bottom"/>
            <w:tcBorders>
              <w:bottom w:val="single" w:sz="8" w:color="5673B8"/>
            </w:tcBorders>
          </w:tcPr>
          <w:p>
            <w:pPr>
              <w:jc w:val="right"/>
              <w:ind w:right="111"/>
              <w:spacing w:after="0"/>
              <w:rPr>
                <w:sz w:val="20"/>
                <w:szCs w:val="20"/>
                <w:color w:val="auto"/>
              </w:rPr>
            </w:pPr>
            <w:r>
              <w:rPr>
                <w:rFonts w:ascii="Arial" w:cs="Arial" w:eastAsia="Arial" w:hAnsi="Arial"/>
                <w:sz w:val="14"/>
                <w:szCs w:val="14"/>
                <w:color w:val="auto"/>
              </w:rPr>
              <w:t>2,875,996</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548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Philip L. Johnson</w:t>
            </w:r>
          </w:p>
        </w:tc>
        <w:tc>
          <w:tcPr>
            <w:tcW w:w="1620" w:type="dxa"/>
            <w:vAlign w:val="bottom"/>
            <w:tcBorders>
              <w:bottom w:val="single" w:sz="8" w:color="5673B8"/>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5673B8"/>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5673B8"/>
            </w:tcBorders>
          </w:tcPr>
          <w:p>
            <w:pPr>
              <w:jc w:val="right"/>
              <w:ind w:right="68"/>
              <w:spacing w:after="0"/>
              <w:rPr>
                <w:sz w:val="20"/>
                <w:szCs w:val="20"/>
                <w:color w:val="auto"/>
              </w:rPr>
            </w:pPr>
            <w:r>
              <w:rPr>
                <w:rFonts w:ascii="Arial" w:cs="Arial" w:eastAsia="Arial" w:hAnsi="Arial"/>
                <w:sz w:val="14"/>
                <w:szCs w:val="14"/>
                <w:color w:val="auto"/>
              </w:rPr>
              <w:t>3,983</w:t>
            </w:r>
          </w:p>
        </w:tc>
        <w:tc>
          <w:tcPr>
            <w:tcW w:w="1240" w:type="dxa"/>
            <w:vAlign w:val="bottom"/>
            <w:tcBorders>
              <w:bottom w:val="single" w:sz="8" w:color="5673B8"/>
            </w:tcBorders>
          </w:tcPr>
          <w:p>
            <w:pPr>
              <w:jc w:val="right"/>
              <w:ind w:right="111"/>
              <w:spacing w:after="0"/>
              <w:rPr>
                <w:sz w:val="20"/>
                <w:szCs w:val="20"/>
                <w:color w:val="auto"/>
              </w:rPr>
            </w:pPr>
            <w:r>
              <w:rPr>
                <w:rFonts w:ascii="Arial" w:cs="Arial" w:eastAsia="Arial" w:hAnsi="Arial"/>
                <w:sz w:val="14"/>
                <w:szCs w:val="14"/>
                <w:color w:val="auto"/>
              </w:rPr>
              <w:t>553,437</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548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Bruce C. Cozadd</w:t>
            </w:r>
          </w:p>
        </w:tc>
        <w:tc>
          <w:tcPr>
            <w:tcW w:w="1620" w:type="dxa"/>
            <w:vAlign w:val="bottom"/>
            <w:tcBorders>
              <w:bottom w:val="single" w:sz="8" w:color="5673B8"/>
            </w:tcBorders>
          </w:tcPr>
          <w:p>
            <w:pPr>
              <w:jc w:val="right"/>
              <w:ind w:right="28"/>
              <w:spacing w:after="0"/>
              <w:rPr>
                <w:sz w:val="20"/>
                <w:szCs w:val="20"/>
                <w:color w:val="auto"/>
              </w:rPr>
            </w:pPr>
            <w:r>
              <w:rPr>
                <w:rFonts w:ascii="Arial" w:cs="Arial" w:eastAsia="Arial" w:hAnsi="Arial"/>
                <w:sz w:val="14"/>
                <w:szCs w:val="14"/>
                <w:color w:val="auto"/>
              </w:rPr>
              <w:t>77,500</w:t>
            </w:r>
          </w:p>
        </w:tc>
        <w:tc>
          <w:tcPr>
            <w:tcW w:w="114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4,219,939</w:t>
            </w:r>
          </w:p>
        </w:tc>
        <w:tc>
          <w:tcPr>
            <w:tcW w:w="100" w:type="dxa"/>
            <w:vAlign w:val="bottom"/>
            <w:tcBorders>
              <w:bottom w:val="single" w:sz="8" w:color="5673B8"/>
            </w:tcBorders>
          </w:tcPr>
          <w:p>
            <w:pPr>
              <w:spacing w:after="0"/>
              <w:rPr>
                <w:sz w:val="19"/>
                <w:szCs w:val="19"/>
                <w:color w:val="auto"/>
              </w:rPr>
            </w:pPr>
          </w:p>
        </w:tc>
        <w:tc>
          <w:tcPr>
            <w:tcW w:w="1600" w:type="dxa"/>
            <w:vAlign w:val="bottom"/>
            <w:tcBorders>
              <w:bottom w:val="single" w:sz="8" w:color="5673B8"/>
            </w:tcBorders>
          </w:tcPr>
          <w:p>
            <w:pPr>
              <w:jc w:val="right"/>
              <w:ind w:right="68"/>
              <w:spacing w:after="0"/>
              <w:rPr>
                <w:sz w:val="20"/>
                <w:szCs w:val="20"/>
                <w:color w:val="auto"/>
              </w:rPr>
            </w:pPr>
            <w:r>
              <w:rPr>
                <w:rFonts w:ascii="Arial" w:cs="Arial" w:eastAsia="Arial" w:hAnsi="Arial"/>
                <w:sz w:val="14"/>
                <w:szCs w:val="14"/>
                <w:color w:val="auto"/>
              </w:rPr>
              <w:t>104,195</w:t>
            </w:r>
          </w:p>
        </w:tc>
        <w:tc>
          <w:tcPr>
            <w:tcW w:w="1240" w:type="dxa"/>
            <w:vAlign w:val="bottom"/>
            <w:tcBorders>
              <w:bottom w:val="single" w:sz="8" w:color="5673B8"/>
            </w:tcBorders>
          </w:tcPr>
          <w:p>
            <w:pPr>
              <w:jc w:val="right"/>
              <w:ind w:right="111"/>
              <w:spacing w:after="0"/>
              <w:rPr>
                <w:sz w:val="20"/>
                <w:szCs w:val="20"/>
                <w:color w:val="auto"/>
              </w:rPr>
            </w:pPr>
            <w:r>
              <w:rPr>
                <w:rFonts w:ascii="Arial" w:cs="Arial" w:eastAsia="Arial" w:hAnsi="Arial"/>
                <w:sz w:val="14"/>
                <w:szCs w:val="14"/>
                <w:color w:val="auto"/>
              </w:rPr>
              <w:t>13,601,075</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548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Robert Iannone, M.D., M.S.C.E</w:t>
            </w:r>
          </w:p>
        </w:tc>
        <w:tc>
          <w:tcPr>
            <w:tcW w:w="1620" w:type="dxa"/>
            <w:vAlign w:val="bottom"/>
            <w:tcBorders>
              <w:bottom w:val="single" w:sz="8" w:color="5673B8"/>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5673B8"/>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5673B8"/>
            </w:tcBorders>
          </w:tcPr>
          <w:p>
            <w:pPr>
              <w:jc w:val="right"/>
              <w:ind w:right="68"/>
              <w:spacing w:after="0"/>
              <w:rPr>
                <w:sz w:val="20"/>
                <w:szCs w:val="20"/>
                <w:color w:val="auto"/>
              </w:rPr>
            </w:pPr>
            <w:r>
              <w:rPr>
                <w:rFonts w:ascii="Arial" w:cs="Arial" w:eastAsia="Arial" w:hAnsi="Arial"/>
                <w:sz w:val="14"/>
                <w:szCs w:val="14"/>
                <w:color w:val="auto"/>
              </w:rPr>
              <w:t>19,826</w:t>
            </w:r>
          </w:p>
        </w:tc>
        <w:tc>
          <w:tcPr>
            <w:tcW w:w="1240" w:type="dxa"/>
            <w:vAlign w:val="bottom"/>
            <w:tcBorders>
              <w:bottom w:val="single" w:sz="8" w:color="5673B8"/>
            </w:tcBorders>
          </w:tcPr>
          <w:p>
            <w:pPr>
              <w:jc w:val="right"/>
              <w:ind w:right="111"/>
              <w:spacing w:after="0"/>
              <w:rPr>
                <w:sz w:val="20"/>
                <w:szCs w:val="20"/>
                <w:color w:val="auto"/>
              </w:rPr>
            </w:pPr>
            <w:r>
              <w:rPr>
                <w:rFonts w:ascii="Arial" w:cs="Arial" w:eastAsia="Arial" w:hAnsi="Arial"/>
                <w:sz w:val="14"/>
                <w:szCs w:val="14"/>
                <w:color w:val="auto"/>
              </w:rPr>
              <w:t>2,632,248</w:t>
            </w:r>
          </w:p>
        </w:tc>
        <w:tc>
          <w:tcPr>
            <w:tcW w:w="0" w:type="dxa"/>
            <w:vAlign w:val="bottom"/>
          </w:tcPr>
          <w:p>
            <w:pPr>
              <w:spacing w:after="0"/>
              <w:rPr>
                <w:sz w:val="1"/>
                <w:szCs w:val="1"/>
                <w:color w:val="auto"/>
              </w:rPr>
            </w:pPr>
          </w:p>
        </w:tc>
      </w:tr>
      <w:tr>
        <w:trPr>
          <w:trHeight w:val="223"/>
        </w:trPr>
        <w:tc>
          <w:tcPr>
            <w:tcW w:w="80" w:type="dxa"/>
            <w:vAlign w:val="bottom"/>
            <w:tcBorders>
              <w:bottom w:val="single" w:sz="8" w:color="5673B8"/>
            </w:tcBorders>
          </w:tcPr>
          <w:p>
            <w:pPr>
              <w:spacing w:after="0"/>
              <w:rPr>
                <w:sz w:val="19"/>
                <w:szCs w:val="19"/>
                <w:color w:val="auto"/>
              </w:rPr>
            </w:pPr>
          </w:p>
        </w:tc>
        <w:tc>
          <w:tcPr>
            <w:tcW w:w="5480" w:type="dxa"/>
            <w:vAlign w:val="bottom"/>
            <w:tcBorders>
              <w:bottom w:val="single" w:sz="8" w:color="5673B8"/>
            </w:tcBorders>
          </w:tcPr>
          <w:p>
            <w:pPr>
              <w:ind w:left="20"/>
              <w:spacing w:after="0"/>
              <w:rPr>
                <w:sz w:val="20"/>
                <w:szCs w:val="20"/>
                <w:color w:val="auto"/>
              </w:rPr>
            </w:pPr>
            <w:r>
              <w:rPr>
                <w:rFonts w:ascii="Arial" w:cs="Arial" w:eastAsia="Arial" w:hAnsi="Arial"/>
                <w:sz w:val="14"/>
                <w:szCs w:val="14"/>
                <w:b w:val="1"/>
                <w:bCs w:val="1"/>
                <w:color w:val="852166"/>
              </w:rPr>
              <w:t>Neena M. Patil</w:t>
            </w:r>
          </w:p>
        </w:tc>
        <w:tc>
          <w:tcPr>
            <w:tcW w:w="1620" w:type="dxa"/>
            <w:vAlign w:val="bottom"/>
            <w:tcBorders>
              <w:bottom w:val="single" w:sz="8" w:color="5673B8"/>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5673B8"/>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5673B8"/>
            </w:tcBorders>
          </w:tcPr>
          <w:p>
            <w:pPr>
              <w:jc w:val="right"/>
              <w:ind w:right="68"/>
              <w:spacing w:after="0"/>
              <w:rPr>
                <w:sz w:val="20"/>
                <w:szCs w:val="20"/>
                <w:color w:val="auto"/>
              </w:rPr>
            </w:pPr>
            <w:r>
              <w:rPr>
                <w:rFonts w:ascii="Arial" w:cs="Arial" w:eastAsia="Arial" w:hAnsi="Arial"/>
                <w:sz w:val="14"/>
                <w:szCs w:val="14"/>
                <w:color w:val="auto"/>
              </w:rPr>
              <w:t>15,344</w:t>
            </w:r>
          </w:p>
        </w:tc>
        <w:tc>
          <w:tcPr>
            <w:tcW w:w="1240" w:type="dxa"/>
            <w:vAlign w:val="bottom"/>
            <w:tcBorders>
              <w:bottom w:val="single" w:sz="8" w:color="5673B8"/>
            </w:tcBorders>
          </w:tcPr>
          <w:p>
            <w:pPr>
              <w:jc w:val="right"/>
              <w:ind w:right="111"/>
              <w:spacing w:after="0"/>
              <w:rPr>
                <w:sz w:val="20"/>
                <w:szCs w:val="20"/>
                <w:color w:val="auto"/>
              </w:rPr>
            </w:pPr>
            <w:r>
              <w:rPr>
                <w:rFonts w:ascii="Arial" w:cs="Arial" w:eastAsia="Arial" w:hAnsi="Arial"/>
                <w:sz w:val="14"/>
                <w:szCs w:val="14"/>
                <w:color w:val="auto"/>
              </w:rPr>
              <w:t>2,036,288</w:t>
            </w:r>
          </w:p>
        </w:tc>
        <w:tc>
          <w:tcPr>
            <w:tcW w:w="0" w:type="dxa"/>
            <w:vAlign w:val="bottom"/>
          </w:tcPr>
          <w:p>
            <w:pPr>
              <w:spacing w:after="0"/>
              <w:rPr>
                <w:sz w:val="1"/>
                <w:szCs w:val="1"/>
                <w:color w:val="auto"/>
              </w:rPr>
            </w:pPr>
          </w:p>
        </w:tc>
      </w:tr>
      <w:tr>
        <w:trPr>
          <w:trHeight w:val="223"/>
        </w:trPr>
        <w:tc>
          <w:tcPr>
            <w:tcW w:w="80" w:type="dxa"/>
            <w:vAlign w:val="bottom"/>
            <w:tcBorders>
              <w:bottom w:val="single" w:sz="8" w:color="852166"/>
            </w:tcBorders>
          </w:tcPr>
          <w:p>
            <w:pPr>
              <w:spacing w:after="0"/>
              <w:rPr>
                <w:sz w:val="19"/>
                <w:szCs w:val="19"/>
                <w:color w:val="auto"/>
              </w:rPr>
            </w:pPr>
          </w:p>
        </w:tc>
        <w:tc>
          <w:tcPr>
            <w:tcW w:w="5480" w:type="dxa"/>
            <w:vAlign w:val="bottom"/>
            <w:tcBorders>
              <w:bottom w:val="single" w:sz="8" w:color="852166"/>
            </w:tcBorders>
          </w:tcPr>
          <w:p>
            <w:pPr>
              <w:ind w:left="20"/>
              <w:spacing w:after="0"/>
              <w:rPr>
                <w:sz w:val="20"/>
                <w:szCs w:val="20"/>
                <w:color w:val="auto"/>
              </w:rPr>
            </w:pPr>
            <w:r>
              <w:rPr>
                <w:rFonts w:ascii="Arial" w:cs="Arial" w:eastAsia="Arial" w:hAnsi="Arial"/>
                <w:sz w:val="14"/>
                <w:szCs w:val="14"/>
                <w:b w:val="1"/>
                <w:bCs w:val="1"/>
                <w:color w:val="852166"/>
              </w:rPr>
              <w:t>Samantha Pearce</w:t>
            </w:r>
          </w:p>
        </w:tc>
        <w:tc>
          <w:tcPr>
            <w:tcW w:w="1620" w:type="dxa"/>
            <w:vAlign w:val="bottom"/>
            <w:tcBorders>
              <w:bottom w:val="single" w:sz="8" w:color="852166"/>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52166"/>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852166"/>
            </w:tcBorders>
          </w:tcPr>
          <w:p>
            <w:pPr>
              <w:jc w:val="right"/>
              <w:ind w:right="68"/>
              <w:spacing w:after="0"/>
              <w:rPr>
                <w:sz w:val="20"/>
                <w:szCs w:val="20"/>
                <w:color w:val="auto"/>
              </w:rPr>
            </w:pPr>
            <w:r>
              <w:rPr>
                <w:rFonts w:ascii="Arial" w:cs="Arial" w:eastAsia="Arial" w:hAnsi="Arial"/>
                <w:sz w:val="14"/>
                <w:szCs w:val="14"/>
                <w:color w:val="auto"/>
              </w:rPr>
              <w:t>8,267</w:t>
            </w:r>
          </w:p>
        </w:tc>
        <w:tc>
          <w:tcPr>
            <w:tcW w:w="1240" w:type="dxa"/>
            <w:vAlign w:val="bottom"/>
            <w:tcBorders>
              <w:bottom w:val="single" w:sz="8" w:color="852166"/>
            </w:tcBorders>
          </w:tcPr>
          <w:p>
            <w:pPr>
              <w:jc w:val="right"/>
              <w:ind w:right="111"/>
              <w:spacing w:after="0"/>
              <w:rPr>
                <w:sz w:val="20"/>
                <w:szCs w:val="20"/>
                <w:color w:val="auto"/>
              </w:rPr>
            </w:pPr>
            <w:r>
              <w:rPr>
                <w:rFonts w:ascii="Arial" w:cs="Arial" w:eastAsia="Arial" w:hAnsi="Arial"/>
                <w:sz w:val="14"/>
                <w:szCs w:val="14"/>
                <w:color w:val="auto"/>
              </w:rPr>
              <w:t>1,067,370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420" w:hanging="332"/>
        <w:spacing w:after="0" w:line="305" w:lineRule="auto"/>
        <w:tabs>
          <w:tab w:leader="none" w:pos="327"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value realized on exercise is based on the difference between the closing price of our ordinary shares on the date of exercise and the applicable exercise price of those options and does not represent actual amounts received by Mr. Cozadd as a result of the option exercises.</w:t>
      </w:r>
    </w:p>
    <w:p>
      <w:pPr>
        <w:spacing w:after="0" w:line="9" w:lineRule="exact"/>
        <w:rPr>
          <w:rFonts w:ascii="Arial" w:cs="Arial" w:eastAsia="Arial" w:hAnsi="Arial"/>
          <w:sz w:val="14"/>
          <w:szCs w:val="14"/>
          <w:color w:val="auto"/>
        </w:rPr>
      </w:pPr>
    </w:p>
    <w:p>
      <w:pPr>
        <w:ind w:left="340" w:right="360" w:hanging="332"/>
        <w:spacing w:after="0" w:line="305" w:lineRule="auto"/>
        <w:tabs>
          <w:tab w:leader="none" w:pos="327"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value realized on vesting is based on the number of shares underlying the RSUs and PSUs that vested and the closing price of our ordinary shares on the vesting date.</w:t>
      </w:r>
    </w:p>
    <w:p>
      <w:pPr>
        <w:spacing w:after="0" w:line="189" w:lineRule="exact"/>
        <w:rPr>
          <w:sz w:val="20"/>
          <w:szCs w:val="20"/>
          <w:color w:val="auto"/>
        </w:rPr>
      </w:pPr>
    </w:p>
    <w:p>
      <w:pPr>
        <w:spacing w:after="0"/>
        <w:rPr>
          <w:sz w:val="20"/>
          <w:szCs w:val="20"/>
          <w:color w:val="auto"/>
        </w:rPr>
      </w:pPr>
      <w:r>
        <w:rPr>
          <w:rFonts w:ascii="Arial" w:cs="Arial" w:eastAsia="Arial" w:hAnsi="Arial"/>
          <w:sz w:val="29"/>
          <w:szCs w:val="29"/>
          <w:color w:val="852166"/>
        </w:rPr>
        <w:t>Potential Payments upon Termination or Change in Control</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Change in Control Plan</w:t>
      </w:r>
    </w:p>
    <w:p>
      <w:pPr>
        <w:spacing w:after="0" w:line="171"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All of our NEOs are eligible for certain severance and CIC benefits under our CIC Plan. The CIC Plan applies to eligible executive employees of our Company and provides that, in the event that an executive’s employment terminates due to an involuntary termination without cause or a constructive termination, in each case upon or within 12 months following a CIC (as such terms are defined in the CIC Plan and described generally below), and assuming all of the other conditions of the CIC Plan are met, each executive who is a participant in the CIC Plan (including each of our NEOs) would be entitled to the following benefits under the CIC Plan:</w:t>
      </w:r>
    </w:p>
    <w:p>
      <w:pPr>
        <w:spacing w:after="0" w:line="127" w:lineRule="exact"/>
        <w:rPr>
          <w:sz w:val="20"/>
          <w:szCs w:val="20"/>
          <w:color w:val="auto"/>
        </w:rPr>
      </w:pPr>
    </w:p>
    <w:p>
      <w:pPr>
        <w:ind w:left="340" w:right="60" w:hanging="251"/>
        <w:spacing w:after="0" w:line="295" w:lineRule="auto"/>
        <w:tabs>
          <w:tab w:leader="none" w:pos="329" w:val="left"/>
        </w:tabs>
        <w:numPr>
          <w:ilvl w:val="0"/>
          <w:numId w:val="82"/>
        </w:numPr>
        <w:rPr>
          <w:rFonts w:ascii="Arial" w:cs="Arial" w:eastAsia="Arial" w:hAnsi="Arial"/>
          <w:sz w:val="16"/>
          <w:szCs w:val="16"/>
          <w:b w:val="1"/>
          <w:bCs w:val="1"/>
          <w:color w:val="001C71"/>
        </w:rPr>
      </w:pPr>
      <w:r>
        <w:rPr>
          <w:rFonts w:ascii="Arial" w:cs="Arial" w:eastAsia="Arial" w:hAnsi="Arial"/>
          <w:sz w:val="16"/>
          <w:szCs w:val="16"/>
          <w:color w:val="auto"/>
        </w:rPr>
        <w:t>A single, lump sum cash severance payment equal to the sum of: (i) the applicable base salary described below, multiplied by the applicable percentage set forth below; plus (ii) the product of (A) the applicable base salary, (B) the applicable bonus percentage described below and (C) the applicable percentage set forth below; plus (iii) the product of (A) the applicable base salary, (B) the applicable bonus percentage and the quotient obtained by dividing the number of full months that an executive is employed in the year of the termination by 12.</w:t>
      </w:r>
    </w:p>
    <w:p>
      <w:pPr>
        <w:spacing w:after="0" w:line="67" w:lineRule="exact"/>
        <w:rPr>
          <w:rFonts w:ascii="Arial" w:cs="Arial" w:eastAsia="Arial" w:hAnsi="Arial"/>
          <w:sz w:val="16"/>
          <w:szCs w:val="16"/>
          <w:b w:val="1"/>
          <w:bCs w:val="1"/>
          <w:color w:val="001C71"/>
        </w:rPr>
      </w:pPr>
    </w:p>
    <w:p>
      <w:pPr>
        <w:jc w:val="both"/>
        <w:ind w:left="660" w:right="80" w:hanging="247"/>
        <w:spacing w:after="0" w:line="301" w:lineRule="auto"/>
        <w:tabs>
          <w:tab w:leader="none" w:pos="650" w:val="left"/>
        </w:tabs>
        <w:numPr>
          <w:ilvl w:val="1"/>
          <w:numId w:val="82"/>
        </w:numPr>
        <w:rPr>
          <w:rFonts w:ascii="Arial" w:cs="Arial" w:eastAsia="Arial" w:hAnsi="Arial"/>
          <w:sz w:val="16"/>
          <w:szCs w:val="16"/>
          <w:color w:val="001C71"/>
        </w:rPr>
      </w:pPr>
      <w:r>
        <w:rPr>
          <w:rFonts w:ascii="Arial" w:cs="Arial" w:eastAsia="Arial" w:hAnsi="Arial"/>
          <w:sz w:val="16"/>
          <w:szCs w:val="16"/>
          <w:color w:val="auto"/>
        </w:rPr>
        <w:t>The “applicable base salary” is the higher of the executive’s base salary in effect (i) on the date of termination (without giving effect to any reduction in base salary that would constitute grounds for a constructive termination) or (ii) immediately prior to the CIC, without giving effect to any voluntary pay reduction taken by the executive during the 12 months preceding the date of termination or the CIC.</w:t>
      </w:r>
    </w:p>
    <w:p>
      <w:pPr>
        <w:spacing w:after="0" w:line="63" w:lineRule="exact"/>
        <w:rPr>
          <w:rFonts w:ascii="Arial" w:cs="Arial" w:eastAsia="Arial" w:hAnsi="Arial"/>
          <w:sz w:val="16"/>
          <w:szCs w:val="16"/>
          <w:color w:val="001C71"/>
        </w:rPr>
      </w:pPr>
    </w:p>
    <w:p>
      <w:pPr>
        <w:ind w:left="660" w:right="340" w:hanging="247"/>
        <w:spacing w:after="0" w:line="321" w:lineRule="auto"/>
        <w:tabs>
          <w:tab w:leader="none" w:pos="650" w:val="left"/>
        </w:tabs>
        <w:numPr>
          <w:ilvl w:val="1"/>
          <w:numId w:val="82"/>
        </w:numPr>
        <w:rPr>
          <w:rFonts w:ascii="Arial" w:cs="Arial" w:eastAsia="Arial" w:hAnsi="Arial"/>
          <w:sz w:val="16"/>
          <w:szCs w:val="16"/>
          <w:color w:val="001C71"/>
        </w:rPr>
      </w:pPr>
      <w:r>
        <w:rPr>
          <w:rFonts w:ascii="Arial" w:cs="Arial" w:eastAsia="Arial" w:hAnsi="Arial"/>
          <w:sz w:val="16"/>
          <w:szCs w:val="16"/>
          <w:color w:val="auto"/>
        </w:rPr>
        <w:t>The “applicable percentage” is 200% for our CEO, executive chairperson or president, 150% for senior vice presidents and above and 100% for vice presidents.</w:t>
      </w:r>
    </w:p>
    <w:p>
      <w:pPr>
        <w:spacing w:after="0" w:line="47" w:lineRule="exact"/>
        <w:rPr>
          <w:rFonts w:ascii="Arial" w:cs="Arial" w:eastAsia="Arial" w:hAnsi="Arial"/>
          <w:sz w:val="16"/>
          <w:szCs w:val="16"/>
          <w:color w:val="001C71"/>
        </w:rPr>
      </w:pPr>
    </w:p>
    <w:p>
      <w:pPr>
        <w:ind w:left="660" w:right="100" w:hanging="247"/>
        <w:spacing w:after="0" w:line="289" w:lineRule="auto"/>
        <w:tabs>
          <w:tab w:leader="none" w:pos="650" w:val="left"/>
        </w:tabs>
        <w:numPr>
          <w:ilvl w:val="1"/>
          <w:numId w:val="82"/>
        </w:numPr>
        <w:rPr>
          <w:rFonts w:ascii="Arial" w:cs="Arial" w:eastAsia="Arial" w:hAnsi="Arial"/>
          <w:sz w:val="16"/>
          <w:szCs w:val="16"/>
          <w:color w:val="001C71"/>
        </w:rPr>
      </w:pPr>
      <w:r>
        <w:rPr>
          <w:rFonts w:ascii="Arial" w:cs="Arial" w:eastAsia="Arial" w:hAnsi="Arial"/>
          <w:sz w:val="16"/>
          <w:szCs w:val="16"/>
          <w:color w:val="auto"/>
        </w:rPr>
        <w:t>The “applicable bonus percentage” is the greater of (i) the highest amount of any annual bonus paid to the executive for either of the last two calendar years prior to (A) the date of termination or (B) the CIC, in each case expressed as a percentage of the executive’s base salary for the applicable year, and (ii) the higher of the executive’s target bonus for the calendar year in which (A) the termination occurs or (B) the CIC occurs, in each case expressed as a percentage of the executive’s base salary for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149225</wp:posOffset>
            </wp:positionV>
            <wp:extent cx="1242695" cy="2057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85</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22" w:right="319" w:bottom="1440" w:gutter="0" w:footer="0" w:header="0"/>
        </w:sectPr>
      </w:pPr>
    </w:p>
    <w:bookmarkStart w:id="93" w:name="page94"/>
    <w:bookmarkEnd w:id="93"/>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7" w:lineRule="exact"/>
        <w:rPr>
          <w:sz w:val="20"/>
          <w:szCs w:val="20"/>
          <w:color w:val="auto"/>
        </w:rPr>
      </w:pPr>
    </w:p>
    <w:p>
      <w:pPr>
        <w:ind w:left="340" w:right="80" w:hanging="251"/>
        <w:spacing w:after="0" w:line="301" w:lineRule="auto"/>
        <w:tabs>
          <w:tab w:leader="none" w:pos="329" w:val="left"/>
        </w:tabs>
        <w:numPr>
          <w:ilvl w:val="0"/>
          <w:numId w:val="83"/>
        </w:numPr>
        <w:rPr>
          <w:rFonts w:ascii="Arial" w:cs="Arial" w:eastAsia="Arial" w:hAnsi="Arial"/>
          <w:sz w:val="16"/>
          <w:szCs w:val="16"/>
          <w:b w:val="1"/>
          <w:bCs w:val="1"/>
          <w:color w:val="001C71"/>
        </w:rPr>
      </w:pPr>
      <w:r>
        <w:rPr>
          <w:rFonts w:ascii="Arial" w:cs="Arial" w:eastAsia="Arial" w:hAnsi="Arial"/>
          <w:sz w:val="16"/>
          <w:szCs w:val="16"/>
          <w:color w:val="auto"/>
        </w:rPr>
        <w:t>Full payment of all of the applicable COBRA premiums for any health, dental or vision plan sponsored by us for a period of up to (i) 24 months for our CEO, executive chairperson or president, (ii) 18 months for executive vice presidents and senior vice presidents, and (iii) 12 months for vice presidents, provided that the executive timely elects continued coverage.</w:t>
      </w:r>
    </w:p>
    <w:p>
      <w:pPr>
        <w:spacing w:after="0" w:line="63" w:lineRule="exact"/>
        <w:rPr>
          <w:rFonts w:ascii="Arial" w:cs="Arial" w:eastAsia="Arial" w:hAnsi="Arial"/>
          <w:sz w:val="16"/>
          <w:szCs w:val="16"/>
          <w:b w:val="1"/>
          <w:bCs w:val="1"/>
          <w:color w:val="001C71"/>
        </w:rPr>
      </w:pPr>
    </w:p>
    <w:p>
      <w:pPr>
        <w:ind w:left="320" w:hanging="231"/>
        <w:spacing w:after="0"/>
        <w:tabs>
          <w:tab w:leader="none" w:pos="320" w:val="left"/>
        </w:tabs>
        <w:numPr>
          <w:ilvl w:val="0"/>
          <w:numId w:val="83"/>
        </w:numPr>
        <w:rPr>
          <w:rFonts w:ascii="Arial" w:cs="Arial" w:eastAsia="Arial" w:hAnsi="Arial"/>
          <w:sz w:val="16"/>
          <w:szCs w:val="16"/>
          <w:b w:val="1"/>
          <w:bCs w:val="1"/>
          <w:color w:val="001C71"/>
        </w:rPr>
      </w:pPr>
      <w:r>
        <w:rPr>
          <w:rFonts w:ascii="Arial" w:cs="Arial" w:eastAsia="Arial" w:hAnsi="Arial"/>
          <w:sz w:val="16"/>
          <w:szCs w:val="16"/>
          <w:color w:val="auto"/>
        </w:rPr>
        <w:t>Acceleration in full of the vesting and exercisability, as applicable, of outstanding stock options and other equity awards held by the executive.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key terms are defined in the CIC Plan:</w:t>
      </w:r>
    </w:p>
    <w:p>
      <w:pPr>
        <w:spacing w:after="0" w:line="194" w:lineRule="exact"/>
        <w:rPr>
          <w:sz w:val="20"/>
          <w:szCs w:val="20"/>
          <w:color w:val="auto"/>
        </w:rPr>
      </w:pPr>
    </w:p>
    <w:p>
      <w:pPr>
        <w:ind w:left="340" w:hanging="251"/>
        <w:spacing w:after="0" w:line="283" w:lineRule="auto"/>
        <w:tabs>
          <w:tab w:leader="none" w:pos="329" w:val="left"/>
        </w:tabs>
        <w:numPr>
          <w:ilvl w:val="0"/>
          <w:numId w:val="84"/>
        </w:numPr>
        <w:rPr>
          <w:rFonts w:ascii="Arial" w:cs="Arial" w:eastAsia="Arial" w:hAnsi="Arial"/>
          <w:sz w:val="16"/>
          <w:szCs w:val="16"/>
          <w:b w:val="1"/>
          <w:bCs w:val="1"/>
          <w:color w:val="001C71"/>
        </w:rPr>
      </w:pPr>
      <w:r>
        <w:rPr>
          <w:rFonts w:ascii="Arial" w:cs="Arial" w:eastAsia="Arial" w:hAnsi="Arial"/>
          <w:sz w:val="16"/>
          <w:szCs w:val="16"/>
          <w:color w:val="auto"/>
        </w:rPr>
        <w:t>A “change in control” or “CIC” generally means: (i) a person or group acquires ownership of more than 30% of the combined voting power of our outstanding securities (other than directly from our Company); (ii) certain compromises or arrangements sanctioned by the Irish courts, certain schemes, contracts or offers that have become binding on all of our shareholders, certain takeover bids, certain offers or reverse takeover transactions, or a reorganization, merger, statutory share exchange, consolidation or similar transaction involving us, after which our shareholders do not own more than 50% of the combined voting power of the surviving entity or its parent in substantially the same proportion as their ownership of our outstanding voting securities immediately before the transaction, or a person or group acquires ownership of more than 30% of the combined voting power of the surviving entity or its parent, or at least a majority of the members of the board of directors of the parent (or the surviving entity, if there is no parent) following such transaction are not incumbent Board members (as defined in (v) below) at the time our Board approves the transaction; (iii) our shareholders or our Board approves a complete dissolution or liquidation of our Company, or a complete dissolution or liquidation of our Company otherwise occurs (except for a liquidation into a parent company); (iv) a sale, lease, exclusive license or other disposition of all or substantially all of our assets, other than to certain entities; or (v) individuals who were members of our Board as of February 10, 2016 (or members of our Board approved or recommended by a majority vote of such members still in office), referred to as “incumbent board members,” cease to constitute at least a majority of the board of directors.</w:t>
      </w:r>
    </w:p>
    <w:p>
      <w:pPr>
        <w:spacing w:after="0" w:line="83" w:lineRule="exact"/>
        <w:rPr>
          <w:rFonts w:ascii="Arial" w:cs="Arial" w:eastAsia="Arial" w:hAnsi="Arial"/>
          <w:sz w:val="16"/>
          <w:szCs w:val="16"/>
          <w:b w:val="1"/>
          <w:bCs w:val="1"/>
          <w:color w:val="001C71"/>
        </w:rPr>
      </w:pPr>
    </w:p>
    <w:p>
      <w:pPr>
        <w:ind w:left="340" w:right="60" w:hanging="251"/>
        <w:spacing w:after="0" w:line="287" w:lineRule="auto"/>
        <w:tabs>
          <w:tab w:leader="none" w:pos="329" w:val="left"/>
        </w:tabs>
        <w:numPr>
          <w:ilvl w:val="0"/>
          <w:numId w:val="84"/>
        </w:numPr>
        <w:rPr>
          <w:rFonts w:ascii="Arial" w:cs="Arial" w:eastAsia="Arial" w:hAnsi="Arial"/>
          <w:sz w:val="16"/>
          <w:szCs w:val="16"/>
          <w:b w:val="1"/>
          <w:bCs w:val="1"/>
          <w:color w:val="001C71"/>
        </w:rPr>
      </w:pPr>
      <w:r>
        <w:rPr>
          <w:rFonts w:ascii="Arial" w:cs="Arial" w:eastAsia="Arial" w:hAnsi="Arial"/>
          <w:sz w:val="16"/>
          <w:szCs w:val="16"/>
          <w:color w:val="auto"/>
        </w:rPr>
        <w:t>An “involuntary termination without cause” generally means an executive’s employment is terminated for any reason other than for the following reasons: (i) the executive’s unauthorized use or disclosure of confidential information or trade secrets which causes material harm to us; (ii) the executive’s material breach of any agreement with us (or the executive’s material violation of any statutory duty owed to us) after an opportunity to cure; (iii) the executive’s material failure to comply with our written policies or rules after an opportunity to cure; (iv) the executive’s conviction or plea of guilty or no contest to any crime involving fraud, dishonesty or moral turpitude; (v) the executive’s gross misconduct; (vi) the executive’s continued failure to perform his or her assigned duties after notification; or (vii) the executive’s failure to reasonably cooperate in good faith with any governmental or internal investigation of us or our directors, officers or employees. An “involuntary termination without cause” also includes an executive’s termination of employment due to death or disability.</w:t>
      </w:r>
    </w:p>
    <w:p>
      <w:pPr>
        <w:spacing w:after="0" w:line="75" w:lineRule="exact"/>
        <w:rPr>
          <w:rFonts w:ascii="Arial" w:cs="Arial" w:eastAsia="Arial" w:hAnsi="Arial"/>
          <w:sz w:val="16"/>
          <w:szCs w:val="16"/>
          <w:b w:val="1"/>
          <w:bCs w:val="1"/>
          <w:color w:val="001C71"/>
        </w:rPr>
      </w:pPr>
    </w:p>
    <w:p>
      <w:pPr>
        <w:ind w:left="340" w:right="80" w:hanging="251"/>
        <w:spacing w:after="0" w:line="287" w:lineRule="auto"/>
        <w:tabs>
          <w:tab w:leader="none" w:pos="329" w:val="left"/>
        </w:tabs>
        <w:numPr>
          <w:ilvl w:val="0"/>
          <w:numId w:val="84"/>
        </w:numPr>
        <w:rPr>
          <w:rFonts w:ascii="Arial" w:cs="Arial" w:eastAsia="Arial" w:hAnsi="Arial"/>
          <w:sz w:val="16"/>
          <w:szCs w:val="16"/>
          <w:b w:val="1"/>
          <w:bCs w:val="1"/>
          <w:color w:val="001C71"/>
        </w:rPr>
      </w:pPr>
      <w:r>
        <w:rPr>
          <w:rFonts w:ascii="Arial" w:cs="Arial" w:eastAsia="Arial" w:hAnsi="Arial"/>
          <w:sz w:val="16"/>
          <w:szCs w:val="16"/>
          <w:color w:val="auto"/>
        </w:rPr>
        <w:t>A “constructive termination” generally means an executive resigns employment after any of the following actions are taken or events occur without the executive’s written consent: (i) one or more reductions in the executive’s base salary that results in a total reduction in the executive’s base salary, as in effect immediately prior to the CIC or any higher base salary in effect following the CIC, by more than 10%; (ii) a relocation of the executive’s principal place of employment that increases the executive’s one-way commute by more than 35 miles; (iii) a substantial reduction in the executive’s authority, duties or responsibilities that are in effect immediately prior to the CIC, provided that if the executive holds the same position but the size of the executive’s employing entity or business unit has decreased significantly or our Company or the executive’s employing entity ceases to be a publicly-traded corporation, the executive’s authority, duties and responsibilities will be considered to be substantially reduced; (iv) a reduction in the executive’s title; or (v) a substantial increase in executive’s required business travel as compared with the executive’s required business travel prior to the CIC.</w:t>
      </w:r>
    </w:p>
    <w:p>
      <w:pPr>
        <w:spacing w:after="0" w:line="116"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We benefit by requiring the executive to execute an effective general waiver and release of claims in order to be eligible to receive benefits under the CIC Plan. All other benefits (such as life insurance, disability coverage and 401(k) Plan eligibility) will terminate as of the executive’s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167640</wp:posOffset>
            </wp:positionV>
            <wp:extent cx="1242695" cy="2057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7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86</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4" w:name="page95"/>
    <w:bookmarkEnd w:id="94"/>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37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CIC Plan does not provide for the gross up of any excise taxes imposed by Section 4999 of the Code. If any of the severance benefits payable under the CIC Plan would constitute a “parachute payment” within the meaning of Section 280G of the Code, subject to the excise tax imposed by Section 4999 of the Code, the CIC Plan provides for a best after-tax analysis with respect to such payments, under which the executive will receive whichever of the following two alternative forms of payment would result in executive’s receipt, on an after-tax basis, of the greater amount of the transaction payment notwithstanding that all or some portion of the transaction payment may be subject to the excise tax (i) payment in full of the entire amount of the transaction payment, or (ii) payment of only a part of the transaction payment so that the executive receives the largest payment possible without the imposition of the excise tax.</w:t>
      </w:r>
    </w:p>
    <w:p>
      <w:pPr>
        <w:spacing w:after="0" w:line="34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executive would not receive benefits under the CIC Plan in certain circumstances, including if (i) the executive voluntarily terminates employment with us to accept employment with another entity that is controlled, directly or indirectly, by us or is otherwise affiliated with us, (ii) the executive does not confirm in writing that he or she is subject to agreements with us relating to proprietary and confidential information and our Code of Conduct and Ethics, or (iii) the executive does not return all company property. In addition, benefits would be terminated under the CIC Plan if the executive willfully breaches his or her agreements with us relating to proprietary and confidential information or our Code of Conduct and Ethics.</w:t>
      </w:r>
    </w:p>
    <w:p>
      <w:pPr>
        <w:spacing w:after="0" w:line="128" w:lineRule="exact"/>
        <w:rPr>
          <w:sz w:val="20"/>
          <w:szCs w:val="20"/>
          <w:color w:val="auto"/>
        </w:rPr>
      </w:pPr>
    </w:p>
    <w:p>
      <w:pPr>
        <w:jc w:val="both"/>
        <w:ind w:right="200"/>
        <w:spacing w:after="0" w:line="295" w:lineRule="auto"/>
        <w:rPr>
          <w:sz w:val="20"/>
          <w:szCs w:val="20"/>
          <w:color w:val="auto"/>
        </w:rPr>
      </w:pPr>
      <w:r>
        <w:rPr>
          <w:rFonts w:ascii="Arial" w:cs="Arial" w:eastAsia="Arial" w:hAnsi="Arial"/>
          <w:sz w:val="16"/>
          <w:szCs w:val="16"/>
          <w:color w:val="auto"/>
        </w:rPr>
        <w:t>The structure and amount of benefits provided under the CIC Plan are intended to balance our goals of attracting and retaining highly qualified individuals, providing the appropriate incentive for such individuals to perform in the best interests of our shareholders and maintaining responsible pay practices. Our Compensation Committee periodically reviews market data to gain a general understanding of the CIC benefits offered by our competitors and reviews the benefits offered under the CIC Plan against such market data to ensure that the benefits under the CIC Plan remain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Severance Plan</w:t>
      </w:r>
    </w:p>
    <w:p>
      <w:pPr>
        <w:spacing w:after="0" w:line="18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adopted our Severance Plan effective April 23, 2025. All of our NEOs for 2025 other than Ms. Gala, our President, CEO and Director, and Mr. Cozadd, our Chairperson and former CEO, are eligible for certain severance benefits under the Severance Plan. The Severance Plan applies to eligible executive employees of our Company who serve on our EC, other than our CEO, and provides that, in the event that an executive’s employment terminates due to an involuntary termination without cause that does not occur upon or within 12 months following a CIC (as such terms are defined in the Severance Plan and described generally below), and assuming all of the other conditions of the Severance Plan are met, each executive who is a participant in the Severance Plan (including each of our NEOs for 2025 other than Ms. Gala, our President, CEO and Director, and Mr. Cozadd, our Chairperson and former CEO) would be entitled to the following benefits under the Severance Plan:</w:t>
      </w:r>
    </w:p>
    <w:p>
      <w:pPr>
        <w:spacing w:after="0" w:line="129" w:lineRule="exact"/>
        <w:rPr>
          <w:sz w:val="20"/>
          <w:szCs w:val="20"/>
          <w:color w:val="auto"/>
        </w:rPr>
      </w:pPr>
    </w:p>
    <w:p>
      <w:pPr>
        <w:ind w:left="340" w:right="140" w:hanging="251"/>
        <w:spacing w:after="0" w:line="284" w:lineRule="auto"/>
        <w:tabs>
          <w:tab w:leader="none" w:pos="329" w:val="left"/>
        </w:tabs>
        <w:numPr>
          <w:ilvl w:val="0"/>
          <w:numId w:val="85"/>
        </w:numPr>
        <w:rPr>
          <w:rFonts w:ascii="Arial" w:cs="Arial" w:eastAsia="Arial" w:hAnsi="Arial"/>
          <w:sz w:val="16"/>
          <w:szCs w:val="16"/>
          <w:b w:val="1"/>
          <w:bCs w:val="1"/>
          <w:color w:val="001C71"/>
        </w:rPr>
      </w:pPr>
      <w:r>
        <w:rPr>
          <w:rFonts w:ascii="Arial" w:cs="Arial" w:eastAsia="Arial" w:hAnsi="Arial"/>
          <w:sz w:val="16"/>
          <w:szCs w:val="16"/>
          <w:color w:val="auto"/>
        </w:rPr>
        <w:t>A single, lump sum cash severance payment equal to the sum of: (i) 100% of the executive’s annual base salary in effect on the date of the executive’s termination; plus (ii) if the executive has been employed by us through at least January 31 of the calendar year in which the involuntary termination occurs, an amount equal to (A) the executive’s target bonus for such calendar year multiplied by (B) a ratio, the numerator of which is the number of calendar days that the executive is employed by us during such calendar year and denominator of which is the total number of calendar days in such calendar year. If the date of the involuntary termination occurs in the first quarter of the calendar year and such date is prior to the scheduled payment date for previous year annual bonuses, the executive will receive payment of the previous year annual bonus at the target amount prorated by the number of days the executive was employed by us during the previous calendar year if the executive was not employed for the full previous calendar year.</w:t>
      </w:r>
    </w:p>
    <w:p>
      <w:pPr>
        <w:spacing w:after="0" w:line="80" w:lineRule="exact"/>
        <w:rPr>
          <w:rFonts w:ascii="Arial" w:cs="Arial" w:eastAsia="Arial" w:hAnsi="Arial"/>
          <w:sz w:val="16"/>
          <w:szCs w:val="16"/>
          <w:b w:val="1"/>
          <w:bCs w:val="1"/>
          <w:color w:val="001C71"/>
        </w:rPr>
      </w:pPr>
    </w:p>
    <w:p>
      <w:pPr>
        <w:ind w:left="340" w:right="20" w:hanging="251"/>
        <w:spacing w:after="0" w:line="321" w:lineRule="auto"/>
        <w:tabs>
          <w:tab w:leader="none" w:pos="329" w:val="left"/>
        </w:tabs>
        <w:numPr>
          <w:ilvl w:val="0"/>
          <w:numId w:val="85"/>
        </w:numPr>
        <w:rPr>
          <w:rFonts w:ascii="Arial" w:cs="Arial" w:eastAsia="Arial" w:hAnsi="Arial"/>
          <w:sz w:val="16"/>
          <w:szCs w:val="16"/>
          <w:b w:val="1"/>
          <w:bCs w:val="1"/>
          <w:color w:val="001C71"/>
        </w:rPr>
      </w:pPr>
      <w:r>
        <w:rPr>
          <w:rFonts w:ascii="Arial" w:cs="Arial" w:eastAsia="Arial" w:hAnsi="Arial"/>
          <w:sz w:val="16"/>
          <w:szCs w:val="16"/>
          <w:color w:val="auto"/>
        </w:rPr>
        <w:t>Full payment of all of the applicable COBRA premiums for any health, dental or vision plan sponsored by us for a period of up to 12 months following the involuntary termination, provided that the executive timely elects continued coverage.</w:t>
      </w:r>
    </w:p>
    <w:p>
      <w:pPr>
        <w:spacing w:after="0" w:line="47" w:lineRule="exact"/>
        <w:rPr>
          <w:rFonts w:ascii="Arial" w:cs="Arial" w:eastAsia="Arial" w:hAnsi="Arial"/>
          <w:sz w:val="16"/>
          <w:szCs w:val="16"/>
          <w:b w:val="1"/>
          <w:bCs w:val="1"/>
          <w:color w:val="001C71"/>
        </w:rPr>
      </w:pPr>
    </w:p>
    <w:p>
      <w:pPr>
        <w:ind w:left="340" w:right="160" w:hanging="251"/>
        <w:spacing w:after="0" w:line="286" w:lineRule="auto"/>
        <w:tabs>
          <w:tab w:leader="none" w:pos="329" w:val="left"/>
        </w:tabs>
        <w:numPr>
          <w:ilvl w:val="0"/>
          <w:numId w:val="85"/>
        </w:numPr>
        <w:rPr>
          <w:rFonts w:ascii="Arial" w:cs="Arial" w:eastAsia="Arial" w:hAnsi="Arial"/>
          <w:sz w:val="16"/>
          <w:szCs w:val="16"/>
          <w:b w:val="1"/>
          <w:bCs w:val="1"/>
          <w:color w:val="001C71"/>
        </w:rPr>
      </w:pPr>
      <w:r>
        <w:rPr>
          <w:rFonts w:ascii="Arial" w:cs="Arial" w:eastAsia="Arial" w:hAnsi="Arial"/>
          <w:sz w:val="16"/>
          <w:szCs w:val="16"/>
          <w:color w:val="auto"/>
        </w:rPr>
        <w:t>Continued vesting of outstanding time-based RSUs and PSUs that were granted to the executive at least 12 months prior to the date of the involuntary termination as follows: (i) unvested time-based RSUs will continue to vest on each vesting date scheduled that occurs during the 12 month period following the involuntary termination pursuant to the original vesting schedule under which such time-based RSUs were granted and (ii) PSUs that are subject to vesting based on the achievement of performance goals during a performance period that is scheduled to end during the 12 month period following the involuntary termination will vest on the date our Compensation Committee certifies the number of such PSUs, if any, that are eligible to vest in an amount equal to (a) the number of such PSUs, if any, that our Compensation Committee certifies are eligible to vest based on the actual performance measured against the performance goals for the applicable performance period multiplied by (b) a ratio, the numerator of which is the number of calendar days during the performance period for such PSUs that had elapsed prior to the involuntary termination and the denominator of which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144780</wp:posOffset>
            </wp:positionV>
            <wp:extent cx="1242695" cy="2057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87</w:t>
            </w:r>
          </w:p>
        </w:tc>
      </w:tr>
      <w:tr>
        <w:trPr>
          <w:trHeight w:val="494"/>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5" w:name="page96"/>
    <w:bookmarkEnd w:id="95"/>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line="301" w:lineRule="auto"/>
        <w:rPr>
          <w:sz w:val="20"/>
          <w:szCs w:val="20"/>
          <w:color w:val="auto"/>
        </w:rPr>
      </w:pPr>
      <w:r>
        <w:rPr>
          <w:rFonts w:ascii="Arial" w:cs="Arial" w:eastAsia="Arial" w:hAnsi="Arial"/>
          <w:sz w:val="16"/>
          <w:szCs w:val="16"/>
          <w:color w:val="auto"/>
        </w:rPr>
        <w:t>the total number of calendar days in such performance period (or, if granted to the executive after the standard grant date for such PSUs, the period commencing on the date such PSUs were granted to the executive and ending on the last day of the performance period), rounded up to the next whole PSU.</w:t>
      </w:r>
    </w:p>
    <w:p>
      <w:pPr>
        <w:spacing w:after="0" w:line="64" w:lineRule="exact"/>
        <w:rPr>
          <w:sz w:val="20"/>
          <w:szCs w:val="20"/>
          <w:color w:val="auto"/>
        </w:rPr>
      </w:pPr>
    </w:p>
    <w:p>
      <w:pPr>
        <w:ind w:left="320" w:hanging="231"/>
        <w:spacing w:after="0"/>
        <w:tabs>
          <w:tab w:leader="none" w:pos="320" w:val="left"/>
        </w:tabs>
        <w:numPr>
          <w:ilvl w:val="0"/>
          <w:numId w:val="86"/>
        </w:numPr>
        <w:rPr>
          <w:rFonts w:ascii="Arial" w:cs="Arial" w:eastAsia="Arial" w:hAnsi="Arial"/>
          <w:sz w:val="16"/>
          <w:szCs w:val="16"/>
          <w:b w:val="1"/>
          <w:bCs w:val="1"/>
          <w:color w:val="001C71"/>
        </w:rPr>
      </w:pPr>
      <w:r>
        <w:rPr>
          <w:rFonts w:ascii="Arial" w:cs="Arial" w:eastAsia="Arial" w:hAnsi="Arial"/>
          <w:sz w:val="16"/>
          <w:szCs w:val="16"/>
          <w:color w:val="auto"/>
        </w:rPr>
        <w:t>Outplacement services for a period of up to 12 months following the involuntary termination.</w:t>
      </w:r>
    </w:p>
    <w:p>
      <w:pPr>
        <w:spacing w:after="0" w:line="194"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We benefit by requiring the executive to execute an effective general waiver and release of claims in order to be eligible to receive benefits under the Severance Plan. In addition, payments and benefits under the Severance Plan are subject to our Clawback Policy and may, at our discretion, be recouped upon certain other specified recoupment events, including certain financial misconduct, compliance violations, ethical breaches and quality control failures, irrespective of whether accompanied by an accounting restatement.</w:t>
      </w:r>
    </w:p>
    <w:p>
      <w:pPr>
        <w:spacing w:after="0" w:line="121"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A “change in control” or “CIC” and “involuntary termination without cause” generally have the same meanings under the Severance Plan as under our CIC Plan described above, except that a participant’s death or disability will not constitute an “involuntary termination without cause” for purposes of the Severance Plan. Because benefits under the Severance Plan are only payable upon an involuntary termination without cause that does not occur upon or within 12 months following a CIC, there is no overlap where an executive officer who is subject to an involuntary termination would receive benefits under both the CIC Plan and the Severance Plan.</w:t>
      </w:r>
    </w:p>
    <w:p>
      <w:pPr>
        <w:spacing w:after="0" w:line="128"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Severance Plan does not provide for the gross up of any excise taxes imposed by section 4999 of the Code. If any of the severance benefits payable under the Severance Plan would constitute a “parachute payment” within the meaning of section 280G of the Code, subject to the excise tax imposed by section 4999 of the Code, the Severance Plan provides for the same best after-tax analysis with respect to such payments as described above for the CIC Plan.</w:t>
      </w:r>
    </w:p>
    <w:p>
      <w:pPr>
        <w:spacing w:after="0" w:line="12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executive would not receive benefits under the Severance Plan in certain circumstances, including if (i) the executive voluntarily terminates employment with us to accept employment with another entity that is controlled, directly or indirectly, by us or is otherwise affiliated with us, (ii) the executive does not confirm in writing that he or she is subject to agreements with us relating to proprietary and confidential information and our Code of Conduct and Ethics, or</w:t>
      </w:r>
    </w:p>
    <w:p>
      <w:pPr>
        <w:spacing w:after="0" w:line="2" w:lineRule="exact"/>
        <w:rPr>
          <w:sz w:val="20"/>
          <w:szCs w:val="20"/>
          <w:color w:val="auto"/>
        </w:rPr>
      </w:pPr>
    </w:p>
    <w:p>
      <w:pPr>
        <w:ind w:firstLine="8"/>
        <w:spacing w:after="0" w:line="321" w:lineRule="auto"/>
        <w:tabs>
          <w:tab w:leader="none" w:pos="261"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executive does not return all company property. In addition, benefits would be terminated under the Severance Plan if the executive willfully breaches his or her agreements with us relating to proprietary and confidential information or our Code of Conduct and Ethics.</w:t>
      </w:r>
    </w:p>
    <w:p>
      <w:pPr>
        <w:spacing w:after="0" w:line="102"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auto"/>
        </w:rPr>
        <w:t>The structure and amount of benefits provided under the Severance Plan are intended to balance our goals of attracting and retaining highly qualified individuals, providing the appropriate incentive for such individuals to perform in the best interests of our shareholders and maintaining responsible pay practices.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Equity Compensation Plans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2011 Plan and award agreements thereunder provide for potential vesting acceleration upon an executive’s termination in connection with a CIC and, at the discretion of our Board, upon certain CIC events, as further described above under the heading “</w:t>
      </w:r>
      <w:r>
        <w:rPr>
          <w:rFonts w:ascii="Arial" w:cs="Arial" w:eastAsia="Arial" w:hAnsi="Arial"/>
          <w:sz w:val="16"/>
          <w:szCs w:val="16"/>
          <w:i w:val="1"/>
          <w:iCs w:val="1"/>
          <w:color w:val="auto"/>
        </w:rPr>
        <w:t>Description of Compensation Arrangements—Equity</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Arrangements</w:t>
      </w:r>
      <w:r>
        <w:rPr>
          <w:rFonts w:ascii="Arial" w:cs="Arial" w:eastAsia="Arial" w:hAnsi="Arial"/>
          <w:sz w:val="16"/>
          <w:szCs w:val="16"/>
          <w:color w:val="auto"/>
        </w:rPr>
        <w:t>.” In addition, under the terms of the 2011 Plan and the option award agreements thereunder, the vested portion of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granted to the NEOs will generally expire three months after the applicable NEO’s termination of service, subject to extension under limited circumstances such as if the sale of shares during such time was prohibited by our insider trading policy or if exercise would result in violation of securities registration requirements. We refer to the period following the NEO’s termination during which he or she can continue to exercise his or her vested stock options as the post-termination exercise period. However, in termination situations involving the death or disability of an NEO, the post-termination exercise period is generally extended up to 12 months in connection with a termination due to disability and up to 18 months in connection with a termination due to death. As the value of such extended post-termination exercise periods is not quantifiable, such value is not included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179070</wp:posOffset>
            </wp:positionV>
            <wp:extent cx="1242695" cy="2057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94"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88</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96" w:name="page97"/>
    <w:bookmarkEnd w:id="96"/>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Treatment of 2022, 2023, 2024 and 2025 RSUs</w:t>
      </w:r>
    </w:p>
    <w:p>
      <w:pPr>
        <w:spacing w:after="0" w:line="185"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RSU award agreements applicable to the RSUs granted in 2022, 2023, 2024 and 2025 provide for vesting continuation or potential vesting acceleration upon an executive’s death, disability or retirement. If an NEO’s continuous service terminates due to death, such vesting of the RSUs will be accelerated in full, effective as of the date of such termination. If an NEO’s continuous service terminates due to disability, the NEO’s unvested RSUs will continue to vest pursuant to the original vesting schedule as provided in the RSU award grant notice. If, on or after the first anniversary of the date of grant of such RSUs, the NEO’s continuous service terminates due to the NEO’s Regular Retirement or NEO’s Long-Service Retirement (each as defined below), then provided that</w:t>
      </w:r>
    </w:p>
    <w:p>
      <w:pPr>
        <w:spacing w:after="0" w:line="1" w:lineRule="exact"/>
        <w:rPr>
          <w:sz w:val="20"/>
          <w:szCs w:val="20"/>
          <w:color w:val="auto"/>
        </w:rPr>
      </w:pPr>
    </w:p>
    <w:p>
      <w:pPr>
        <w:ind w:right="20" w:firstLine="8"/>
        <w:spacing w:after="0" w:line="301" w:lineRule="auto"/>
        <w:tabs>
          <w:tab w:leader="none" w:pos="189"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NEO has given our Company at least four months advance written notice of the NEO’s intention to terminate his or her continuous service and (ii) the NEO executes and delivers a non-solicitation agreement satisfactory to our Company that will apply for a period of 12 months after the termination date, then the RSUs will be treated as follows:</w:t>
      </w:r>
    </w:p>
    <w:p>
      <w:pPr>
        <w:spacing w:after="0" w:line="118" w:lineRule="exact"/>
        <w:rPr>
          <w:sz w:val="20"/>
          <w:szCs w:val="20"/>
          <w:color w:val="auto"/>
        </w:rPr>
      </w:pPr>
    </w:p>
    <w:p>
      <w:pPr>
        <w:ind w:left="340" w:right="200" w:hanging="332"/>
        <w:spacing w:after="0" w:line="287" w:lineRule="auto"/>
        <w:tabs>
          <w:tab w:leader="none" w:pos="335"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the case of an NEO’s Regular Retirement, a pro-rata portion of each unvested tranche of RSUs will continue to vest pursuant to the original vesting schedule as provided in the grant notice. For each such unvested tranche of the RSUs, such pro-rata portion will be determined by reference to the number of RSUs in such unvested tranche of the award multiplied by the ratio of (x) the number of calendar days that have elapsed from the vesting commencement date through the date of an NEO’s termination of continuous service divided by (y) the total number of calendar days in such vesting tranche (which, for clarity, will be equal to the number of calendar days that have elapsed from the vesting commencement date through the vesting date for such tranche), and rounded down to the nearest whole RSU. For purposes of the foregoing, “Regular Retirement” means an NEO’s voluntary termination of continuous service, unless circumstances exist at the time of such termination that would constitute cause, following (a) the NEO’s completion of five years of continuous service and (b) the NEO’s attainment of age 55.</w:t>
      </w:r>
    </w:p>
    <w:p>
      <w:pPr>
        <w:spacing w:after="0" w:line="75" w:lineRule="exact"/>
        <w:rPr>
          <w:rFonts w:ascii="Arial" w:cs="Arial" w:eastAsia="Arial" w:hAnsi="Arial"/>
          <w:sz w:val="16"/>
          <w:szCs w:val="16"/>
          <w:color w:val="auto"/>
        </w:rPr>
      </w:pPr>
    </w:p>
    <w:p>
      <w:pPr>
        <w:ind w:left="340" w:right="20" w:hanging="332"/>
        <w:spacing w:after="0" w:line="295" w:lineRule="auto"/>
        <w:tabs>
          <w:tab w:leader="none" w:pos="335"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the case of the NEO’s Long-Service Retirement, all of the NEO’s unvested RSUs will continue to vest pursuant to the original vesting schedule as provided in the grant notice. For purposes of the Award, “Long-Service Retirement” means an NEO’s voluntary termination of continuous service, unless circumstances exist at the time of such termination that would constitute cause, following (a) the NEO’s completion of 10 years of continuous service and (b) the NEO’s attainment of age 55.</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Treatment of 2023, 2024 and 2025 PSUs</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PSU award agreements applicable to the PSUs granted in 2023, 2024 and 2025 provide for vesting schedule adjustments or vesting acceleration benefits upon certain termination and CIC events. If a CIC occurs prior to the last day of the performance period and if the award is assumed or continued or substituted with a similar stock award in connection with such CIC, then the vesting schedule of the award will be revised in a manner as though the greater of (i) the number of target PSUs and (ii) the number of certified PSUs (as determined in accordance with the award agreement) had been subject solely to a vesting schedule pursuant to which the CIC PSUs would have vested on the last day of the performance period, subject to the NEO’s continuous service through such date. In the event an NEO’s service relationship with us or a successor entity is terminated due to an involuntary termination without cause (and other than due to death or disability) within 12 months following, or one month prior to, the effective date of a CIC (and in each case prior to the last day of the performance period), the CIC PSUs will become vested. If the NEO experiences an involuntary termination without cause or a constructive termination pursuant to the CIC Plan prior to the last day of the performance period, the CIC PSUs will become vested.</w:t>
      </w:r>
    </w:p>
    <w:p>
      <w:pPr>
        <w:spacing w:after="0" w:line="133"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addition, if the NEO’s continuous service terminates prior to the last day of the performance period due to death, then a number of PSUs will become vested in an amount equal to (i) the number of target PSUs, multiplied by (ii) a ratio, the numerator of which is the number of calendar days during the performance period that the NEO was in continuous service and the denominator of which is the total number of calendar days in the performance period, with the resulting number rounded up to the nearest whole PSU. If the NEO’s continuous service terminates prior to the last day of the performance period due to the NEO’s disability or retirement (as defined in the PSU award agreement), then effective as of the vesting date, a number of PSUs will become vested in an amount equal to (i) the number of certified PSUs determined in accordance with the award agreement, multiplied by (ii) a ratio, the numerator of which is the number of calendar days during the performance period that the NEO was in continuous service and the denominator of which is the total number of calendar days in the performance period, with the resulting number rounded up to the nearest whole PSU. With respect to the 2025 PSUs, the performance period for purposes of determining the prorated number of PSUs that will vest upon death, disability or retirement as described in this paragraph means the period commencing on (and including) January 1, 2025 and ending on (and including) December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186690</wp:posOffset>
            </wp:positionV>
            <wp:extent cx="1242695" cy="2057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89</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7" w:name="page98"/>
    <w:bookmarkEnd w:id="97"/>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Potential Payments upon Termination or Change in Control Table</w:t>
      </w:r>
    </w:p>
    <w:p>
      <w:pPr>
        <w:spacing w:after="0" w:line="18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following table estimates the potential severance payments and benefits under the CIC Plan and Severance Plan, as applicable, to which the NEOs would have been entitled in connection with specified termination events, calculated as if each NEO’s employment had terminated as of December 31, 2025, which was the last business day of 2025. Each of the NEOs in 2025 other than Ms. Gala and Mr. Cozadd, were eligible to receive certain severance benefits pursuant to the Severance Plan upon an involuntary termination without cause that occurred on or after April 23, 2025 and that did not occur upon or within 12 months following a CIC. In addition, the table sets forth the amounts to which the NEOs would have been entitled under the 2011 Plan, if, upon a corporate transaction or CIC transaction, our Board had exercised its discretion to accelerate the vesting and exercisability of stock options and the vesting of PSU awards and RSU awards, and such event had occurred on December 31, 2025. The table also reflects amounts relating to potential vesting acceleration of the 2023, 2024 and 2025 PSU awards and RSU awards, as described above.</w:t>
      </w:r>
    </w:p>
    <w:p>
      <w:pPr>
        <w:spacing w:after="0" w:line="13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There are no other agreements, arrangements or plans that entitle any NEOs to severance, perquisites or other benefits upon termination of employment or a CIC as of December 31, 2025. For purposes of the table below, we have assumed that none of the potential severance benefits payable under the CIC Plan or Severance Plan would be subject to the excise tax imposed by Section 4999 of the Code and therefore would not be reduced in accordance with the terms of the CIC Plan and Severance Plan, as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Potential Payments Upon Termination or Change in Control as of December 31,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 w:type="dxa"/>
            <w:vAlign w:val="bottom"/>
            <w:shd w:val="clear" w:color="auto" w:fill="001C71"/>
          </w:tcPr>
          <w:p>
            <w:pPr>
              <w:spacing w:after="0"/>
              <w:rPr>
                <w:sz w:val="19"/>
                <w:szCs w:val="19"/>
                <w:color w:val="auto"/>
              </w:rPr>
            </w:pPr>
          </w:p>
        </w:tc>
        <w:tc>
          <w:tcPr>
            <w:tcW w:w="960" w:type="dxa"/>
            <w:vAlign w:val="bottom"/>
            <w:shd w:val="clear" w:color="auto" w:fill="001C71"/>
          </w:tcPr>
          <w:p>
            <w:pPr>
              <w:spacing w:after="0"/>
              <w:rPr>
                <w:sz w:val="19"/>
                <w:szCs w:val="19"/>
                <w:color w:val="auto"/>
              </w:rPr>
            </w:pPr>
          </w:p>
        </w:tc>
        <w:tc>
          <w:tcPr>
            <w:tcW w:w="2920" w:type="dxa"/>
            <w:vAlign w:val="bottom"/>
            <w:shd w:val="clear" w:color="auto" w:fill="001C71"/>
          </w:tcPr>
          <w:p>
            <w:pPr>
              <w:spacing w:after="0"/>
              <w:rPr>
                <w:sz w:val="19"/>
                <w:szCs w:val="19"/>
                <w:color w:val="auto"/>
              </w:rPr>
            </w:pPr>
          </w:p>
        </w:tc>
        <w:tc>
          <w:tcPr>
            <w:tcW w:w="2080" w:type="dxa"/>
            <w:vAlign w:val="bottom"/>
            <w:shd w:val="clear" w:color="auto" w:fill="001C71"/>
          </w:tcPr>
          <w:p>
            <w:pPr>
              <w:jc w:val="right"/>
              <w:ind w:right="112"/>
              <w:spacing w:after="0"/>
              <w:rPr>
                <w:sz w:val="20"/>
                <w:szCs w:val="20"/>
                <w:color w:val="auto"/>
              </w:rPr>
            </w:pPr>
            <w:r>
              <w:rPr>
                <w:rFonts w:ascii="Arial" w:cs="Arial" w:eastAsia="Arial" w:hAnsi="Arial"/>
                <w:sz w:val="14"/>
                <w:szCs w:val="14"/>
                <w:b w:val="1"/>
                <w:bCs w:val="1"/>
                <w:color w:val="FFFFFF"/>
              </w:rPr>
              <w:t>Involuntary Termination</w:t>
            </w:r>
          </w:p>
        </w:tc>
        <w:tc>
          <w:tcPr>
            <w:tcW w:w="1160" w:type="dxa"/>
            <w:vAlign w:val="bottom"/>
            <w:shd w:val="clear" w:color="auto" w:fill="001C71"/>
          </w:tcPr>
          <w:p>
            <w:pPr>
              <w:spacing w:after="0"/>
              <w:rPr>
                <w:sz w:val="19"/>
                <w:szCs w:val="19"/>
                <w:color w:val="auto"/>
              </w:rPr>
            </w:pPr>
          </w:p>
        </w:tc>
        <w:tc>
          <w:tcPr>
            <w:tcW w:w="900" w:type="dxa"/>
            <w:vAlign w:val="bottom"/>
            <w:shd w:val="clear" w:color="auto" w:fill="001C71"/>
          </w:tcPr>
          <w:p>
            <w:pPr>
              <w:spacing w:after="0"/>
              <w:rPr>
                <w:sz w:val="19"/>
                <w:szCs w:val="19"/>
                <w:color w:val="auto"/>
              </w:rPr>
            </w:pPr>
          </w:p>
        </w:tc>
        <w:tc>
          <w:tcPr>
            <w:tcW w:w="1080" w:type="dxa"/>
            <w:vAlign w:val="bottom"/>
            <w:shd w:val="clear" w:color="auto" w:fill="001C71"/>
          </w:tcPr>
          <w:p>
            <w:pPr>
              <w:spacing w:after="0"/>
              <w:rPr>
                <w:sz w:val="19"/>
                <w:szCs w:val="19"/>
                <w:color w:val="auto"/>
              </w:rPr>
            </w:pPr>
          </w:p>
        </w:tc>
        <w:tc>
          <w:tcPr>
            <w:tcW w:w="920" w:type="dxa"/>
            <w:vAlign w:val="bottom"/>
            <w:shd w:val="clear" w:color="auto" w:fill="001C71"/>
          </w:tcPr>
          <w:p>
            <w:pPr>
              <w:spacing w:after="0"/>
              <w:rPr>
                <w:sz w:val="19"/>
                <w:szCs w:val="19"/>
                <w:color w:val="auto"/>
              </w:rPr>
            </w:pPr>
          </w:p>
        </w:tc>
        <w:tc>
          <w:tcPr>
            <w:tcW w:w="1140" w:type="dxa"/>
            <w:vAlign w:val="bottom"/>
            <w:shd w:val="clear" w:color="auto" w:fill="001C71"/>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001C71"/>
          </w:tcPr>
          <w:p>
            <w:pPr>
              <w:spacing w:after="0"/>
              <w:rPr>
                <w:sz w:val="14"/>
                <w:szCs w:val="14"/>
                <w:color w:val="auto"/>
              </w:rPr>
            </w:pPr>
          </w:p>
        </w:tc>
        <w:tc>
          <w:tcPr>
            <w:tcW w:w="960" w:type="dxa"/>
            <w:vAlign w:val="bottom"/>
            <w:shd w:val="clear" w:color="auto" w:fill="001C71"/>
          </w:tcPr>
          <w:p>
            <w:pPr>
              <w:spacing w:after="0"/>
              <w:rPr>
                <w:sz w:val="14"/>
                <w:szCs w:val="14"/>
                <w:color w:val="auto"/>
              </w:rPr>
            </w:pPr>
          </w:p>
        </w:tc>
        <w:tc>
          <w:tcPr>
            <w:tcW w:w="2920" w:type="dxa"/>
            <w:vAlign w:val="bottom"/>
            <w:shd w:val="clear" w:color="auto" w:fill="001C71"/>
          </w:tcPr>
          <w:p>
            <w:pPr>
              <w:spacing w:after="0"/>
              <w:rPr>
                <w:sz w:val="14"/>
                <w:szCs w:val="14"/>
                <w:color w:val="auto"/>
              </w:rPr>
            </w:pPr>
          </w:p>
        </w:tc>
        <w:tc>
          <w:tcPr>
            <w:tcW w:w="2080" w:type="dxa"/>
            <w:vAlign w:val="bottom"/>
            <w:shd w:val="clear" w:color="auto" w:fill="001C71"/>
          </w:tcPr>
          <w:p>
            <w:pPr>
              <w:jc w:val="right"/>
              <w:ind w:right="112"/>
              <w:spacing w:after="0"/>
              <w:rPr>
                <w:sz w:val="20"/>
                <w:szCs w:val="20"/>
                <w:color w:val="auto"/>
              </w:rPr>
            </w:pPr>
            <w:r>
              <w:rPr>
                <w:rFonts w:ascii="Arial" w:cs="Arial" w:eastAsia="Arial" w:hAnsi="Arial"/>
                <w:sz w:val="14"/>
                <w:szCs w:val="14"/>
                <w:b w:val="1"/>
                <w:bCs w:val="1"/>
                <w:color w:val="FFFFFF"/>
              </w:rPr>
              <w:t>Without Cause or</w:t>
            </w:r>
          </w:p>
        </w:tc>
        <w:tc>
          <w:tcPr>
            <w:tcW w:w="1160" w:type="dxa"/>
            <w:vAlign w:val="bottom"/>
            <w:shd w:val="clear" w:color="auto" w:fill="001C71"/>
          </w:tcPr>
          <w:p>
            <w:pPr>
              <w:jc w:val="right"/>
              <w:ind w:right="72"/>
              <w:spacing w:after="0"/>
              <w:rPr>
                <w:sz w:val="20"/>
                <w:szCs w:val="20"/>
                <w:color w:val="auto"/>
              </w:rPr>
            </w:pPr>
            <w:r>
              <w:rPr>
                <w:rFonts w:ascii="Arial" w:cs="Arial" w:eastAsia="Arial" w:hAnsi="Arial"/>
                <w:sz w:val="14"/>
                <w:szCs w:val="14"/>
                <w:b w:val="1"/>
                <w:bCs w:val="1"/>
                <w:color w:val="FFFFFF"/>
              </w:rPr>
              <w:t>Certain</w:t>
            </w:r>
          </w:p>
        </w:tc>
        <w:tc>
          <w:tcPr>
            <w:tcW w:w="900" w:type="dxa"/>
            <w:vAlign w:val="bottom"/>
            <w:shd w:val="clear" w:color="auto" w:fill="001C71"/>
          </w:tcPr>
          <w:p>
            <w:pPr>
              <w:spacing w:after="0"/>
              <w:rPr>
                <w:sz w:val="14"/>
                <w:szCs w:val="14"/>
                <w:color w:val="auto"/>
              </w:rPr>
            </w:pPr>
          </w:p>
        </w:tc>
        <w:tc>
          <w:tcPr>
            <w:tcW w:w="1080" w:type="dxa"/>
            <w:vAlign w:val="bottom"/>
            <w:shd w:val="clear" w:color="auto" w:fill="001C71"/>
          </w:tcPr>
          <w:p>
            <w:pPr>
              <w:spacing w:after="0"/>
              <w:rPr>
                <w:sz w:val="14"/>
                <w:szCs w:val="14"/>
                <w:color w:val="auto"/>
              </w:rPr>
            </w:pPr>
          </w:p>
        </w:tc>
        <w:tc>
          <w:tcPr>
            <w:tcW w:w="920" w:type="dxa"/>
            <w:vAlign w:val="bottom"/>
            <w:shd w:val="clear" w:color="auto" w:fill="001C71"/>
          </w:tcPr>
          <w:p>
            <w:pPr>
              <w:spacing w:after="0"/>
              <w:rPr>
                <w:sz w:val="14"/>
                <w:szCs w:val="14"/>
                <w:color w:val="auto"/>
              </w:rPr>
            </w:pPr>
          </w:p>
        </w:tc>
        <w:tc>
          <w:tcPr>
            <w:tcW w:w="1140" w:type="dxa"/>
            <w:vAlign w:val="bottom"/>
            <w:shd w:val="clear" w:color="auto" w:fill="001C71"/>
          </w:tcPr>
          <w:p>
            <w:pPr>
              <w:jc w:val="right"/>
              <w:ind w:right="52"/>
              <w:spacing w:after="0"/>
              <w:rPr>
                <w:sz w:val="20"/>
                <w:szCs w:val="20"/>
                <w:color w:val="auto"/>
              </w:rPr>
            </w:pPr>
            <w:r>
              <w:rPr>
                <w:rFonts w:ascii="Arial" w:cs="Arial" w:eastAsia="Arial" w:hAnsi="Arial"/>
                <w:sz w:val="14"/>
                <w:szCs w:val="14"/>
                <w:b w:val="1"/>
                <w:bCs w:val="1"/>
                <w:color w:val="FFFFFF"/>
              </w:rPr>
              <w:t>Involuntary</w:t>
            </w:r>
          </w:p>
        </w:tc>
        <w:tc>
          <w:tcPr>
            <w:tcW w:w="0" w:type="dxa"/>
            <w:vAlign w:val="bottom"/>
          </w:tcPr>
          <w:p>
            <w:pPr>
              <w:spacing w:after="0"/>
              <w:rPr>
                <w:sz w:val="1"/>
                <w:szCs w:val="1"/>
                <w:color w:val="auto"/>
              </w:rPr>
            </w:pPr>
          </w:p>
        </w:tc>
      </w:tr>
      <w:tr>
        <w:trPr>
          <w:trHeight w:val="162"/>
        </w:trPr>
        <w:tc>
          <w:tcPr>
            <w:tcW w:w="80" w:type="dxa"/>
            <w:vAlign w:val="bottom"/>
            <w:shd w:val="clear" w:color="auto" w:fill="001C71"/>
          </w:tcPr>
          <w:p>
            <w:pPr>
              <w:spacing w:after="0"/>
              <w:rPr>
                <w:sz w:val="14"/>
                <w:szCs w:val="14"/>
                <w:color w:val="auto"/>
              </w:rPr>
            </w:pPr>
          </w:p>
        </w:tc>
        <w:tc>
          <w:tcPr>
            <w:tcW w:w="960" w:type="dxa"/>
            <w:vAlign w:val="bottom"/>
            <w:shd w:val="clear" w:color="auto" w:fill="001C71"/>
          </w:tcPr>
          <w:p>
            <w:pPr>
              <w:spacing w:after="0"/>
              <w:rPr>
                <w:sz w:val="14"/>
                <w:szCs w:val="14"/>
                <w:color w:val="auto"/>
              </w:rPr>
            </w:pPr>
          </w:p>
        </w:tc>
        <w:tc>
          <w:tcPr>
            <w:tcW w:w="2920" w:type="dxa"/>
            <w:vAlign w:val="bottom"/>
            <w:shd w:val="clear" w:color="auto" w:fill="001C71"/>
          </w:tcPr>
          <w:p>
            <w:pPr>
              <w:spacing w:after="0"/>
              <w:rPr>
                <w:sz w:val="14"/>
                <w:szCs w:val="14"/>
                <w:color w:val="auto"/>
              </w:rPr>
            </w:pPr>
          </w:p>
        </w:tc>
        <w:tc>
          <w:tcPr>
            <w:tcW w:w="2080" w:type="dxa"/>
            <w:vAlign w:val="bottom"/>
            <w:shd w:val="clear" w:color="auto" w:fill="001C71"/>
          </w:tcPr>
          <w:p>
            <w:pPr>
              <w:jc w:val="right"/>
              <w:ind w:right="112"/>
              <w:spacing w:after="0"/>
              <w:rPr>
                <w:sz w:val="20"/>
                <w:szCs w:val="20"/>
                <w:color w:val="auto"/>
              </w:rPr>
            </w:pPr>
            <w:r>
              <w:rPr>
                <w:rFonts w:ascii="Arial" w:cs="Arial" w:eastAsia="Arial" w:hAnsi="Arial"/>
                <w:sz w:val="14"/>
                <w:szCs w:val="14"/>
                <w:b w:val="1"/>
                <w:bCs w:val="1"/>
                <w:color w:val="FFFFFF"/>
              </w:rPr>
              <w:t>Constructive Termination in</w:t>
            </w:r>
          </w:p>
        </w:tc>
        <w:tc>
          <w:tcPr>
            <w:tcW w:w="1160" w:type="dxa"/>
            <w:vAlign w:val="bottom"/>
            <w:shd w:val="clear" w:color="auto" w:fill="001C71"/>
          </w:tcPr>
          <w:p>
            <w:pPr>
              <w:jc w:val="right"/>
              <w:ind w:right="72"/>
              <w:spacing w:after="0"/>
              <w:rPr>
                <w:sz w:val="20"/>
                <w:szCs w:val="20"/>
                <w:color w:val="auto"/>
              </w:rPr>
            </w:pPr>
            <w:r>
              <w:rPr>
                <w:rFonts w:ascii="Arial" w:cs="Arial" w:eastAsia="Arial" w:hAnsi="Arial"/>
                <w:sz w:val="14"/>
                <w:szCs w:val="14"/>
                <w:b w:val="1"/>
                <w:bCs w:val="1"/>
                <w:color w:val="FFFFFF"/>
              </w:rPr>
              <w:t>Corporate</w:t>
            </w:r>
          </w:p>
        </w:tc>
        <w:tc>
          <w:tcPr>
            <w:tcW w:w="900" w:type="dxa"/>
            <w:vAlign w:val="bottom"/>
            <w:shd w:val="clear" w:color="auto" w:fill="001C71"/>
          </w:tcPr>
          <w:p>
            <w:pPr>
              <w:jc w:val="right"/>
              <w:spacing w:after="0"/>
              <w:rPr>
                <w:sz w:val="20"/>
                <w:szCs w:val="20"/>
                <w:color w:val="auto"/>
              </w:rPr>
            </w:pPr>
            <w:r>
              <w:rPr>
                <w:rFonts w:ascii="Arial" w:cs="Arial" w:eastAsia="Arial" w:hAnsi="Arial"/>
                <w:sz w:val="14"/>
                <w:szCs w:val="14"/>
                <w:b w:val="1"/>
                <w:bCs w:val="1"/>
                <w:color w:val="FFFFFF"/>
              </w:rPr>
              <w:t>Death</w:t>
            </w:r>
          </w:p>
        </w:tc>
        <w:tc>
          <w:tcPr>
            <w:tcW w:w="1080" w:type="dxa"/>
            <w:vAlign w:val="bottom"/>
            <w:shd w:val="clear" w:color="auto" w:fill="001C71"/>
          </w:tcPr>
          <w:p>
            <w:pPr>
              <w:jc w:val="right"/>
              <w:ind w:right="92"/>
              <w:spacing w:after="0"/>
              <w:rPr>
                <w:sz w:val="20"/>
                <w:szCs w:val="20"/>
                <w:color w:val="auto"/>
              </w:rPr>
            </w:pPr>
            <w:r>
              <w:rPr>
                <w:rFonts w:ascii="Arial" w:cs="Arial" w:eastAsia="Arial" w:hAnsi="Arial"/>
                <w:sz w:val="14"/>
                <w:szCs w:val="14"/>
                <w:b w:val="1"/>
                <w:bCs w:val="1"/>
                <w:color w:val="FFFFFF"/>
              </w:rPr>
              <w:t>Disability (No</w:t>
            </w:r>
          </w:p>
        </w:tc>
        <w:tc>
          <w:tcPr>
            <w:tcW w:w="920" w:type="dxa"/>
            <w:vAlign w:val="bottom"/>
            <w:shd w:val="clear" w:color="auto" w:fill="001C71"/>
          </w:tcPr>
          <w:p>
            <w:pPr>
              <w:jc w:val="right"/>
              <w:spacing w:after="0"/>
              <w:rPr>
                <w:sz w:val="20"/>
                <w:szCs w:val="20"/>
                <w:color w:val="auto"/>
              </w:rPr>
            </w:pPr>
            <w:r>
              <w:rPr>
                <w:rFonts w:ascii="Arial" w:cs="Arial" w:eastAsia="Arial" w:hAnsi="Arial"/>
                <w:sz w:val="14"/>
                <w:szCs w:val="14"/>
                <w:b w:val="1"/>
                <w:bCs w:val="1"/>
                <w:color w:val="FFFFFF"/>
              </w:rPr>
              <w:t>Retirement</w:t>
            </w:r>
          </w:p>
        </w:tc>
        <w:tc>
          <w:tcPr>
            <w:tcW w:w="1140" w:type="dxa"/>
            <w:vAlign w:val="bottom"/>
            <w:shd w:val="clear" w:color="auto" w:fill="001C71"/>
          </w:tcPr>
          <w:p>
            <w:pPr>
              <w:jc w:val="right"/>
              <w:ind w:right="52"/>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2"/>
        </w:trPr>
        <w:tc>
          <w:tcPr>
            <w:tcW w:w="80" w:type="dxa"/>
            <w:vAlign w:val="bottom"/>
            <w:shd w:val="clear" w:color="auto" w:fill="001C71"/>
          </w:tcPr>
          <w:p>
            <w:pPr>
              <w:spacing w:after="0"/>
              <w:rPr>
                <w:sz w:val="14"/>
                <w:szCs w:val="14"/>
                <w:color w:val="auto"/>
              </w:rPr>
            </w:pPr>
          </w:p>
        </w:tc>
        <w:tc>
          <w:tcPr>
            <w:tcW w:w="960" w:type="dxa"/>
            <w:vAlign w:val="bottom"/>
            <w:shd w:val="clear" w:color="auto" w:fill="001C71"/>
          </w:tcPr>
          <w:p>
            <w:pPr>
              <w:spacing w:after="0"/>
              <w:rPr>
                <w:sz w:val="14"/>
                <w:szCs w:val="14"/>
                <w:color w:val="auto"/>
              </w:rPr>
            </w:pPr>
          </w:p>
        </w:tc>
        <w:tc>
          <w:tcPr>
            <w:tcW w:w="2920" w:type="dxa"/>
            <w:vAlign w:val="bottom"/>
            <w:shd w:val="clear" w:color="auto" w:fill="001C71"/>
          </w:tcPr>
          <w:p>
            <w:pPr>
              <w:spacing w:after="0"/>
              <w:rPr>
                <w:sz w:val="14"/>
                <w:szCs w:val="14"/>
                <w:color w:val="auto"/>
              </w:rPr>
            </w:pPr>
          </w:p>
        </w:tc>
        <w:tc>
          <w:tcPr>
            <w:tcW w:w="2080" w:type="dxa"/>
            <w:vAlign w:val="bottom"/>
            <w:shd w:val="clear" w:color="auto" w:fill="001C71"/>
          </w:tcPr>
          <w:p>
            <w:pPr>
              <w:jc w:val="right"/>
              <w:ind w:right="112"/>
              <w:spacing w:after="0"/>
              <w:rPr>
                <w:sz w:val="20"/>
                <w:szCs w:val="20"/>
                <w:color w:val="auto"/>
              </w:rPr>
            </w:pPr>
            <w:r>
              <w:rPr>
                <w:rFonts w:ascii="Arial" w:cs="Arial" w:eastAsia="Arial" w:hAnsi="Arial"/>
                <w:sz w:val="14"/>
                <w:szCs w:val="14"/>
                <w:b w:val="1"/>
                <w:bCs w:val="1"/>
                <w:color w:val="FFFFFF"/>
              </w:rPr>
              <w:t>Connection with a CIC</w:t>
            </w:r>
          </w:p>
        </w:tc>
        <w:tc>
          <w:tcPr>
            <w:tcW w:w="1160" w:type="dxa"/>
            <w:vAlign w:val="bottom"/>
            <w:shd w:val="clear" w:color="auto" w:fill="001C71"/>
          </w:tcPr>
          <w:p>
            <w:pPr>
              <w:jc w:val="right"/>
              <w:ind w:right="72"/>
              <w:spacing w:after="0"/>
              <w:rPr>
                <w:sz w:val="20"/>
                <w:szCs w:val="20"/>
                <w:color w:val="auto"/>
              </w:rPr>
            </w:pPr>
            <w:r>
              <w:rPr>
                <w:rFonts w:ascii="Arial" w:cs="Arial" w:eastAsia="Arial" w:hAnsi="Arial"/>
                <w:sz w:val="14"/>
                <w:szCs w:val="14"/>
                <w:b w:val="1"/>
                <w:bCs w:val="1"/>
                <w:color w:val="FFFFFF"/>
              </w:rPr>
              <w:t>Transactions</w:t>
            </w:r>
          </w:p>
        </w:tc>
        <w:tc>
          <w:tcPr>
            <w:tcW w:w="900" w:type="dxa"/>
            <w:vAlign w:val="bottom"/>
            <w:shd w:val="clear" w:color="auto" w:fill="001C71"/>
          </w:tcPr>
          <w:p>
            <w:pPr>
              <w:jc w:val="right"/>
              <w:spacing w:after="0"/>
              <w:rPr>
                <w:sz w:val="20"/>
                <w:szCs w:val="20"/>
                <w:color w:val="auto"/>
              </w:rPr>
            </w:pPr>
            <w:r>
              <w:rPr>
                <w:rFonts w:ascii="Arial" w:cs="Arial" w:eastAsia="Arial" w:hAnsi="Arial"/>
                <w:sz w:val="14"/>
                <w:szCs w:val="14"/>
                <w:b w:val="1"/>
                <w:bCs w:val="1"/>
                <w:color w:val="FFFFFF"/>
              </w:rPr>
              <w:t>(No CIC)</w:t>
            </w:r>
          </w:p>
        </w:tc>
        <w:tc>
          <w:tcPr>
            <w:tcW w:w="1080" w:type="dxa"/>
            <w:vAlign w:val="bottom"/>
            <w:shd w:val="clear" w:color="auto" w:fill="001C71"/>
          </w:tcPr>
          <w:p>
            <w:pPr>
              <w:jc w:val="right"/>
              <w:ind w:right="92"/>
              <w:spacing w:after="0"/>
              <w:rPr>
                <w:sz w:val="20"/>
                <w:szCs w:val="20"/>
                <w:color w:val="auto"/>
              </w:rPr>
            </w:pPr>
            <w:r>
              <w:rPr>
                <w:rFonts w:ascii="Arial" w:cs="Arial" w:eastAsia="Arial" w:hAnsi="Arial"/>
                <w:sz w:val="14"/>
                <w:szCs w:val="14"/>
                <w:b w:val="1"/>
                <w:bCs w:val="1"/>
                <w:color w:val="FFFFFF"/>
              </w:rPr>
              <w:t>CIC)</w:t>
            </w:r>
          </w:p>
        </w:tc>
        <w:tc>
          <w:tcPr>
            <w:tcW w:w="920" w:type="dxa"/>
            <w:vAlign w:val="bottom"/>
            <w:shd w:val="clear" w:color="auto" w:fill="001C71"/>
          </w:tcPr>
          <w:p>
            <w:pPr>
              <w:jc w:val="right"/>
              <w:spacing w:after="0"/>
              <w:rPr>
                <w:sz w:val="20"/>
                <w:szCs w:val="20"/>
                <w:color w:val="auto"/>
              </w:rPr>
            </w:pPr>
            <w:r>
              <w:rPr>
                <w:rFonts w:ascii="Arial" w:cs="Arial" w:eastAsia="Arial" w:hAnsi="Arial"/>
                <w:sz w:val="14"/>
                <w:szCs w:val="14"/>
                <w:b w:val="1"/>
                <w:bCs w:val="1"/>
                <w:color w:val="FFFFFF"/>
              </w:rPr>
              <w:t>(No CIC)</w:t>
            </w:r>
          </w:p>
        </w:tc>
        <w:tc>
          <w:tcPr>
            <w:tcW w:w="1140" w:type="dxa"/>
            <w:vAlign w:val="bottom"/>
            <w:shd w:val="clear" w:color="auto" w:fill="001C71"/>
          </w:tcPr>
          <w:p>
            <w:pPr>
              <w:jc w:val="right"/>
              <w:ind w:right="52"/>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253"/>
        </w:trPr>
        <w:tc>
          <w:tcPr>
            <w:tcW w:w="80" w:type="dxa"/>
            <w:vAlign w:val="bottom"/>
            <w:tcBorders>
              <w:bottom w:val="single" w:sz="8" w:color="001C71"/>
            </w:tcBorders>
            <w:shd w:val="clear" w:color="auto" w:fill="001C71"/>
          </w:tcPr>
          <w:p>
            <w:pPr>
              <w:spacing w:after="0"/>
              <w:rPr>
                <w:sz w:val="21"/>
                <w:szCs w:val="21"/>
                <w:color w:val="auto"/>
              </w:rPr>
            </w:pPr>
          </w:p>
        </w:tc>
        <w:tc>
          <w:tcPr>
            <w:tcW w:w="960" w:type="dxa"/>
            <w:vAlign w:val="bottom"/>
            <w:tcBorders>
              <w:bottom w:val="single" w:sz="8" w:color="001C71"/>
            </w:tcBorders>
            <w:shd w:val="clear" w:color="auto" w:fill="001C71"/>
          </w:tcPr>
          <w:p>
            <w:pPr>
              <w:ind w:left="20"/>
              <w:spacing w:after="0"/>
              <w:rPr>
                <w:sz w:val="20"/>
                <w:szCs w:val="20"/>
                <w:color w:val="auto"/>
              </w:rPr>
            </w:pPr>
            <w:r>
              <w:rPr>
                <w:rFonts w:ascii="Arial" w:cs="Arial" w:eastAsia="Arial" w:hAnsi="Arial"/>
                <w:sz w:val="14"/>
                <w:szCs w:val="14"/>
                <w:b w:val="1"/>
                <w:bCs w:val="1"/>
                <w:color w:val="FFFFFF"/>
              </w:rPr>
              <w:t>Name</w:t>
            </w:r>
          </w:p>
        </w:tc>
        <w:tc>
          <w:tcPr>
            <w:tcW w:w="2920" w:type="dxa"/>
            <w:vAlign w:val="bottom"/>
            <w:tcBorders>
              <w:bottom w:val="single" w:sz="8" w:color="001C71"/>
            </w:tcBorders>
            <w:shd w:val="clear" w:color="auto" w:fill="001C71"/>
          </w:tcPr>
          <w:p>
            <w:pPr>
              <w:ind w:left="20"/>
              <w:spacing w:after="0"/>
              <w:rPr>
                <w:sz w:val="20"/>
                <w:szCs w:val="20"/>
                <w:color w:val="auto"/>
              </w:rPr>
            </w:pPr>
            <w:r>
              <w:rPr>
                <w:rFonts w:ascii="Arial" w:cs="Arial" w:eastAsia="Arial" w:hAnsi="Arial"/>
                <w:sz w:val="14"/>
                <w:szCs w:val="14"/>
                <w:b w:val="1"/>
                <w:bCs w:val="1"/>
                <w:color w:val="FFFFFF"/>
              </w:rPr>
              <w:t>Benefit</w:t>
            </w:r>
          </w:p>
        </w:tc>
        <w:tc>
          <w:tcPr>
            <w:tcW w:w="2080" w:type="dxa"/>
            <w:vAlign w:val="bottom"/>
            <w:tcBorders>
              <w:bottom w:val="single" w:sz="8" w:color="001C71"/>
            </w:tcBorders>
            <w:shd w:val="clear" w:color="auto" w:fill="001C71"/>
          </w:tcPr>
          <w:p>
            <w:pPr>
              <w:jc w:val="right"/>
              <w:ind w:right="112"/>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(1)</w:t>
            </w:r>
          </w:p>
        </w:tc>
        <w:tc>
          <w:tcPr>
            <w:tcW w:w="1160" w:type="dxa"/>
            <w:vAlign w:val="bottom"/>
            <w:tcBorders>
              <w:bottom w:val="single" w:sz="8" w:color="001C71"/>
            </w:tcBorders>
            <w:shd w:val="clear" w:color="auto" w:fill="001C71"/>
          </w:tcPr>
          <w:p>
            <w:pPr>
              <w:jc w:val="right"/>
              <w:ind w:right="72"/>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(2)</w:t>
            </w:r>
          </w:p>
        </w:tc>
        <w:tc>
          <w:tcPr>
            <w:tcW w:w="90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(3)</w:t>
            </w:r>
          </w:p>
        </w:tc>
        <w:tc>
          <w:tcPr>
            <w:tcW w:w="1080" w:type="dxa"/>
            <w:vAlign w:val="bottom"/>
            <w:tcBorders>
              <w:bottom w:val="single" w:sz="8" w:color="001C71"/>
            </w:tcBorders>
            <w:shd w:val="clear" w:color="auto" w:fill="001C71"/>
          </w:tcPr>
          <w:p>
            <w:pPr>
              <w:jc w:val="right"/>
              <w:ind w:right="92"/>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(4)</w:t>
            </w:r>
          </w:p>
        </w:tc>
        <w:tc>
          <w:tcPr>
            <w:tcW w:w="92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(5)</w:t>
            </w:r>
          </w:p>
        </w:tc>
        <w:tc>
          <w:tcPr>
            <w:tcW w:w="1140" w:type="dxa"/>
            <w:vAlign w:val="bottom"/>
            <w:tcBorders>
              <w:bottom w:val="single" w:sz="8" w:color="001C71"/>
            </w:tcBorders>
            <w:shd w:val="clear" w:color="auto" w:fill="001C71"/>
          </w:tcPr>
          <w:p>
            <w:pPr>
              <w:jc w:val="right"/>
              <w:ind w:right="52"/>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(6)</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Lump Sum Cash Severance Payment</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8,340,000</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3,780,000</w:t>
            </w: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920" w:type="dxa"/>
            <w:vAlign w:val="bottom"/>
            <w:tcBorders>
              <w:bottom w:val="single" w:sz="8" w:color="5673B8"/>
            </w:tcBorders>
          </w:tcPr>
          <w:p>
            <w:pPr>
              <w:spacing w:after="0"/>
              <w:rPr>
                <w:sz w:val="4"/>
                <w:szCs w:val="4"/>
                <w:color w:val="auto"/>
              </w:rPr>
            </w:pPr>
          </w:p>
        </w:tc>
        <w:tc>
          <w:tcPr>
            <w:tcW w:w="2080" w:type="dxa"/>
            <w:vAlign w:val="bottom"/>
            <w:tcBorders>
              <w:bottom w:val="single" w:sz="8" w:color="5673B8"/>
            </w:tcBorders>
          </w:tcPr>
          <w:p>
            <w:pPr>
              <w:spacing w:after="0"/>
              <w:rPr>
                <w:sz w:val="4"/>
                <w:szCs w:val="4"/>
                <w:color w:val="auto"/>
              </w:rPr>
            </w:pPr>
          </w:p>
        </w:tc>
        <w:tc>
          <w:tcPr>
            <w:tcW w:w="1160" w:type="dxa"/>
            <w:vAlign w:val="bottom"/>
            <w:tcBorders>
              <w:bottom w:val="single" w:sz="8" w:color="5673B8"/>
            </w:tcBorders>
          </w:tcPr>
          <w:p>
            <w:pPr>
              <w:spacing w:after="0"/>
              <w:rPr>
                <w:sz w:val="4"/>
                <w:szCs w:val="4"/>
                <w:color w:val="auto"/>
              </w:rPr>
            </w:pPr>
          </w:p>
        </w:tc>
        <w:tc>
          <w:tcPr>
            <w:tcW w:w="900" w:type="dxa"/>
            <w:vAlign w:val="bottom"/>
            <w:tcBorders>
              <w:bottom w:val="single" w:sz="8" w:color="5673B8"/>
            </w:tcBorders>
          </w:tcPr>
          <w:p>
            <w:pPr>
              <w:spacing w:after="0"/>
              <w:rPr>
                <w:sz w:val="4"/>
                <w:szCs w:val="4"/>
                <w:color w:val="auto"/>
              </w:rPr>
            </w:pPr>
          </w:p>
        </w:tc>
        <w:tc>
          <w:tcPr>
            <w:tcW w:w="1080" w:type="dxa"/>
            <w:vAlign w:val="bottom"/>
            <w:tcBorders>
              <w:bottom w:val="single" w:sz="8" w:color="5673B8"/>
            </w:tcBorders>
          </w:tcPr>
          <w:p>
            <w:pPr>
              <w:spacing w:after="0"/>
              <w:rPr>
                <w:sz w:val="4"/>
                <w:szCs w:val="4"/>
                <w:color w:val="auto"/>
              </w:rPr>
            </w:pPr>
          </w:p>
        </w:tc>
        <w:tc>
          <w:tcPr>
            <w:tcW w:w="920" w:type="dxa"/>
            <w:vAlign w:val="bottom"/>
            <w:tcBorders>
              <w:bottom w:val="single" w:sz="8" w:color="5673B8"/>
            </w:tcBorders>
          </w:tcPr>
          <w:p>
            <w:pPr>
              <w:spacing w:after="0"/>
              <w:rPr>
                <w:sz w:val="4"/>
                <w:szCs w:val="4"/>
                <w:color w:val="auto"/>
              </w:rPr>
            </w:pPr>
          </w:p>
        </w:tc>
        <w:tc>
          <w:tcPr>
            <w:tcW w:w="1140" w:type="dxa"/>
            <w:vAlign w:val="bottom"/>
            <w:tcBorders>
              <w:bottom w:val="single" w:sz="8" w:color="5673B8"/>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Renee D.</w:t>
            </w:r>
          </w:p>
        </w:tc>
        <w:tc>
          <w:tcPr>
            <w:tcW w:w="2920" w:type="dxa"/>
            <w:vAlign w:val="bottom"/>
          </w:tcPr>
          <w:p>
            <w:pPr>
              <w:ind w:left="20"/>
              <w:spacing w:after="0"/>
              <w:rPr>
                <w:sz w:val="20"/>
                <w:szCs w:val="20"/>
                <w:color w:val="auto"/>
              </w:rPr>
            </w:pPr>
            <w:r>
              <w:rPr>
                <w:rFonts w:ascii="Arial" w:cs="Arial" w:eastAsia="Arial" w:hAnsi="Arial"/>
                <w:sz w:val="14"/>
                <w:szCs w:val="14"/>
                <w:color w:val="auto"/>
              </w:rPr>
              <w:t>COBRA Payments</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100,264</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75,198</w:t>
            </w:r>
          </w:p>
        </w:tc>
        <w:tc>
          <w:tcPr>
            <w:tcW w:w="0" w:type="dxa"/>
            <w:vAlign w:val="bottom"/>
          </w:tcPr>
          <w:p>
            <w:pPr>
              <w:spacing w:after="0"/>
              <w:rPr>
                <w:sz w:val="1"/>
                <w:szCs w:val="1"/>
                <w:color w:val="auto"/>
              </w:rPr>
            </w:pPr>
          </w:p>
        </w:tc>
      </w:tr>
      <w:tr>
        <w:trPr>
          <w:trHeight w:val="44"/>
        </w:trPr>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960" w:type="dxa"/>
            <w:vAlign w:val="bottom"/>
          </w:tcPr>
          <w:p>
            <w:pPr>
              <w:ind w:left="20"/>
              <w:spacing w:after="0" w:line="158" w:lineRule="exact"/>
              <w:rPr>
                <w:sz w:val="20"/>
                <w:szCs w:val="20"/>
                <w:color w:val="auto"/>
              </w:rPr>
            </w:pPr>
            <w:r>
              <w:rPr>
                <w:rFonts w:ascii="Arial" w:cs="Arial" w:eastAsia="Arial" w:hAnsi="Arial"/>
                <w:sz w:val="14"/>
                <w:szCs w:val="14"/>
                <w:b w:val="1"/>
                <w:bCs w:val="1"/>
                <w:color w:val="852166"/>
              </w:rPr>
              <w:t>Gala</w:t>
            </w:r>
          </w:p>
        </w:tc>
        <w:tc>
          <w:tcPr>
            <w:tcW w:w="2920" w:type="dxa"/>
            <w:vAlign w:val="bottom"/>
            <w:tcBorders>
              <w:bottom w:val="single" w:sz="8" w:color="5673B8"/>
            </w:tcBorders>
          </w:tcPr>
          <w:p>
            <w:pPr>
              <w:ind w:left="20"/>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17"/>
                <w:szCs w:val="17"/>
                <w:color w:val="auto"/>
                <w:vertAlign w:val="superscript"/>
              </w:rPr>
              <w:t>(7)</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color w:val="auto"/>
              </w:rPr>
              <w:t>29,391,113</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color w:val="auto"/>
              </w:rPr>
              <w:t>29,391,113</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20,021,848</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color w:val="auto"/>
              </w:rPr>
              <w:t>13,280,570</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color w:val="auto"/>
              </w:rPr>
              <w:t>4,178,147</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4"/>
                <w:szCs w:val="14"/>
                <w:b w:val="1"/>
                <w:bCs w:val="1"/>
                <w:color w:val="001C71"/>
              </w:rPr>
              <w:t>Benefit Total</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b w:val="1"/>
                <w:bCs w:val="1"/>
                <w:color w:val="001C71"/>
              </w:rPr>
              <w:t>37,831,377</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b w:val="1"/>
                <w:bCs w:val="1"/>
                <w:color w:val="001C71"/>
              </w:rPr>
              <w:t>29,391,113</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20,021,848</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b w:val="1"/>
                <w:bCs w:val="1"/>
                <w:color w:val="001C71"/>
              </w:rPr>
              <w:t>13,280,570</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b w:val="1"/>
                <w:bCs w:val="1"/>
                <w:color w:val="001C71"/>
              </w:rPr>
              <w:t>8,033,345</w:t>
            </w:r>
          </w:p>
        </w:tc>
        <w:tc>
          <w:tcPr>
            <w:tcW w:w="0" w:type="dxa"/>
            <w:vAlign w:val="bottom"/>
          </w:tcPr>
          <w:p>
            <w:pPr>
              <w:spacing w:after="0"/>
              <w:rPr>
                <w:sz w:val="1"/>
                <w:szCs w:val="1"/>
                <w:color w:val="auto"/>
              </w:rPr>
            </w:pPr>
          </w:p>
        </w:tc>
      </w:tr>
      <w:tr>
        <w:trPr>
          <w:trHeight w:val="40"/>
        </w:trPr>
        <w:tc>
          <w:tcPr>
            <w:tcW w:w="80" w:type="dxa"/>
            <w:vAlign w:val="bottom"/>
            <w:tcBorders>
              <w:bottom w:val="single" w:sz="8" w:color="5673B8"/>
            </w:tcBorders>
          </w:tcPr>
          <w:p>
            <w:pPr>
              <w:spacing w:after="0"/>
              <w:rPr>
                <w:sz w:val="3"/>
                <w:szCs w:val="3"/>
                <w:color w:val="auto"/>
              </w:rPr>
            </w:pPr>
          </w:p>
        </w:tc>
        <w:tc>
          <w:tcPr>
            <w:tcW w:w="960" w:type="dxa"/>
            <w:vAlign w:val="bottom"/>
            <w:tcBorders>
              <w:bottom w:val="single" w:sz="8" w:color="5673B8"/>
            </w:tcBorders>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Lump Sum Cash Severance Payment</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2,950,000</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1,237,500</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Philip L.</w:t>
            </w:r>
          </w:p>
        </w:tc>
        <w:tc>
          <w:tcPr>
            <w:tcW w:w="2920" w:type="dxa"/>
            <w:vAlign w:val="bottom"/>
          </w:tcPr>
          <w:p>
            <w:pPr>
              <w:ind w:left="20"/>
              <w:spacing w:after="0"/>
              <w:rPr>
                <w:sz w:val="20"/>
                <w:szCs w:val="20"/>
                <w:color w:val="auto"/>
              </w:rPr>
            </w:pPr>
            <w:r>
              <w:rPr>
                <w:rFonts w:ascii="Arial" w:cs="Arial" w:eastAsia="Arial" w:hAnsi="Arial"/>
                <w:sz w:val="14"/>
                <w:szCs w:val="14"/>
                <w:color w:val="auto"/>
              </w:rPr>
              <w:t>COBRA Payments</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46,604</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31,069</w:t>
            </w:r>
          </w:p>
        </w:tc>
        <w:tc>
          <w:tcPr>
            <w:tcW w:w="0" w:type="dxa"/>
            <w:vAlign w:val="bottom"/>
          </w:tcPr>
          <w:p>
            <w:pPr>
              <w:spacing w:after="0"/>
              <w:rPr>
                <w:sz w:val="1"/>
                <w:szCs w:val="1"/>
                <w:color w:val="auto"/>
              </w:rPr>
            </w:pPr>
          </w:p>
        </w:tc>
      </w:tr>
      <w:tr>
        <w:trPr>
          <w:trHeight w:val="44"/>
        </w:trPr>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960" w:type="dxa"/>
            <w:vAlign w:val="bottom"/>
          </w:tcPr>
          <w:p>
            <w:pPr>
              <w:ind w:left="20"/>
              <w:spacing w:after="0" w:line="158" w:lineRule="exact"/>
              <w:rPr>
                <w:sz w:val="20"/>
                <w:szCs w:val="20"/>
                <w:color w:val="auto"/>
              </w:rPr>
            </w:pPr>
            <w:r>
              <w:rPr>
                <w:rFonts w:ascii="Arial" w:cs="Arial" w:eastAsia="Arial" w:hAnsi="Arial"/>
                <w:sz w:val="14"/>
                <w:szCs w:val="14"/>
                <w:b w:val="1"/>
                <w:bCs w:val="1"/>
                <w:color w:val="852166"/>
              </w:rPr>
              <w:t>Johnson</w:t>
            </w:r>
          </w:p>
        </w:tc>
        <w:tc>
          <w:tcPr>
            <w:tcW w:w="2920" w:type="dxa"/>
            <w:vAlign w:val="bottom"/>
            <w:tcBorders>
              <w:bottom w:val="single" w:sz="8" w:color="5673B8"/>
            </w:tcBorders>
          </w:tcPr>
          <w:p>
            <w:pPr>
              <w:ind w:left="20"/>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17"/>
                <w:szCs w:val="17"/>
                <w:color w:val="auto"/>
                <w:vertAlign w:val="superscript"/>
              </w:rPr>
              <w:t>(7)</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color w:val="auto"/>
              </w:rPr>
              <w:t>11,287,823</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color w:val="auto"/>
              </w:rPr>
              <w:t>11,287,823</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8,488,891</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color w:val="auto"/>
              </w:rPr>
              <w:t>5,960,200</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color w:val="auto"/>
              </w:rPr>
              <w:t>2,482,737</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4"/>
                <w:szCs w:val="14"/>
                <w:b w:val="1"/>
                <w:bCs w:val="1"/>
                <w:color w:val="001C71"/>
              </w:rPr>
              <w:t>Benefit Total</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b w:val="1"/>
                <w:bCs w:val="1"/>
                <w:color w:val="001C71"/>
              </w:rPr>
              <w:t>14,284,427</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b w:val="1"/>
                <w:bCs w:val="1"/>
                <w:color w:val="001C71"/>
              </w:rPr>
              <w:t>11,287,823</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8,488,891</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b w:val="1"/>
                <w:bCs w:val="1"/>
                <w:color w:val="001C71"/>
              </w:rPr>
              <w:t>5,960,200</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b w:val="1"/>
                <w:bCs w:val="1"/>
                <w:color w:val="001C71"/>
              </w:rPr>
              <w:t>3,751,306</w:t>
            </w:r>
          </w:p>
        </w:tc>
        <w:tc>
          <w:tcPr>
            <w:tcW w:w="0" w:type="dxa"/>
            <w:vAlign w:val="bottom"/>
          </w:tcPr>
          <w:p>
            <w:pPr>
              <w:spacing w:after="0"/>
              <w:rPr>
                <w:sz w:val="1"/>
                <w:szCs w:val="1"/>
                <w:color w:val="auto"/>
              </w:rPr>
            </w:pPr>
          </w:p>
        </w:tc>
      </w:tr>
      <w:tr>
        <w:trPr>
          <w:trHeight w:val="40"/>
        </w:trPr>
        <w:tc>
          <w:tcPr>
            <w:tcW w:w="80" w:type="dxa"/>
            <w:vAlign w:val="bottom"/>
            <w:tcBorders>
              <w:bottom w:val="single" w:sz="8" w:color="5673B8"/>
            </w:tcBorders>
          </w:tcPr>
          <w:p>
            <w:pPr>
              <w:spacing w:after="0"/>
              <w:rPr>
                <w:sz w:val="3"/>
                <w:szCs w:val="3"/>
                <w:color w:val="auto"/>
              </w:rPr>
            </w:pPr>
          </w:p>
        </w:tc>
        <w:tc>
          <w:tcPr>
            <w:tcW w:w="960" w:type="dxa"/>
            <w:vAlign w:val="bottom"/>
            <w:tcBorders>
              <w:bottom w:val="single" w:sz="8" w:color="5673B8"/>
            </w:tcBorders>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Lump Sum Cash Severance Payment</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Bruce C.</w:t>
            </w:r>
          </w:p>
        </w:tc>
        <w:tc>
          <w:tcPr>
            <w:tcW w:w="2920" w:type="dxa"/>
            <w:vAlign w:val="bottom"/>
          </w:tcPr>
          <w:p>
            <w:pPr>
              <w:ind w:left="20"/>
              <w:spacing w:after="0"/>
              <w:rPr>
                <w:sz w:val="20"/>
                <w:szCs w:val="20"/>
                <w:color w:val="auto"/>
              </w:rPr>
            </w:pPr>
            <w:r>
              <w:rPr>
                <w:rFonts w:ascii="Arial" w:cs="Arial" w:eastAsia="Arial" w:hAnsi="Arial"/>
                <w:sz w:val="14"/>
                <w:szCs w:val="14"/>
                <w:color w:val="auto"/>
              </w:rPr>
              <w:t>COBRA Payments</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29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80" w:type="dxa"/>
            <w:vAlign w:val="bottom"/>
          </w:tcPr>
          <w:p>
            <w:pPr>
              <w:spacing w:after="0" w:line="20" w:lineRule="exact"/>
              <w:rPr>
                <w:sz w:val="1"/>
                <w:szCs w:val="1"/>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Cozadd</w:t>
            </w:r>
            <w:r>
              <w:rPr>
                <w:rFonts w:ascii="Arial" w:cs="Arial" w:eastAsia="Arial" w:hAnsi="Arial"/>
                <w:sz w:val="17"/>
                <w:szCs w:val="17"/>
                <w:b w:val="1"/>
                <w:bCs w:val="1"/>
                <w:color w:val="852166"/>
                <w:vertAlign w:val="superscript"/>
              </w:rPr>
              <w:t>(8)</w:t>
            </w:r>
          </w:p>
        </w:tc>
        <w:tc>
          <w:tcPr>
            <w:tcW w:w="2920" w:type="dxa"/>
            <w:vAlign w:val="bottom"/>
            <w:tcBorders>
              <w:bottom w:val="single" w:sz="8" w:color="5673B8"/>
            </w:tcBorders>
          </w:tcPr>
          <w:p>
            <w:pPr>
              <w:spacing w:after="0" w:line="20" w:lineRule="exact"/>
              <w:rPr>
                <w:sz w:val="1"/>
                <w:szCs w:val="1"/>
                <w:color w:val="auto"/>
              </w:rPr>
            </w:pPr>
          </w:p>
        </w:tc>
        <w:tc>
          <w:tcPr>
            <w:tcW w:w="2080" w:type="dxa"/>
            <w:vAlign w:val="bottom"/>
            <w:tcBorders>
              <w:bottom w:val="single" w:sz="8" w:color="5673B8"/>
            </w:tcBorders>
          </w:tcPr>
          <w:p>
            <w:pPr>
              <w:spacing w:after="0" w:line="20" w:lineRule="exact"/>
              <w:rPr>
                <w:sz w:val="1"/>
                <w:szCs w:val="1"/>
                <w:color w:val="auto"/>
              </w:rPr>
            </w:pPr>
          </w:p>
        </w:tc>
        <w:tc>
          <w:tcPr>
            <w:tcW w:w="1160" w:type="dxa"/>
            <w:vAlign w:val="bottom"/>
            <w:tcBorders>
              <w:bottom w:val="single" w:sz="8" w:color="5673B8"/>
            </w:tcBorders>
          </w:tcPr>
          <w:p>
            <w:pPr>
              <w:spacing w:after="0" w:line="20" w:lineRule="exact"/>
              <w:rPr>
                <w:sz w:val="1"/>
                <w:szCs w:val="1"/>
                <w:color w:val="auto"/>
              </w:rPr>
            </w:pPr>
          </w:p>
        </w:tc>
        <w:tc>
          <w:tcPr>
            <w:tcW w:w="900" w:type="dxa"/>
            <w:vAlign w:val="bottom"/>
            <w:tcBorders>
              <w:bottom w:val="single" w:sz="8" w:color="5673B8"/>
            </w:tcBorders>
          </w:tcPr>
          <w:p>
            <w:pPr>
              <w:spacing w:after="0" w:line="20" w:lineRule="exact"/>
              <w:rPr>
                <w:sz w:val="1"/>
                <w:szCs w:val="1"/>
                <w:color w:val="auto"/>
              </w:rPr>
            </w:pPr>
          </w:p>
        </w:tc>
        <w:tc>
          <w:tcPr>
            <w:tcW w:w="1080" w:type="dxa"/>
            <w:vAlign w:val="bottom"/>
            <w:tcBorders>
              <w:bottom w:val="single" w:sz="8" w:color="5673B8"/>
            </w:tcBorders>
          </w:tcPr>
          <w:p>
            <w:pPr>
              <w:spacing w:after="0" w:line="20" w:lineRule="exact"/>
              <w:rPr>
                <w:sz w:val="1"/>
                <w:szCs w:val="1"/>
                <w:color w:val="auto"/>
              </w:rPr>
            </w:pPr>
          </w:p>
        </w:tc>
        <w:tc>
          <w:tcPr>
            <w:tcW w:w="920" w:type="dxa"/>
            <w:vAlign w:val="bottom"/>
            <w:tcBorders>
              <w:bottom w:val="single" w:sz="8" w:color="5673B8"/>
            </w:tcBorders>
          </w:tcPr>
          <w:p>
            <w:pPr>
              <w:spacing w:after="0" w:line="20" w:lineRule="exact"/>
              <w:rPr>
                <w:sz w:val="1"/>
                <w:szCs w:val="1"/>
                <w:color w:val="auto"/>
              </w:rPr>
            </w:pPr>
          </w:p>
        </w:tc>
        <w:tc>
          <w:tcPr>
            <w:tcW w:w="114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2920" w:type="dxa"/>
            <w:vAlign w:val="bottom"/>
            <w:tcBorders>
              <w:bottom w:val="single" w:sz="8" w:color="5673B8"/>
            </w:tcBorders>
          </w:tcPr>
          <w:p>
            <w:pPr>
              <w:ind w:left="20"/>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17"/>
                <w:szCs w:val="17"/>
                <w:color w:val="auto"/>
                <w:vertAlign w:val="superscript"/>
              </w:rPr>
              <w:t>(7)</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11,362,460</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4"/>
                <w:szCs w:val="14"/>
                <w:b w:val="1"/>
                <w:bCs w:val="1"/>
                <w:color w:val="001C71"/>
              </w:rPr>
              <w:t>Benefit Total</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b w:val="1"/>
                <w:bCs w:val="1"/>
                <w:color w:val="001C71"/>
              </w:rPr>
              <w:t>—</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b w:val="1"/>
                <w:bCs w:val="1"/>
                <w:color w:val="001C71"/>
              </w:rPr>
              <w:t>—</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b w:val="1"/>
                <w:bCs w:val="1"/>
                <w:color w:val="001C71"/>
              </w:rPr>
              <w:t>—</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11,362,460</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b w:val="1"/>
                <w:bCs w:val="1"/>
                <w:color w:val="001C71"/>
              </w:rPr>
              <w:t>—</w:t>
            </w:r>
          </w:p>
        </w:tc>
        <w:tc>
          <w:tcPr>
            <w:tcW w:w="0" w:type="dxa"/>
            <w:vAlign w:val="bottom"/>
          </w:tcPr>
          <w:p>
            <w:pPr>
              <w:spacing w:after="0"/>
              <w:rPr>
                <w:sz w:val="1"/>
                <w:szCs w:val="1"/>
                <w:color w:val="auto"/>
              </w:rPr>
            </w:pPr>
          </w:p>
        </w:tc>
      </w:tr>
      <w:tr>
        <w:trPr>
          <w:trHeight w:val="40"/>
        </w:trPr>
        <w:tc>
          <w:tcPr>
            <w:tcW w:w="80" w:type="dxa"/>
            <w:vAlign w:val="bottom"/>
            <w:tcBorders>
              <w:bottom w:val="single" w:sz="8" w:color="5673B8"/>
            </w:tcBorders>
          </w:tcPr>
          <w:p>
            <w:pPr>
              <w:spacing w:after="0"/>
              <w:rPr>
                <w:sz w:val="3"/>
                <w:szCs w:val="3"/>
                <w:color w:val="auto"/>
              </w:rPr>
            </w:pPr>
          </w:p>
        </w:tc>
        <w:tc>
          <w:tcPr>
            <w:tcW w:w="960" w:type="dxa"/>
            <w:vAlign w:val="bottom"/>
            <w:tcBorders>
              <w:bottom w:val="single" w:sz="8" w:color="5673B8"/>
            </w:tcBorders>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Lump Sum Cash Severance Payment</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3,300,000</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1,320,000</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4"/>
                <w:szCs w:val="14"/>
                <w:b w:val="1"/>
                <w:bCs w:val="1"/>
                <w:color w:val="852166"/>
              </w:rPr>
              <w:t>Rob Iannone,</w:t>
            </w:r>
          </w:p>
        </w:tc>
        <w:tc>
          <w:tcPr>
            <w:tcW w:w="2920" w:type="dxa"/>
            <w:vAlign w:val="bottom"/>
            <w:tcBorders>
              <w:bottom w:val="single" w:sz="8" w:color="5673B8"/>
            </w:tcBorders>
          </w:tcPr>
          <w:p>
            <w:pPr>
              <w:ind w:left="20"/>
              <w:spacing w:after="0"/>
              <w:rPr>
                <w:sz w:val="20"/>
                <w:szCs w:val="20"/>
                <w:color w:val="auto"/>
              </w:rPr>
            </w:pPr>
            <w:r>
              <w:rPr>
                <w:rFonts w:ascii="Arial" w:cs="Arial" w:eastAsia="Arial" w:hAnsi="Arial"/>
                <w:sz w:val="14"/>
                <w:szCs w:val="14"/>
                <w:color w:val="auto"/>
              </w:rPr>
              <w:t>COBRA Payments</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color w:val="auto"/>
              </w:rPr>
              <w:t>75,198</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color w:val="auto"/>
              </w:rPr>
              <w:t>50,132</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960" w:type="dxa"/>
            <w:vAlign w:val="bottom"/>
          </w:tcPr>
          <w:p>
            <w:pPr>
              <w:ind w:left="20"/>
              <w:spacing w:after="0" w:line="158" w:lineRule="exact"/>
              <w:rPr>
                <w:sz w:val="20"/>
                <w:szCs w:val="20"/>
                <w:color w:val="auto"/>
              </w:rPr>
            </w:pPr>
            <w:r>
              <w:rPr>
                <w:rFonts w:ascii="Arial" w:cs="Arial" w:eastAsia="Arial" w:hAnsi="Arial"/>
                <w:sz w:val="14"/>
                <w:szCs w:val="14"/>
                <w:b w:val="1"/>
                <w:bCs w:val="1"/>
                <w:color w:val="852166"/>
              </w:rPr>
              <w:t>M.D. M.S.C.E.</w:t>
            </w:r>
          </w:p>
        </w:tc>
        <w:tc>
          <w:tcPr>
            <w:tcW w:w="2920" w:type="dxa"/>
            <w:vAlign w:val="bottom"/>
            <w:tcBorders>
              <w:bottom w:val="single" w:sz="8" w:color="5673B8"/>
            </w:tcBorders>
          </w:tcPr>
          <w:p>
            <w:pPr>
              <w:ind w:left="20"/>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17"/>
                <w:szCs w:val="17"/>
                <w:color w:val="auto"/>
                <w:vertAlign w:val="superscript"/>
              </w:rPr>
              <w:t>(7)</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color w:val="auto"/>
              </w:rPr>
              <w:t>16,223,430</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color w:val="auto"/>
              </w:rPr>
              <w:t>16,223,430</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13,088,227</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color w:val="auto"/>
              </w:rPr>
              <w:t>8,217,630</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2,202,690</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color w:val="auto"/>
              </w:rPr>
              <w:t>3,650,297</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4"/>
                <w:szCs w:val="14"/>
                <w:b w:val="1"/>
                <w:bCs w:val="1"/>
                <w:color w:val="001C71"/>
              </w:rPr>
              <w:t>Benefit Total</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b w:val="1"/>
                <w:bCs w:val="1"/>
                <w:color w:val="001C71"/>
              </w:rPr>
              <w:t>19,598,628</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b w:val="1"/>
                <w:bCs w:val="1"/>
                <w:color w:val="001C71"/>
              </w:rPr>
              <w:t>16,223,430</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13,088,227</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b w:val="1"/>
                <w:bCs w:val="1"/>
                <w:color w:val="001C71"/>
              </w:rPr>
              <w:t>8,217,630</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2,202,690</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b w:val="1"/>
                <w:bCs w:val="1"/>
                <w:color w:val="001C71"/>
              </w:rPr>
              <w:t>5,020,429</w:t>
            </w:r>
          </w:p>
        </w:tc>
        <w:tc>
          <w:tcPr>
            <w:tcW w:w="0" w:type="dxa"/>
            <w:vAlign w:val="bottom"/>
          </w:tcPr>
          <w:p>
            <w:pPr>
              <w:spacing w:after="0"/>
              <w:rPr>
                <w:sz w:val="1"/>
                <w:szCs w:val="1"/>
                <w:color w:val="auto"/>
              </w:rPr>
            </w:pPr>
          </w:p>
        </w:tc>
      </w:tr>
      <w:tr>
        <w:trPr>
          <w:trHeight w:val="40"/>
        </w:trPr>
        <w:tc>
          <w:tcPr>
            <w:tcW w:w="80" w:type="dxa"/>
            <w:vAlign w:val="bottom"/>
            <w:tcBorders>
              <w:bottom w:val="single" w:sz="8" w:color="5673B8"/>
            </w:tcBorders>
          </w:tcPr>
          <w:p>
            <w:pPr>
              <w:spacing w:after="0"/>
              <w:rPr>
                <w:sz w:val="3"/>
                <w:szCs w:val="3"/>
                <w:color w:val="auto"/>
              </w:rPr>
            </w:pPr>
          </w:p>
        </w:tc>
        <w:tc>
          <w:tcPr>
            <w:tcW w:w="960" w:type="dxa"/>
            <w:vAlign w:val="bottom"/>
            <w:tcBorders>
              <w:bottom w:val="single" w:sz="8" w:color="5673B8"/>
            </w:tcBorders>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Lump Sum Cash Severance Payment</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2,887,500</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1,196,250</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Neena M.</w:t>
            </w:r>
          </w:p>
        </w:tc>
        <w:tc>
          <w:tcPr>
            <w:tcW w:w="2920" w:type="dxa"/>
            <w:vAlign w:val="bottom"/>
          </w:tcPr>
          <w:p>
            <w:pPr>
              <w:ind w:left="20"/>
              <w:spacing w:after="0"/>
              <w:rPr>
                <w:sz w:val="20"/>
                <w:szCs w:val="20"/>
                <w:color w:val="auto"/>
              </w:rPr>
            </w:pPr>
            <w:r>
              <w:rPr>
                <w:rFonts w:ascii="Arial" w:cs="Arial" w:eastAsia="Arial" w:hAnsi="Arial"/>
                <w:sz w:val="14"/>
                <w:szCs w:val="14"/>
                <w:color w:val="auto"/>
              </w:rPr>
              <w:t>COBRA Payments</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960" w:type="dxa"/>
            <w:vAlign w:val="bottom"/>
          </w:tcPr>
          <w:p>
            <w:pPr>
              <w:ind w:left="20"/>
              <w:spacing w:after="0" w:line="158" w:lineRule="exact"/>
              <w:rPr>
                <w:sz w:val="20"/>
                <w:szCs w:val="20"/>
                <w:color w:val="auto"/>
              </w:rPr>
            </w:pPr>
            <w:r>
              <w:rPr>
                <w:rFonts w:ascii="Arial" w:cs="Arial" w:eastAsia="Arial" w:hAnsi="Arial"/>
                <w:sz w:val="14"/>
                <w:szCs w:val="14"/>
                <w:b w:val="1"/>
                <w:bCs w:val="1"/>
                <w:color w:val="852166"/>
              </w:rPr>
              <w:t>Patil</w:t>
            </w:r>
          </w:p>
        </w:tc>
        <w:tc>
          <w:tcPr>
            <w:tcW w:w="2920" w:type="dxa"/>
            <w:vAlign w:val="bottom"/>
            <w:tcBorders>
              <w:bottom w:val="single" w:sz="8" w:color="5673B8"/>
            </w:tcBorders>
          </w:tcPr>
          <w:p>
            <w:pPr>
              <w:ind w:left="20"/>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17"/>
                <w:szCs w:val="17"/>
                <w:color w:val="auto"/>
                <w:vertAlign w:val="superscript"/>
              </w:rPr>
              <w:t>(7)</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color w:val="auto"/>
              </w:rPr>
              <w:t>11,691,233</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color w:val="auto"/>
              </w:rPr>
              <w:t>11,691,233</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9,452,901</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color w:val="auto"/>
              </w:rPr>
              <w:t>5,862,790</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color w:val="auto"/>
              </w:rPr>
              <w:t>2,702,150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4"/>
                <w:szCs w:val="14"/>
                <w:b w:val="1"/>
                <w:bCs w:val="1"/>
                <w:color w:val="001C71"/>
              </w:rPr>
              <w:t>Benefit Total</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b w:val="1"/>
                <w:bCs w:val="1"/>
                <w:color w:val="001C71"/>
              </w:rPr>
              <w:t>14,578,733</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b w:val="1"/>
                <w:bCs w:val="1"/>
                <w:color w:val="001C71"/>
              </w:rPr>
              <w:t>11,691,233</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9,452,901</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b w:val="1"/>
                <w:bCs w:val="1"/>
                <w:color w:val="001C71"/>
              </w:rPr>
              <w:t>5,862,790</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b w:val="1"/>
                <w:bCs w:val="1"/>
                <w:color w:val="001C71"/>
              </w:rPr>
              <w:t>—</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b w:val="1"/>
                <w:bCs w:val="1"/>
                <w:color w:val="001C71"/>
              </w:rPr>
              <w:t>3,898,400</w:t>
            </w:r>
          </w:p>
        </w:tc>
        <w:tc>
          <w:tcPr>
            <w:tcW w:w="0" w:type="dxa"/>
            <w:vAlign w:val="bottom"/>
          </w:tcPr>
          <w:p>
            <w:pPr>
              <w:spacing w:after="0"/>
              <w:rPr>
                <w:sz w:val="1"/>
                <w:szCs w:val="1"/>
                <w:color w:val="auto"/>
              </w:rPr>
            </w:pPr>
          </w:p>
        </w:tc>
      </w:tr>
      <w:tr>
        <w:trPr>
          <w:trHeight w:val="40"/>
        </w:trPr>
        <w:tc>
          <w:tcPr>
            <w:tcW w:w="80" w:type="dxa"/>
            <w:vAlign w:val="bottom"/>
            <w:tcBorders>
              <w:bottom w:val="single" w:sz="8" w:color="5673B8"/>
            </w:tcBorders>
          </w:tcPr>
          <w:p>
            <w:pPr>
              <w:spacing w:after="0"/>
              <w:rPr>
                <w:sz w:val="3"/>
                <w:szCs w:val="3"/>
                <w:color w:val="auto"/>
              </w:rPr>
            </w:pPr>
          </w:p>
        </w:tc>
        <w:tc>
          <w:tcPr>
            <w:tcW w:w="960" w:type="dxa"/>
            <w:vAlign w:val="bottom"/>
            <w:tcBorders>
              <w:bottom w:val="single" w:sz="8" w:color="5673B8"/>
            </w:tcBorders>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Lump Sum Cash Severance Payment</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2,775,000</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1,155,000</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852166"/>
              </w:rPr>
              <w:t>Samantha</w:t>
            </w:r>
          </w:p>
        </w:tc>
        <w:tc>
          <w:tcPr>
            <w:tcW w:w="2920" w:type="dxa"/>
            <w:vAlign w:val="bottom"/>
          </w:tcPr>
          <w:p>
            <w:pPr>
              <w:ind w:left="20"/>
              <w:spacing w:after="0"/>
              <w:rPr>
                <w:sz w:val="20"/>
                <w:szCs w:val="20"/>
                <w:color w:val="auto"/>
              </w:rPr>
            </w:pPr>
            <w:r>
              <w:rPr>
                <w:rFonts w:ascii="Arial" w:cs="Arial" w:eastAsia="Arial" w:hAnsi="Arial"/>
                <w:sz w:val="14"/>
                <w:szCs w:val="14"/>
                <w:color w:val="auto"/>
              </w:rPr>
              <w:t>COBRA Payments</w:t>
            </w:r>
          </w:p>
        </w:tc>
        <w:tc>
          <w:tcPr>
            <w:tcW w:w="2080" w:type="dxa"/>
            <w:vAlign w:val="bottom"/>
          </w:tcPr>
          <w:p>
            <w:pPr>
              <w:jc w:val="right"/>
              <w:ind w:right="112"/>
              <w:spacing w:after="0"/>
              <w:rPr>
                <w:sz w:val="20"/>
                <w:szCs w:val="20"/>
                <w:color w:val="auto"/>
              </w:rPr>
            </w:pPr>
            <w:r>
              <w:rPr>
                <w:rFonts w:ascii="Arial" w:cs="Arial" w:eastAsia="Arial" w:hAnsi="Arial"/>
                <w:sz w:val="14"/>
                <w:szCs w:val="14"/>
                <w:color w:val="auto"/>
              </w:rPr>
              <w:t>52,886</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35,257</w:t>
            </w:r>
          </w:p>
        </w:tc>
        <w:tc>
          <w:tcPr>
            <w:tcW w:w="0" w:type="dxa"/>
            <w:vAlign w:val="bottom"/>
          </w:tcPr>
          <w:p>
            <w:pPr>
              <w:spacing w:after="0"/>
              <w:rPr>
                <w:sz w:val="1"/>
                <w:szCs w:val="1"/>
                <w:color w:val="auto"/>
              </w:rPr>
            </w:pPr>
          </w:p>
        </w:tc>
      </w:tr>
      <w:tr>
        <w:trPr>
          <w:trHeight w:val="44"/>
        </w:trPr>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920" w:type="dxa"/>
            <w:vAlign w:val="bottom"/>
            <w:tcBorders>
              <w:bottom w:val="single" w:sz="8" w:color="5673B8"/>
            </w:tcBorders>
          </w:tcPr>
          <w:p>
            <w:pPr>
              <w:spacing w:after="0"/>
              <w:rPr>
                <w:sz w:val="3"/>
                <w:szCs w:val="3"/>
                <w:color w:val="auto"/>
              </w:rPr>
            </w:pPr>
          </w:p>
        </w:tc>
        <w:tc>
          <w:tcPr>
            <w:tcW w:w="2080" w:type="dxa"/>
            <w:vAlign w:val="bottom"/>
            <w:tcBorders>
              <w:bottom w:val="single" w:sz="8" w:color="5673B8"/>
            </w:tcBorders>
          </w:tcPr>
          <w:p>
            <w:pPr>
              <w:spacing w:after="0"/>
              <w:rPr>
                <w:sz w:val="3"/>
                <w:szCs w:val="3"/>
                <w:color w:val="auto"/>
              </w:rPr>
            </w:pPr>
          </w:p>
        </w:tc>
        <w:tc>
          <w:tcPr>
            <w:tcW w:w="1160" w:type="dxa"/>
            <w:vAlign w:val="bottom"/>
            <w:tcBorders>
              <w:bottom w:val="single" w:sz="8" w:color="5673B8"/>
            </w:tcBorders>
          </w:tcPr>
          <w:p>
            <w:pPr>
              <w:spacing w:after="0"/>
              <w:rPr>
                <w:sz w:val="3"/>
                <w:szCs w:val="3"/>
                <w:color w:val="auto"/>
              </w:rPr>
            </w:pPr>
          </w:p>
        </w:tc>
        <w:tc>
          <w:tcPr>
            <w:tcW w:w="900" w:type="dxa"/>
            <w:vAlign w:val="bottom"/>
            <w:tcBorders>
              <w:bottom w:val="single" w:sz="8" w:color="5673B8"/>
            </w:tcBorders>
          </w:tcPr>
          <w:p>
            <w:pPr>
              <w:spacing w:after="0"/>
              <w:rPr>
                <w:sz w:val="3"/>
                <w:szCs w:val="3"/>
                <w:color w:val="auto"/>
              </w:rPr>
            </w:pPr>
          </w:p>
        </w:tc>
        <w:tc>
          <w:tcPr>
            <w:tcW w:w="1080" w:type="dxa"/>
            <w:vAlign w:val="bottom"/>
            <w:tcBorders>
              <w:bottom w:val="single" w:sz="8" w:color="5673B8"/>
            </w:tcBorders>
          </w:tcPr>
          <w:p>
            <w:pPr>
              <w:spacing w:after="0"/>
              <w:rPr>
                <w:sz w:val="3"/>
                <w:szCs w:val="3"/>
                <w:color w:val="auto"/>
              </w:rPr>
            </w:pPr>
          </w:p>
        </w:tc>
        <w:tc>
          <w:tcPr>
            <w:tcW w:w="920" w:type="dxa"/>
            <w:vAlign w:val="bottom"/>
            <w:tcBorders>
              <w:bottom w:val="single" w:sz="8" w:color="5673B8"/>
            </w:tcBorders>
          </w:tcPr>
          <w:p>
            <w:pPr>
              <w:spacing w:after="0"/>
              <w:rPr>
                <w:sz w:val="3"/>
                <w:szCs w:val="3"/>
                <w:color w:val="auto"/>
              </w:rPr>
            </w:pPr>
          </w:p>
        </w:tc>
        <w:tc>
          <w:tcPr>
            <w:tcW w:w="1140" w:type="dxa"/>
            <w:vAlign w:val="bottom"/>
            <w:tcBorders>
              <w:bottom w:val="single" w:sz="8" w:color="5673B8"/>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960" w:type="dxa"/>
            <w:vAlign w:val="bottom"/>
          </w:tcPr>
          <w:p>
            <w:pPr>
              <w:ind w:left="20"/>
              <w:spacing w:after="0" w:line="158" w:lineRule="exact"/>
              <w:rPr>
                <w:sz w:val="20"/>
                <w:szCs w:val="20"/>
                <w:color w:val="auto"/>
              </w:rPr>
            </w:pPr>
            <w:r>
              <w:rPr>
                <w:rFonts w:ascii="Arial" w:cs="Arial" w:eastAsia="Arial" w:hAnsi="Arial"/>
                <w:sz w:val="14"/>
                <w:szCs w:val="14"/>
                <w:b w:val="1"/>
                <w:bCs w:val="1"/>
                <w:color w:val="852166"/>
              </w:rPr>
              <w:t>Pearce</w:t>
            </w:r>
          </w:p>
        </w:tc>
        <w:tc>
          <w:tcPr>
            <w:tcW w:w="2920" w:type="dxa"/>
            <w:vAlign w:val="bottom"/>
            <w:tcBorders>
              <w:bottom w:val="single" w:sz="8" w:color="5673B8"/>
            </w:tcBorders>
          </w:tcPr>
          <w:p>
            <w:pPr>
              <w:ind w:left="20"/>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17"/>
                <w:szCs w:val="17"/>
                <w:color w:val="auto"/>
                <w:vertAlign w:val="superscript"/>
              </w:rPr>
              <w:t>(7)</w:t>
            </w:r>
          </w:p>
        </w:tc>
        <w:tc>
          <w:tcPr>
            <w:tcW w:w="2080" w:type="dxa"/>
            <w:vAlign w:val="bottom"/>
            <w:tcBorders>
              <w:bottom w:val="single" w:sz="8" w:color="5673B8"/>
            </w:tcBorders>
          </w:tcPr>
          <w:p>
            <w:pPr>
              <w:jc w:val="right"/>
              <w:ind w:right="112"/>
              <w:spacing w:after="0"/>
              <w:rPr>
                <w:sz w:val="20"/>
                <w:szCs w:val="20"/>
                <w:color w:val="auto"/>
              </w:rPr>
            </w:pPr>
            <w:r>
              <w:rPr>
                <w:rFonts w:ascii="Arial" w:cs="Arial" w:eastAsia="Arial" w:hAnsi="Arial"/>
                <w:sz w:val="14"/>
                <w:szCs w:val="14"/>
                <w:color w:val="auto"/>
              </w:rPr>
              <w:t>9,779,924</w:t>
            </w:r>
          </w:p>
        </w:tc>
        <w:tc>
          <w:tcPr>
            <w:tcW w:w="1160" w:type="dxa"/>
            <w:vAlign w:val="bottom"/>
            <w:tcBorders>
              <w:bottom w:val="single" w:sz="8" w:color="5673B8"/>
            </w:tcBorders>
          </w:tcPr>
          <w:p>
            <w:pPr>
              <w:jc w:val="right"/>
              <w:ind w:right="72"/>
              <w:spacing w:after="0"/>
              <w:rPr>
                <w:sz w:val="20"/>
                <w:szCs w:val="20"/>
                <w:color w:val="auto"/>
              </w:rPr>
            </w:pPr>
            <w:r>
              <w:rPr>
                <w:rFonts w:ascii="Arial" w:cs="Arial" w:eastAsia="Arial" w:hAnsi="Arial"/>
                <w:sz w:val="14"/>
                <w:szCs w:val="14"/>
                <w:color w:val="auto"/>
              </w:rPr>
              <w:t>9,779,924</w:t>
            </w:r>
          </w:p>
        </w:tc>
        <w:tc>
          <w:tcPr>
            <w:tcW w:w="90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7,554,532</w:t>
            </w:r>
          </w:p>
        </w:tc>
        <w:tc>
          <w:tcPr>
            <w:tcW w:w="1080" w:type="dxa"/>
            <w:vAlign w:val="bottom"/>
            <w:tcBorders>
              <w:bottom w:val="single" w:sz="8" w:color="5673B8"/>
            </w:tcBorders>
          </w:tcPr>
          <w:p>
            <w:pPr>
              <w:jc w:val="right"/>
              <w:ind w:right="92"/>
              <w:spacing w:after="0"/>
              <w:rPr>
                <w:sz w:val="20"/>
                <w:szCs w:val="20"/>
                <w:color w:val="auto"/>
              </w:rPr>
            </w:pPr>
            <w:r>
              <w:rPr>
                <w:rFonts w:ascii="Arial" w:cs="Arial" w:eastAsia="Arial" w:hAnsi="Arial"/>
                <w:sz w:val="14"/>
                <w:szCs w:val="14"/>
                <w:color w:val="auto"/>
              </w:rPr>
              <w:t>5,041,690</w:t>
            </w:r>
          </w:p>
        </w:tc>
        <w:tc>
          <w:tcPr>
            <w:tcW w:w="920" w:type="dxa"/>
            <w:vAlign w:val="bottom"/>
            <w:tcBorders>
              <w:bottom w:val="single" w:sz="8" w:color="5673B8"/>
            </w:tcBorders>
          </w:tcPr>
          <w:p>
            <w:pPr>
              <w:jc w:val="right"/>
              <w:spacing w:after="0"/>
              <w:rPr>
                <w:sz w:val="20"/>
                <w:szCs w:val="20"/>
                <w:color w:val="auto"/>
              </w:rPr>
            </w:pPr>
            <w:r>
              <w:rPr>
                <w:rFonts w:ascii="Arial" w:cs="Arial" w:eastAsia="Arial" w:hAnsi="Arial"/>
                <w:sz w:val="14"/>
                <w:szCs w:val="14"/>
                <w:color w:val="auto"/>
              </w:rPr>
              <w:t>1,000,110</w:t>
            </w:r>
          </w:p>
        </w:tc>
        <w:tc>
          <w:tcPr>
            <w:tcW w:w="1140" w:type="dxa"/>
            <w:vAlign w:val="bottom"/>
            <w:tcBorders>
              <w:bottom w:val="single" w:sz="8" w:color="5673B8"/>
            </w:tcBorders>
          </w:tcPr>
          <w:p>
            <w:pPr>
              <w:jc w:val="right"/>
              <w:ind w:right="52"/>
              <w:spacing w:after="0"/>
              <w:rPr>
                <w:sz w:val="20"/>
                <w:szCs w:val="20"/>
                <w:color w:val="auto"/>
              </w:rPr>
            </w:pPr>
            <w:r>
              <w:rPr>
                <w:rFonts w:ascii="Arial" w:cs="Arial" w:eastAsia="Arial" w:hAnsi="Arial"/>
                <w:sz w:val="14"/>
                <w:szCs w:val="14"/>
                <w:color w:val="auto"/>
              </w:rPr>
              <w:t>1,414,003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4"/>
                <w:szCs w:val="14"/>
                <w:b w:val="1"/>
                <w:bCs w:val="1"/>
                <w:color w:val="001C71"/>
              </w:rPr>
              <w:t>Benefit Total</w:t>
            </w:r>
          </w:p>
        </w:tc>
        <w:tc>
          <w:tcPr>
            <w:tcW w:w="2080" w:type="dxa"/>
            <w:vAlign w:val="bottom"/>
            <w:tcBorders>
              <w:bottom w:val="single" w:sz="8" w:color="852166"/>
            </w:tcBorders>
          </w:tcPr>
          <w:p>
            <w:pPr>
              <w:jc w:val="right"/>
              <w:ind w:right="112"/>
              <w:spacing w:after="0"/>
              <w:rPr>
                <w:sz w:val="20"/>
                <w:szCs w:val="20"/>
                <w:color w:val="auto"/>
              </w:rPr>
            </w:pPr>
            <w:r>
              <w:rPr>
                <w:rFonts w:ascii="Arial" w:cs="Arial" w:eastAsia="Arial" w:hAnsi="Arial"/>
                <w:sz w:val="14"/>
                <w:szCs w:val="14"/>
                <w:b w:val="1"/>
                <w:bCs w:val="1"/>
                <w:color w:val="001C71"/>
              </w:rPr>
              <w:t>12,607,810</w:t>
            </w:r>
          </w:p>
        </w:tc>
        <w:tc>
          <w:tcPr>
            <w:tcW w:w="1160" w:type="dxa"/>
            <w:vAlign w:val="bottom"/>
            <w:tcBorders>
              <w:bottom w:val="single" w:sz="8" w:color="852166"/>
            </w:tcBorders>
          </w:tcPr>
          <w:p>
            <w:pPr>
              <w:jc w:val="right"/>
              <w:ind w:right="72"/>
              <w:spacing w:after="0"/>
              <w:rPr>
                <w:sz w:val="20"/>
                <w:szCs w:val="20"/>
                <w:color w:val="auto"/>
              </w:rPr>
            </w:pPr>
            <w:r>
              <w:rPr>
                <w:rFonts w:ascii="Arial" w:cs="Arial" w:eastAsia="Arial" w:hAnsi="Arial"/>
                <w:sz w:val="14"/>
                <w:szCs w:val="14"/>
                <w:b w:val="1"/>
                <w:bCs w:val="1"/>
                <w:color w:val="001C71"/>
              </w:rPr>
              <w:t>9,779,924</w:t>
            </w:r>
          </w:p>
        </w:tc>
        <w:tc>
          <w:tcPr>
            <w:tcW w:w="900" w:type="dxa"/>
            <w:vAlign w:val="bottom"/>
            <w:tcBorders>
              <w:bottom w:val="single" w:sz="8" w:color="852166"/>
            </w:tcBorders>
          </w:tcPr>
          <w:p>
            <w:pPr>
              <w:jc w:val="right"/>
              <w:spacing w:after="0"/>
              <w:rPr>
                <w:sz w:val="20"/>
                <w:szCs w:val="20"/>
                <w:color w:val="auto"/>
              </w:rPr>
            </w:pPr>
            <w:r>
              <w:rPr>
                <w:rFonts w:ascii="Arial" w:cs="Arial" w:eastAsia="Arial" w:hAnsi="Arial"/>
                <w:sz w:val="14"/>
                <w:szCs w:val="14"/>
                <w:b w:val="1"/>
                <w:bCs w:val="1"/>
                <w:color w:val="001C71"/>
              </w:rPr>
              <w:t>7,554,532</w:t>
            </w:r>
          </w:p>
        </w:tc>
        <w:tc>
          <w:tcPr>
            <w:tcW w:w="1080" w:type="dxa"/>
            <w:vAlign w:val="bottom"/>
            <w:tcBorders>
              <w:bottom w:val="single" w:sz="8" w:color="852166"/>
            </w:tcBorders>
          </w:tcPr>
          <w:p>
            <w:pPr>
              <w:jc w:val="right"/>
              <w:ind w:right="92"/>
              <w:spacing w:after="0"/>
              <w:rPr>
                <w:sz w:val="20"/>
                <w:szCs w:val="20"/>
                <w:color w:val="auto"/>
              </w:rPr>
            </w:pPr>
            <w:r>
              <w:rPr>
                <w:rFonts w:ascii="Arial" w:cs="Arial" w:eastAsia="Arial" w:hAnsi="Arial"/>
                <w:sz w:val="14"/>
                <w:szCs w:val="14"/>
                <w:b w:val="1"/>
                <w:bCs w:val="1"/>
                <w:color w:val="001C71"/>
              </w:rPr>
              <w:t>5,041,690</w:t>
            </w:r>
          </w:p>
        </w:tc>
        <w:tc>
          <w:tcPr>
            <w:tcW w:w="920" w:type="dxa"/>
            <w:vAlign w:val="bottom"/>
            <w:tcBorders>
              <w:bottom w:val="single" w:sz="8" w:color="852166"/>
            </w:tcBorders>
          </w:tcPr>
          <w:p>
            <w:pPr>
              <w:jc w:val="right"/>
              <w:spacing w:after="0"/>
              <w:rPr>
                <w:sz w:val="20"/>
                <w:szCs w:val="20"/>
                <w:color w:val="auto"/>
              </w:rPr>
            </w:pPr>
            <w:r>
              <w:rPr>
                <w:rFonts w:ascii="Arial" w:cs="Arial" w:eastAsia="Arial" w:hAnsi="Arial"/>
                <w:sz w:val="14"/>
                <w:szCs w:val="14"/>
                <w:b w:val="1"/>
                <w:bCs w:val="1"/>
                <w:color w:val="001C71"/>
              </w:rPr>
              <w:t>1,000,110</w:t>
            </w:r>
          </w:p>
        </w:tc>
        <w:tc>
          <w:tcPr>
            <w:tcW w:w="1140" w:type="dxa"/>
            <w:vAlign w:val="bottom"/>
            <w:tcBorders>
              <w:bottom w:val="single" w:sz="8" w:color="852166"/>
            </w:tcBorders>
          </w:tcPr>
          <w:p>
            <w:pPr>
              <w:jc w:val="right"/>
              <w:ind w:right="52"/>
              <w:spacing w:after="0"/>
              <w:rPr>
                <w:sz w:val="20"/>
                <w:szCs w:val="20"/>
                <w:color w:val="auto"/>
              </w:rPr>
            </w:pPr>
            <w:r>
              <w:rPr>
                <w:rFonts w:ascii="Arial" w:cs="Arial" w:eastAsia="Arial" w:hAnsi="Arial"/>
                <w:sz w:val="14"/>
                <w:szCs w:val="14"/>
                <w:b w:val="1"/>
                <w:bCs w:val="1"/>
                <w:color w:val="001C71"/>
              </w:rPr>
              <w:t>2,604,260</w:t>
            </w:r>
          </w:p>
        </w:tc>
        <w:tc>
          <w:tcPr>
            <w:tcW w:w="0" w:type="dxa"/>
            <w:vAlign w:val="bottom"/>
          </w:tcPr>
          <w:p>
            <w:pPr>
              <w:spacing w:after="0"/>
              <w:rPr>
                <w:sz w:val="1"/>
                <w:szCs w:val="1"/>
                <w:color w:val="auto"/>
              </w:rPr>
            </w:pPr>
          </w:p>
        </w:tc>
      </w:tr>
      <w:tr>
        <w:trPr>
          <w:trHeight w:val="21"/>
        </w:trPr>
        <w:tc>
          <w:tcPr>
            <w:tcW w:w="80" w:type="dxa"/>
            <w:vAlign w:val="bottom"/>
            <w:tcBorders>
              <w:bottom w:val="single" w:sz="8" w:color="852166"/>
            </w:tcBorders>
          </w:tcPr>
          <w:p>
            <w:pPr>
              <w:spacing w:after="0" w:line="20" w:lineRule="exact"/>
              <w:rPr>
                <w:sz w:val="1"/>
                <w:szCs w:val="1"/>
                <w:color w:val="auto"/>
              </w:rPr>
            </w:pPr>
          </w:p>
        </w:tc>
        <w:tc>
          <w:tcPr>
            <w:tcW w:w="960" w:type="dxa"/>
            <w:vAlign w:val="bottom"/>
            <w:tcBorders>
              <w:bottom w:val="single" w:sz="8" w:color="852166"/>
            </w:tcBorders>
          </w:tcPr>
          <w:p>
            <w:pPr>
              <w:spacing w:after="0" w:line="20" w:lineRule="exact"/>
              <w:rPr>
                <w:sz w:val="1"/>
                <w:szCs w:val="1"/>
                <w:color w:val="auto"/>
              </w:rPr>
            </w:pPr>
          </w:p>
        </w:tc>
        <w:tc>
          <w:tcPr>
            <w:tcW w:w="2920" w:type="dxa"/>
            <w:vAlign w:val="bottom"/>
            <w:tcBorders>
              <w:bottom w:val="single" w:sz="8" w:color="852166"/>
            </w:tcBorders>
          </w:tcPr>
          <w:p>
            <w:pPr>
              <w:spacing w:after="0" w:line="20" w:lineRule="exact"/>
              <w:rPr>
                <w:sz w:val="1"/>
                <w:szCs w:val="1"/>
                <w:color w:val="auto"/>
              </w:rPr>
            </w:pPr>
          </w:p>
        </w:tc>
        <w:tc>
          <w:tcPr>
            <w:tcW w:w="2080" w:type="dxa"/>
            <w:vAlign w:val="bottom"/>
            <w:tcBorders>
              <w:bottom w:val="single" w:sz="8" w:color="852166"/>
            </w:tcBorders>
          </w:tcPr>
          <w:p>
            <w:pPr>
              <w:spacing w:after="0" w:line="20" w:lineRule="exact"/>
              <w:rPr>
                <w:sz w:val="1"/>
                <w:szCs w:val="1"/>
                <w:color w:val="auto"/>
              </w:rPr>
            </w:pPr>
          </w:p>
        </w:tc>
        <w:tc>
          <w:tcPr>
            <w:tcW w:w="1160" w:type="dxa"/>
            <w:vAlign w:val="bottom"/>
            <w:tcBorders>
              <w:bottom w:val="single" w:sz="8" w:color="852166"/>
            </w:tcBorders>
          </w:tcPr>
          <w:p>
            <w:pPr>
              <w:spacing w:after="0" w:line="20" w:lineRule="exact"/>
              <w:rPr>
                <w:sz w:val="1"/>
                <w:szCs w:val="1"/>
                <w:color w:val="auto"/>
              </w:rPr>
            </w:pPr>
          </w:p>
        </w:tc>
        <w:tc>
          <w:tcPr>
            <w:tcW w:w="900" w:type="dxa"/>
            <w:vAlign w:val="bottom"/>
            <w:tcBorders>
              <w:bottom w:val="single" w:sz="8" w:color="852166"/>
            </w:tcBorders>
          </w:tcPr>
          <w:p>
            <w:pPr>
              <w:spacing w:after="0" w:line="20" w:lineRule="exact"/>
              <w:rPr>
                <w:sz w:val="1"/>
                <w:szCs w:val="1"/>
                <w:color w:val="auto"/>
              </w:rPr>
            </w:pPr>
          </w:p>
        </w:tc>
        <w:tc>
          <w:tcPr>
            <w:tcW w:w="1080" w:type="dxa"/>
            <w:vAlign w:val="bottom"/>
            <w:tcBorders>
              <w:bottom w:val="single" w:sz="8" w:color="852166"/>
            </w:tcBorders>
          </w:tcPr>
          <w:p>
            <w:pPr>
              <w:spacing w:after="0" w:line="20" w:lineRule="exact"/>
              <w:rPr>
                <w:sz w:val="1"/>
                <w:szCs w:val="1"/>
                <w:color w:val="auto"/>
              </w:rPr>
            </w:pPr>
          </w:p>
        </w:tc>
        <w:tc>
          <w:tcPr>
            <w:tcW w:w="920" w:type="dxa"/>
            <w:vAlign w:val="bottom"/>
            <w:tcBorders>
              <w:bottom w:val="single" w:sz="8" w:color="852166"/>
            </w:tcBorders>
          </w:tcPr>
          <w:p>
            <w:pPr>
              <w:spacing w:after="0" w:line="20" w:lineRule="exact"/>
              <w:rPr>
                <w:sz w:val="1"/>
                <w:szCs w:val="1"/>
                <w:color w:val="auto"/>
              </w:rPr>
            </w:pPr>
          </w:p>
        </w:tc>
        <w:tc>
          <w:tcPr>
            <w:tcW w:w="1140" w:type="dxa"/>
            <w:vAlign w:val="bottom"/>
            <w:tcBorders>
              <w:bottom w:val="single" w:sz="8" w:color="852166"/>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162560</wp:posOffset>
            </wp:positionV>
            <wp:extent cx="1242695" cy="2057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68"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90</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8" w:name="page99"/>
    <w:bookmarkEnd w:id="98"/>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right="100" w:hanging="332"/>
        <w:spacing w:after="0" w:line="267" w:lineRule="auto"/>
        <w:tabs>
          <w:tab w:leader="none" w:pos="327" w:val="left"/>
        </w:tabs>
        <w:numPr>
          <w:ilvl w:val="0"/>
          <w:numId w:val="90"/>
        </w:numPr>
        <w:rPr>
          <w:rFonts w:ascii="Arial" w:cs="Arial" w:eastAsia="Arial" w:hAnsi="Arial"/>
          <w:sz w:val="14"/>
          <w:szCs w:val="14"/>
          <w:color w:val="auto"/>
        </w:rPr>
      </w:pPr>
      <w:r>
        <w:rPr>
          <w:rFonts w:ascii="Arial" w:cs="Arial" w:eastAsia="Arial" w:hAnsi="Arial"/>
          <w:sz w:val="14"/>
          <w:szCs w:val="14"/>
          <w:color w:val="auto"/>
        </w:rPr>
        <w:t xml:space="preserve">These benefits would be payable under the CIC Plan if the involuntary termination without cause or constructive termination occurred upon or within 12 months following a CIC and assuming such termination took place on December 31, 2025. The forms of equity grant agreements under the 2011 Plan provide for the same vesting acceleration benefit as shown here under the CIC Plan (except as otherwise described above under the heading, </w:t>
      </w:r>
      <w:r>
        <w:rPr>
          <w:rFonts w:ascii="Arial" w:cs="Arial" w:eastAsia="Arial" w:hAnsi="Arial"/>
          <w:sz w:val="14"/>
          <w:szCs w:val="14"/>
          <w:i w:val="1"/>
          <w:iCs w:val="1"/>
          <w:color w:val="auto"/>
        </w:rPr>
        <w:t>“Potential Payments upon Termination or Change in</w:t>
      </w:r>
      <w:r>
        <w:rPr>
          <w:rFonts w:ascii="Arial" w:cs="Arial" w:eastAsia="Arial" w:hAnsi="Arial"/>
          <w:sz w:val="14"/>
          <w:szCs w:val="14"/>
          <w:color w:val="auto"/>
        </w:rPr>
        <w:t xml:space="preserve"> </w:t>
      </w:r>
      <w:r>
        <w:rPr>
          <w:rFonts w:ascii="Arial" w:cs="Arial" w:eastAsia="Arial" w:hAnsi="Arial"/>
          <w:sz w:val="14"/>
          <w:szCs w:val="14"/>
          <w:i w:val="1"/>
          <w:iCs w:val="1"/>
          <w:color w:val="auto"/>
        </w:rPr>
        <w:t>Control—Treatment of 2023, 2024 and 2025 PSUs”)</w:t>
      </w:r>
      <w:r>
        <w:rPr>
          <w:rFonts w:ascii="Arial" w:cs="Arial" w:eastAsia="Arial" w:hAnsi="Arial"/>
          <w:sz w:val="14"/>
          <w:szCs w:val="14"/>
          <w:color w:val="auto"/>
        </w:rPr>
        <w:t>, therefore no separate vesting acceleration benefit is listed. Pursuant to the CIC Plan, an involuntary termination</w:t>
      </w:r>
      <w:r>
        <w:rPr>
          <w:rFonts w:ascii="Arial" w:cs="Arial" w:eastAsia="Arial" w:hAnsi="Arial"/>
          <w:sz w:val="14"/>
          <w:szCs w:val="14"/>
          <w:i w:val="1"/>
          <w:iCs w:val="1"/>
          <w:color w:val="auto"/>
        </w:rPr>
        <w:t xml:space="preserve"> </w:t>
      </w:r>
      <w:r>
        <w:rPr>
          <w:rFonts w:ascii="Arial" w:cs="Arial" w:eastAsia="Arial" w:hAnsi="Arial"/>
          <w:sz w:val="14"/>
          <w:szCs w:val="14"/>
          <w:color w:val="auto"/>
        </w:rPr>
        <w:t>without cause also includes an individual’s death or disability.</w:t>
      </w:r>
    </w:p>
    <w:p>
      <w:pPr>
        <w:spacing w:after="0" w:line="49" w:lineRule="exact"/>
        <w:rPr>
          <w:rFonts w:ascii="Arial" w:cs="Arial" w:eastAsia="Arial" w:hAnsi="Arial"/>
          <w:sz w:val="14"/>
          <w:szCs w:val="14"/>
          <w:color w:val="auto"/>
        </w:rPr>
      </w:pPr>
    </w:p>
    <w:p>
      <w:pPr>
        <w:ind w:left="340" w:right="80" w:hanging="332"/>
        <w:spacing w:after="0" w:line="265" w:lineRule="auto"/>
        <w:tabs>
          <w:tab w:leader="none" w:pos="327"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These benefits would be payable under the 2011 Plan, if, upon a corporate transaction event, including a CIC, our Board exercised its discretion to accelerate the vesting and exercisability of outstanding equity grant agreements, assuming the vesting acceleration took place on December 31, 2025. For a description of the potential vesting acceleration provisions in the 2011 Plan, see “</w:t>
      </w:r>
      <w:r>
        <w:rPr>
          <w:rFonts w:ascii="Arial" w:cs="Arial" w:eastAsia="Arial" w:hAnsi="Arial"/>
          <w:sz w:val="14"/>
          <w:szCs w:val="14"/>
          <w:i w:val="1"/>
          <w:iCs w:val="1"/>
          <w:color w:val="auto"/>
        </w:rPr>
        <w:t>Description of Compensation Arrangements—Equity Compensation Arrangements”</w:t>
      </w:r>
      <w:r>
        <w:rPr>
          <w:rFonts w:ascii="Arial" w:cs="Arial" w:eastAsia="Arial" w:hAnsi="Arial"/>
          <w:sz w:val="14"/>
          <w:szCs w:val="14"/>
          <w:color w:val="auto"/>
        </w:rPr>
        <w:t xml:space="preserve"> above. As described above under “</w:t>
      </w:r>
      <w:r>
        <w:rPr>
          <w:rFonts w:ascii="Arial" w:cs="Arial" w:eastAsia="Arial" w:hAnsi="Arial"/>
          <w:sz w:val="14"/>
          <w:szCs w:val="14"/>
          <w:i w:val="1"/>
          <w:iCs w:val="1"/>
          <w:color w:val="auto"/>
        </w:rPr>
        <w:t>Potential Payments upon Termination or Change in Control—Treatment of 2023, 2024 and 2025 PSUs,</w:t>
      </w:r>
      <w:r>
        <w:rPr>
          <w:rFonts w:ascii="Arial" w:cs="Arial" w:eastAsia="Arial" w:hAnsi="Arial"/>
          <w:sz w:val="14"/>
          <w:szCs w:val="14"/>
          <w:color w:val="auto"/>
        </w:rPr>
        <w:t>” the terms of the 2023, 2024 and 2025 PSUs provide for a vesting schedule adjustment if a CIC occurs prior to the last day of the performance period and if the award is assumed or continued or substituted with a similar stock award in connection with such CIC. Since the value of this vesting schedule adjustment is based on future events, including with respect to PSU award certification, no separate quantification of this benefit is shown. However, the value of the 2023, 2024 and 2025 PSU full vesting acceleration is included in the table.</w:t>
      </w:r>
    </w:p>
    <w:p>
      <w:pPr>
        <w:spacing w:after="0" w:line="51" w:lineRule="exact"/>
        <w:rPr>
          <w:rFonts w:ascii="Arial" w:cs="Arial" w:eastAsia="Arial" w:hAnsi="Arial"/>
          <w:sz w:val="14"/>
          <w:szCs w:val="14"/>
          <w:color w:val="auto"/>
        </w:rPr>
      </w:pPr>
    </w:p>
    <w:p>
      <w:pPr>
        <w:ind w:left="340" w:right="20" w:hanging="332"/>
        <w:spacing w:after="0" w:line="285" w:lineRule="auto"/>
        <w:tabs>
          <w:tab w:leader="none" w:pos="327"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the value of the 2022, 2023, 2024 and 2025 RSU vesting acceleration and pro-rated portion of 2023, 2024 and 2025 PSU vesting benefit upon death. Since the value of the extended post-termination option exercise period in this termination scenario is not quantifiable, such value is not included in the table.</w:t>
      </w:r>
    </w:p>
    <w:p>
      <w:pPr>
        <w:spacing w:after="0" w:line="36" w:lineRule="exact"/>
        <w:rPr>
          <w:rFonts w:ascii="Arial" w:cs="Arial" w:eastAsia="Arial" w:hAnsi="Arial"/>
          <w:sz w:val="14"/>
          <w:szCs w:val="14"/>
          <w:color w:val="auto"/>
        </w:rPr>
      </w:pPr>
    </w:p>
    <w:p>
      <w:pPr>
        <w:ind w:left="340" w:right="280" w:hanging="332"/>
        <w:spacing w:after="0" w:line="276" w:lineRule="auto"/>
        <w:tabs>
          <w:tab w:leader="none" w:pos="327"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the value of 2022, 2023, 2024 and 2025 RSU vesting continuation upon a termination due to disability. The value of the 2023, 2024 and 2025 PSU vesting benefit upon a termination due to disability is not included because no PSUs were earned as of December 31, 2025; with respect to the 2023 PSUs, the performance period ended on December 31, 2025, so the awards were no longer subject to vesting benefits relating to termination due to disability. In addition, since the value of the extended post-termination option exercise period in this termination scenario is not quantifiable, such value is not included in the table.</w:t>
      </w:r>
    </w:p>
    <w:p>
      <w:pPr>
        <w:spacing w:after="0" w:line="28" w:lineRule="exact"/>
        <w:rPr>
          <w:rFonts w:ascii="Arial" w:cs="Arial" w:eastAsia="Arial" w:hAnsi="Arial"/>
          <w:sz w:val="14"/>
          <w:szCs w:val="14"/>
          <w:color w:val="auto"/>
        </w:rPr>
      </w:pPr>
    </w:p>
    <w:p>
      <w:pPr>
        <w:ind w:left="340" w:right="100" w:hanging="332"/>
        <w:spacing w:after="0" w:line="265" w:lineRule="auto"/>
        <w:tabs>
          <w:tab w:leader="none" w:pos="327"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the value of 2022, 2023 and 2024 RSU vesting continuation upon retirement. The value of 2025 RSU vesting continuation upon retirement is not included because the vesting continuation benefit in this termination scenario under the 2023, 2024 and 2025 RSUs does not arise until one year from the date of grant. The value of the 2023, 2024 and 2025 PSU vesting benefit upon retirement is not included because no PSUs were earned as of December 31, 2025; with respect to the 2023 PSUs, the performance period ended on December 31, 2025, so the awards were no longer subject to vesting benefits relating to retirement. In addition, since the value of the extended post-termination option exercise period in this termination scenario is not quantifiable, such value is not included in the table. Having satisfied the age and minimum years of continuous service requirements, Mr. Cozadd was eligible for Long-Service Retirement at the time of his retirement in September 2025 and Dr. Iannone and Ms. Pearce were eligible for Regular Retirement as of December 31, 2025.</w:t>
      </w:r>
    </w:p>
    <w:p>
      <w:pPr>
        <w:spacing w:after="0" w:line="51" w:lineRule="exact"/>
        <w:rPr>
          <w:rFonts w:ascii="Arial" w:cs="Arial" w:eastAsia="Arial" w:hAnsi="Arial"/>
          <w:sz w:val="14"/>
          <w:szCs w:val="14"/>
          <w:color w:val="auto"/>
        </w:rPr>
      </w:pPr>
    </w:p>
    <w:p>
      <w:pPr>
        <w:ind w:left="340" w:right="20" w:hanging="332"/>
        <w:spacing w:after="0" w:line="267" w:lineRule="auto"/>
        <w:tabs>
          <w:tab w:leader="none" w:pos="327"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These benefits are payable under the Severance Plan for all NEOs except Ms. Gala and Mr. Cozadd, if the involuntary termination does not occur upon or within 12 months of a CIC and assuming such termination took place on December 31, 2025. Pursuant to the Severance Plan, an involuntary termination without cause does not include an individual’s voluntary resignation for any reason or an individual’s death or disability. The benefits payable to Ms. Gala in connection with an involuntary termination are pursuant to the CEO Employment Agreement entered into on July 30, 2025. Under the agreement, an involuntary termination without cause does not include Ms. Gala’s voluntary resignation for any reason or her death or disability.</w:t>
      </w:r>
    </w:p>
    <w:p>
      <w:pPr>
        <w:spacing w:after="0" w:line="49" w:lineRule="exact"/>
        <w:rPr>
          <w:rFonts w:ascii="Arial" w:cs="Arial" w:eastAsia="Arial" w:hAnsi="Arial"/>
          <w:sz w:val="14"/>
          <w:szCs w:val="14"/>
          <w:color w:val="auto"/>
        </w:rPr>
      </w:pPr>
    </w:p>
    <w:p>
      <w:pPr>
        <w:ind w:left="340" w:right="60" w:hanging="332"/>
        <w:spacing w:after="0" w:line="305" w:lineRule="auto"/>
        <w:tabs>
          <w:tab w:leader="none" w:pos="327"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value of equity grants vesting acceleration or continuation, as applicable, is based on the closing price of $170.00 per ordinary share on December 31, 2025, minus, in the case of stock options, the exercise price of the unvested stock option shares subject to acceleration.</w:t>
      </w:r>
    </w:p>
    <w:p>
      <w:pPr>
        <w:spacing w:after="0" w:line="22" w:lineRule="exact"/>
        <w:rPr>
          <w:rFonts w:ascii="Arial" w:cs="Arial" w:eastAsia="Arial" w:hAnsi="Arial"/>
          <w:sz w:val="14"/>
          <w:szCs w:val="14"/>
          <w:color w:val="auto"/>
        </w:rPr>
      </w:pPr>
    </w:p>
    <w:p>
      <w:pPr>
        <w:ind w:left="320" w:hanging="312"/>
        <w:spacing w:after="0"/>
        <w:tabs>
          <w:tab w:leader="none" w:pos="3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This amount represents the value received by Mr. Cozadd in connection with his retirement in September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272415</wp:posOffset>
            </wp:positionV>
            <wp:extent cx="1242695" cy="2057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91</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9" w:name="page100"/>
    <w:bookmarkEnd w:id="99"/>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Pay Ratio Disclosure</w:t>
      </w:r>
    </w:p>
    <w:p>
      <w:pPr>
        <w:spacing w:after="0" w:line="198"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Under SEC rules, we are required to calculate and disclose the annual total compensation of our median employee, as well as the ratio of the annual total compensation of our median employee as compared to the annual total compensation of our CEO, or our CEO pay ratio. For 2025, to identify our median employee, we used the following methodology:</w:t>
      </w:r>
    </w:p>
    <w:p>
      <w:pPr>
        <w:spacing w:after="0" w:line="104" w:lineRule="exact"/>
        <w:rPr>
          <w:sz w:val="20"/>
          <w:szCs w:val="20"/>
          <w:color w:val="auto"/>
        </w:rPr>
      </w:pPr>
    </w:p>
    <w:p>
      <w:pPr>
        <w:ind w:left="320" w:hanging="231"/>
        <w:spacing w:after="0"/>
        <w:tabs>
          <w:tab w:leader="none" w:pos="320" w:val="left"/>
        </w:tabs>
        <w:numPr>
          <w:ilvl w:val="0"/>
          <w:numId w:val="91"/>
        </w:numPr>
        <w:rPr>
          <w:rFonts w:ascii="Arial" w:cs="Arial" w:eastAsia="Arial" w:hAnsi="Arial"/>
          <w:sz w:val="16"/>
          <w:szCs w:val="16"/>
          <w:b w:val="1"/>
          <w:bCs w:val="1"/>
          <w:color w:val="001C71"/>
        </w:rPr>
      </w:pPr>
      <w:r>
        <w:rPr>
          <w:rFonts w:ascii="Arial" w:cs="Arial" w:eastAsia="Arial" w:hAnsi="Arial"/>
          <w:sz w:val="16"/>
          <w:szCs w:val="16"/>
          <w:color w:val="auto"/>
        </w:rPr>
        <w:t>To determine our total population of employees, we included all full-time, part-time, regular and temporary employees as of October 1, 2025.</w:t>
      </w:r>
    </w:p>
    <w:p>
      <w:pPr>
        <w:spacing w:after="0" w:line="140" w:lineRule="exact"/>
        <w:rPr>
          <w:rFonts w:ascii="Arial" w:cs="Arial" w:eastAsia="Arial" w:hAnsi="Arial"/>
          <w:sz w:val="16"/>
          <w:szCs w:val="16"/>
          <w:b w:val="1"/>
          <w:bCs w:val="1"/>
          <w:color w:val="001C71"/>
        </w:rPr>
      </w:pPr>
    </w:p>
    <w:p>
      <w:pPr>
        <w:ind w:left="340" w:right="120" w:hanging="251"/>
        <w:spacing w:after="0" w:line="291" w:lineRule="auto"/>
        <w:tabs>
          <w:tab w:leader="none" w:pos="329" w:val="left"/>
        </w:tabs>
        <w:numPr>
          <w:ilvl w:val="0"/>
          <w:numId w:val="91"/>
        </w:numPr>
        <w:rPr>
          <w:rFonts w:ascii="Arial" w:cs="Arial" w:eastAsia="Arial" w:hAnsi="Arial"/>
          <w:sz w:val="16"/>
          <w:szCs w:val="16"/>
          <w:b w:val="1"/>
          <w:bCs w:val="1"/>
          <w:color w:val="001C71"/>
        </w:rPr>
      </w:pPr>
      <w:r>
        <w:rPr>
          <w:rFonts w:ascii="Arial" w:cs="Arial" w:eastAsia="Arial" w:hAnsi="Arial"/>
          <w:sz w:val="16"/>
          <w:szCs w:val="16"/>
          <w:color w:val="auto"/>
        </w:rPr>
        <w:t>To identify our median employee from our employee population, we calculated the annual target amount of each employee’s 2025 base salary (using a reasonable estimate of the hours worked and no overtime for hourly employees) and bonus or commission, as applicable, and added the estimated value of all equity awards granted during 2025. For purposes of base salaries, bonuses and commissions, we used an estimate based on the rates in effect on October 1, 2025. The value of equity awards was not included in the calculation of the median of the annual total compensation of our employees for 2025.</w:t>
      </w:r>
    </w:p>
    <w:p>
      <w:pPr>
        <w:spacing w:after="0" w:line="72" w:lineRule="exact"/>
        <w:rPr>
          <w:rFonts w:ascii="Arial" w:cs="Arial" w:eastAsia="Arial" w:hAnsi="Arial"/>
          <w:sz w:val="16"/>
          <w:szCs w:val="16"/>
          <w:b w:val="1"/>
          <w:bCs w:val="1"/>
          <w:color w:val="001C71"/>
        </w:rPr>
      </w:pPr>
    </w:p>
    <w:p>
      <w:pPr>
        <w:ind w:left="340" w:right="360" w:hanging="251"/>
        <w:spacing w:after="0" w:line="321" w:lineRule="auto"/>
        <w:tabs>
          <w:tab w:leader="none" w:pos="329" w:val="left"/>
        </w:tabs>
        <w:numPr>
          <w:ilvl w:val="0"/>
          <w:numId w:val="91"/>
        </w:numPr>
        <w:rPr>
          <w:rFonts w:ascii="Arial" w:cs="Arial" w:eastAsia="Arial" w:hAnsi="Arial"/>
          <w:sz w:val="16"/>
          <w:szCs w:val="16"/>
          <w:b w:val="1"/>
          <w:bCs w:val="1"/>
          <w:color w:val="001C71"/>
        </w:rPr>
      </w:pPr>
      <w:r>
        <w:rPr>
          <w:rFonts w:ascii="Arial" w:cs="Arial" w:eastAsia="Arial" w:hAnsi="Arial"/>
          <w:sz w:val="16"/>
          <w:szCs w:val="16"/>
          <w:color w:val="auto"/>
        </w:rPr>
        <w:t>In making this determination, we annualized the base salaries, bonuses and commissions of employees who were employed by us for less than the entire calendar year.</w:t>
      </w:r>
    </w:p>
    <w:p>
      <w:pPr>
        <w:spacing w:after="0" w:line="47" w:lineRule="exact"/>
        <w:rPr>
          <w:rFonts w:ascii="Arial" w:cs="Arial" w:eastAsia="Arial" w:hAnsi="Arial"/>
          <w:sz w:val="16"/>
          <w:szCs w:val="16"/>
          <w:b w:val="1"/>
          <w:bCs w:val="1"/>
          <w:color w:val="001C71"/>
        </w:rPr>
      </w:pPr>
    </w:p>
    <w:p>
      <w:pPr>
        <w:ind w:left="340" w:right="40" w:hanging="251"/>
        <w:spacing w:after="0" w:line="321" w:lineRule="auto"/>
        <w:tabs>
          <w:tab w:leader="none" w:pos="329" w:val="left"/>
        </w:tabs>
        <w:numPr>
          <w:ilvl w:val="0"/>
          <w:numId w:val="91"/>
        </w:numPr>
        <w:rPr>
          <w:rFonts w:ascii="Arial" w:cs="Arial" w:eastAsia="Arial" w:hAnsi="Arial"/>
          <w:sz w:val="16"/>
          <w:szCs w:val="16"/>
          <w:b w:val="1"/>
          <w:bCs w:val="1"/>
          <w:color w:val="001C71"/>
        </w:rPr>
      </w:pPr>
      <w:r>
        <w:rPr>
          <w:rFonts w:ascii="Arial" w:cs="Arial" w:eastAsia="Arial" w:hAnsi="Arial"/>
          <w:sz w:val="16"/>
          <w:szCs w:val="16"/>
          <w:color w:val="auto"/>
        </w:rPr>
        <w:t>Compensation paid in foreign currencies was converted to U.S. dollars based on the average daily exchange rates for the year-to-date period ending on October 1, 2025.</w:t>
      </w:r>
    </w:p>
    <w:p>
      <w:pPr>
        <w:spacing w:after="0" w:line="102"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Using this approach (excluding Ms. Gala for this purpose), we determined our median employee and then calculated the annual total compensation of this employee for 2025 in accordance with the requirements of the Summary Compensation Table.</w:t>
      </w:r>
    </w:p>
    <w:p>
      <w:pPr>
        <w:spacing w:after="0" w:line="10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 2025, the median of the annual total compensation of our employees (other than Ms. Gala) was $281,424. Due to the CEO transition in 2025, we calculated the annual total compensation of the CEO, Ms. Gala, by annualizing her effective annual salary as CEO but otherwise using the amount shown as her total 2025 compensation in the Summary Compensation Table, which resulted in a payment amount for this purpose of total compensation (using her effective annual salary as CEO), which was $19,348,329. Based on this information, the ratio of the annual total compensation of Ms. Gala to the median of the annual total compensation of all other employees was 69 to 1. This pay ratio is higher than our historical pay ratios as it reflects the total compensation package provided to Ms. Gala in connection with her CEO appointment, as described in detail in the section titled "Compensation Discussion and Analysis" above.</w:t>
      </w:r>
    </w:p>
    <w:p>
      <w:pPr>
        <w:spacing w:after="0" w:line="1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CEO pay ratio above represents our reasonable estimate calculated in a manner consistent with SEC rules and applicable guidance. SEC rules and guidance provide significant flexibility in how companies identify the median employee, and each company may use a different methodology and make different assumptions particular to that company. As a result, and as explained by the SEC when it adopted these rules, in considering the pay ratio disclosure, shareholders should keep in mind that the rule was not designed to facilitate comparisons of pay ratios among different companies, even companies within the same industry, but rather to allow shareholders to better understand and assess each company’s compensation practices and pay ratio disclosures.</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Neither our Compensation Committee nor our management used our CEO pay ratio measure in making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226695</wp:posOffset>
            </wp:positionV>
            <wp:extent cx="1242695" cy="2057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6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92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100" w:name="page101"/>
    <w:bookmarkEnd w:id="100"/>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Item 402(v) Pay versus Performance</w:t>
      </w:r>
    </w:p>
    <w:p>
      <w:pPr>
        <w:spacing w:after="0" w:line="198"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 xml:space="preserve">The disclosure included in this section is prescribed by SEC rules and does not necessarily align with how we or our Compensation Committee view the link between our performance and NEO pay. For additional information about our pay-for-performance philosophy and how we align executive compensation our Company performance, refer to the </w:t>
      </w:r>
      <w:r>
        <w:rPr>
          <w:rFonts w:ascii="Arial" w:cs="Arial" w:eastAsia="Arial" w:hAnsi="Arial"/>
          <w:sz w:val="16"/>
          <w:szCs w:val="16"/>
          <w:i w:val="1"/>
          <w:iCs w:val="1"/>
          <w:color w:val="auto"/>
        </w:rPr>
        <w:t>“Executive Compensation—Compensation Discussion and Analysis”</w:t>
      </w:r>
      <w:r>
        <w:rPr>
          <w:rFonts w:ascii="Arial" w:cs="Arial" w:eastAsia="Arial" w:hAnsi="Arial"/>
          <w:sz w:val="16"/>
          <w:szCs w:val="16"/>
          <w:color w:val="auto"/>
        </w:rPr>
        <w:t xml:space="preserve"> section above.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Required Tabular Disclosure of Pay Versus Performance</w:t>
      </w:r>
    </w:p>
    <w:p>
      <w:pPr>
        <w:spacing w:after="0" w:line="18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table below reflects information regarding the compensation of our NEOs for fiscal years 2025, 2024, 2023, 2022 and 2021, as well as our financial performance for each of these fiscal years in accordance with SEC rules. The amounts set forth below under the headings “</w:t>
      </w:r>
      <w:r>
        <w:rPr>
          <w:rFonts w:ascii="Arial" w:cs="Arial" w:eastAsia="Arial" w:hAnsi="Arial"/>
          <w:sz w:val="16"/>
          <w:szCs w:val="16"/>
          <w:i w:val="1"/>
          <w:iCs w:val="1"/>
          <w:color w:val="auto"/>
        </w:rPr>
        <w:t>Compensation Actually Paid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PEO”, “Compensation Actually Paid to former PEO” and </w:t>
      </w:r>
      <w:r>
        <w:rPr>
          <w:rFonts w:ascii="Arial" w:cs="Arial" w:eastAsia="Arial" w:hAnsi="Arial"/>
          <w:sz w:val="16"/>
          <w:szCs w:val="16"/>
          <w:color w:val="auto"/>
        </w:rPr>
        <w:t>“</w:t>
      </w:r>
      <w:r>
        <w:rPr>
          <w:rFonts w:ascii="Arial" w:cs="Arial" w:eastAsia="Arial" w:hAnsi="Arial"/>
          <w:sz w:val="16"/>
          <w:szCs w:val="16"/>
          <w:i w:val="1"/>
          <w:iCs w:val="1"/>
          <w:color w:val="auto"/>
        </w:rPr>
        <w:t>Average Compensation Actually Paid to Non-PEO NEOs</w:t>
      </w:r>
      <w:r>
        <w:rPr>
          <w:rFonts w:ascii="Arial" w:cs="Arial" w:eastAsia="Arial" w:hAnsi="Arial"/>
          <w:sz w:val="16"/>
          <w:szCs w:val="16"/>
          <w:color w:val="auto"/>
        </w:rPr>
        <w:t>” have been calculated in a manner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consistent with Item 402(v) of Regulation S-K. Use of the term “compensation actually paid” is required by the SEC’s rules and as a result of the calculation methodology required by the SEC, such amounts differ from compensation actually received by the individuals and the compensation decisions described in the </w:t>
      </w:r>
      <w:r>
        <w:rPr>
          <w:rFonts w:ascii="Arial" w:cs="Arial" w:eastAsia="Arial" w:hAnsi="Arial"/>
          <w:sz w:val="16"/>
          <w:szCs w:val="16"/>
          <w:i w:val="1"/>
          <w:iCs w:val="1"/>
          <w:color w:val="auto"/>
        </w:rPr>
        <w:t>“Executive Compensation—Compensation Discussion and Analysis”</w:t>
      </w:r>
      <w:r>
        <w:rPr>
          <w:rFonts w:ascii="Arial" w:cs="Arial" w:eastAsia="Arial" w:hAnsi="Arial"/>
          <w:sz w:val="16"/>
          <w:szCs w:val="16"/>
          <w:color w:val="auto"/>
        </w:rPr>
        <w:t xml:space="preserve"> section above.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00" w:type="dxa"/>
            <w:vAlign w:val="bottom"/>
            <w:shd w:val="clear" w:color="auto" w:fill="001C71"/>
          </w:tcPr>
          <w:p>
            <w:pPr>
              <w:spacing w:after="0"/>
              <w:rPr>
                <w:sz w:val="24"/>
                <w:szCs w:val="24"/>
                <w:color w:val="auto"/>
              </w:rPr>
            </w:pPr>
          </w:p>
        </w:tc>
        <w:tc>
          <w:tcPr>
            <w:tcW w:w="1060" w:type="dxa"/>
            <w:vAlign w:val="bottom"/>
            <w:shd w:val="clear" w:color="auto" w:fill="001C71"/>
          </w:tcPr>
          <w:p>
            <w:pPr>
              <w:spacing w:after="0"/>
              <w:rPr>
                <w:sz w:val="24"/>
                <w:szCs w:val="24"/>
                <w:color w:val="auto"/>
              </w:rPr>
            </w:pPr>
          </w:p>
        </w:tc>
        <w:tc>
          <w:tcPr>
            <w:tcW w:w="1200" w:type="dxa"/>
            <w:vAlign w:val="bottom"/>
            <w:shd w:val="clear" w:color="auto" w:fill="001C71"/>
          </w:tcPr>
          <w:p>
            <w:pPr>
              <w:spacing w:after="0"/>
              <w:rPr>
                <w:sz w:val="24"/>
                <w:szCs w:val="24"/>
                <w:color w:val="auto"/>
              </w:rPr>
            </w:pPr>
          </w:p>
        </w:tc>
        <w:tc>
          <w:tcPr>
            <w:tcW w:w="1040" w:type="dxa"/>
            <w:vAlign w:val="bottom"/>
            <w:shd w:val="clear" w:color="auto" w:fill="001C71"/>
          </w:tcPr>
          <w:p>
            <w:pPr>
              <w:spacing w:after="0"/>
              <w:rPr>
                <w:sz w:val="24"/>
                <w:szCs w:val="24"/>
                <w:color w:val="auto"/>
              </w:rPr>
            </w:pPr>
          </w:p>
        </w:tc>
        <w:tc>
          <w:tcPr>
            <w:tcW w:w="960" w:type="dxa"/>
            <w:vAlign w:val="bottom"/>
            <w:shd w:val="clear" w:color="auto" w:fill="001C71"/>
          </w:tcPr>
          <w:p>
            <w:pPr>
              <w:spacing w:after="0"/>
              <w:rPr>
                <w:sz w:val="24"/>
                <w:szCs w:val="24"/>
                <w:color w:val="auto"/>
              </w:rPr>
            </w:pPr>
          </w:p>
        </w:tc>
        <w:tc>
          <w:tcPr>
            <w:tcW w:w="1180" w:type="dxa"/>
            <w:vAlign w:val="bottom"/>
            <w:shd w:val="clear" w:color="auto" w:fill="001C71"/>
          </w:tcPr>
          <w:p>
            <w:pPr>
              <w:spacing w:after="0"/>
              <w:rPr>
                <w:sz w:val="24"/>
                <w:szCs w:val="24"/>
                <w:color w:val="auto"/>
              </w:rPr>
            </w:pPr>
          </w:p>
        </w:tc>
        <w:tc>
          <w:tcPr>
            <w:tcW w:w="940" w:type="dxa"/>
            <w:vAlign w:val="bottom"/>
            <w:shd w:val="clear" w:color="auto" w:fill="001C71"/>
          </w:tcPr>
          <w:p>
            <w:pPr>
              <w:spacing w:after="0"/>
              <w:rPr>
                <w:sz w:val="24"/>
                <w:szCs w:val="24"/>
                <w:color w:val="auto"/>
              </w:rPr>
            </w:pPr>
          </w:p>
        </w:tc>
        <w:tc>
          <w:tcPr>
            <w:tcW w:w="2100" w:type="dxa"/>
            <w:vAlign w:val="bottom"/>
            <w:gridSpan w:val="2"/>
            <w:shd w:val="clear" w:color="auto" w:fill="001C71"/>
          </w:tcPr>
          <w:p>
            <w:pPr>
              <w:jc w:val="right"/>
              <w:spacing w:after="0"/>
              <w:rPr>
                <w:sz w:val="20"/>
                <w:szCs w:val="20"/>
                <w:color w:val="auto"/>
              </w:rPr>
            </w:pPr>
            <w:r>
              <w:rPr>
                <w:rFonts w:ascii="Arial" w:cs="Arial" w:eastAsia="Arial" w:hAnsi="Arial"/>
                <w:sz w:val="11"/>
                <w:szCs w:val="11"/>
                <w:b w:val="1"/>
                <w:bCs w:val="1"/>
                <w:color w:val="FFFFFF"/>
              </w:rPr>
              <w:t>Value of Initial Fixed $100 Investment</w:t>
            </w:r>
          </w:p>
        </w:tc>
        <w:tc>
          <w:tcPr>
            <w:tcW w:w="1060" w:type="dxa"/>
            <w:vAlign w:val="bottom"/>
            <w:shd w:val="clear" w:color="auto" w:fill="001C71"/>
          </w:tcPr>
          <w:p>
            <w:pPr>
              <w:spacing w:after="0"/>
              <w:rPr>
                <w:sz w:val="24"/>
                <w:szCs w:val="24"/>
                <w:color w:val="auto"/>
              </w:rPr>
            </w:pPr>
          </w:p>
        </w:tc>
        <w:tc>
          <w:tcPr>
            <w:tcW w:w="1080" w:type="dxa"/>
            <w:vAlign w:val="bottom"/>
            <w:shd w:val="clear" w:color="auto" w:fill="001C71"/>
          </w:tcPr>
          <w:p>
            <w:pPr>
              <w:spacing w:after="0"/>
              <w:rPr>
                <w:sz w:val="24"/>
                <w:szCs w:val="24"/>
                <w:color w:val="auto"/>
              </w:rPr>
            </w:pPr>
          </w:p>
        </w:tc>
      </w:tr>
      <w:tr>
        <w:trPr>
          <w:trHeight w:val="135"/>
        </w:trPr>
        <w:tc>
          <w:tcPr>
            <w:tcW w:w="600" w:type="dxa"/>
            <w:vAlign w:val="bottom"/>
            <w:shd w:val="clear" w:color="auto" w:fill="001C71"/>
          </w:tcPr>
          <w:p>
            <w:pPr>
              <w:spacing w:after="0"/>
              <w:rPr>
                <w:sz w:val="11"/>
                <w:szCs w:val="11"/>
                <w:color w:val="auto"/>
              </w:rPr>
            </w:pPr>
          </w:p>
        </w:tc>
        <w:tc>
          <w:tcPr>
            <w:tcW w:w="1060" w:type="dxa"/>
            <w:vAlign w:val="bottom"/>
            <w:shd w:val="clear" w:color="auto" w:fill="001C71"/>
          </w:tcPr>
          <w:p>
            <w:pPr>
              <w:spacing w:after="0"/>
              <w:rPr>
                <w:sz w:val="11"/>
                <w:szCs w:val="11"/>
                <w:color w:val="auto"/>
              </w:rPr>
            </w:pPr>
          </w:p>
        </w:tc>
        <w:tc>
          <w:tcPr>
            <w:tcW w:w="1200" w:type="dxa"/>
            <w:vAlign w:val="bottom"/>
            <w:shd w:val="clear" w:color="auto" w:fill="001C71"/>
          </w:tcPr>
          <w:p>
            <w:pPr>
              <w:spacing w:after="0"/>
              <w:rPr>
                <w:sz w:val="11"/>
                <w:szCs w:val="11"/>
                <w:color w:val="auto"/>
              </w:rPr>
            </w:pPr>
          </w:p>
        </w:tc>
        <w:tc>
          <w:tcPr>
            <w:tcW w:w="1040" w:type="dxa"/>
            <w:vAlign w:val="bottom"/>
            <w:shd w:val="clear" w:color="auto" w:fill="001C71"/>
          </w:tcPr>
          <w:p>
            <w:pPr>
              <w:jc w:val="right"/>
              <w:ind w:right="57"/>
              <w:spacing w:after="0"/>
              <w:rPr>
                <w:sz w:val="20"/>
                <w:szCs w:val="20"/>
                <w:color w:val="auto"/>
              </w:rPr>
            </w:pPr>
            <w:r>
              <w:rPr>
                <w:rFonts w:ascii="Arial" w:cs="Arial" w:eastAsia="Arial" w:hAnsi="Arial"/>
                <w:sz w:val="11"/>
                <w:szCs w:val="11"/>
                <w:b w:val="1"/>
                <w:bCs w:val="1"/>
                <w:color w:val="FFFFFF"/>
              </w:rPr>
              <w:t>Summary</w:t>
            </w:r>
          </w:p>
        </w:tc>
        <w:tc>
          <w:tcPr>
            <w:tcW w:w="960" w:type="dxa"/>
            <w:vAlign w:val="bottom"/>
            <w:shd w:val="clear" w:color="auto" w:fill="001C71"/>
          </w:tcPr>
          <w:p>
            <w:pPr>
              <w:spacing w:after="0"/>
              <w:rPr>
                <w:sz w:val="11"/>
                <w:szCs w:val="11"/>
                <w:color w:val="auto"/>
              </w:rPr>
            </w:pPr>
          </w:p>
        </w:tc>
        <w:tc>
          <w:tcPr>
            <w:tcW w:w="1180" w:type="dxa"/>
            <w:vAlign w:val="bottom"/>
            <w:shd w:val="clear" w:color="auto" w:fill="001C71"/>
          </w:tcPr>
          <w:p>
            <w:pPr>
              <w:jc w:val="right"/>
              <w:ind w:right="77"/>
              <w:spacing w:after="0"/>
              <w:rPr>
                <w:sz w:val="20"/>
                <w:szCs w:val="20"/>
                <w:color w:val="auto"/>
              </w:rPr>
            </w:pPr>
            <w:r>
              <w:rPr>
                <w:rFonts w:ascii="Arial" w:cs="Arial" w:eastAsia="Arial" w:hAnsi="Arial"/>
                <w:sz w:val="11"/>
                <w:szCs w:val="11"/>
                <w:b w:val="1"/>
                <w:bCs w:val="1"/>
                <w:color w:val="FFFFFF"/>
              </w:rPr>
              <w:t>Average Summary</w:t>
            </w:r>
          </w:p>
        </w:tc>
        <w:tc>
          <w:tcPr>
            <w:tcW w:w="94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Average</w:t>
            </w:r>
          </w:p>
        </w:tc>
        <w:tc>
          <w:tcPr>
            <w:tcW w:w="2100" w:type="dxa"/>
            <w:vAlign w:val="bottom"/>
            <w:gridSpan w:val="2"/>
            <w:shd w:val="clear" w:color="auto" w:fill="001C71"/>
          </w:tcPr>
          <w:p>
            <w:pPr>
              <w:jc w:val="right"/>
              <w:ind w:right="656"/>
              <w:spacing w:after="0"/>
              <w:rPr>
                <w:sz w:val="20"/>
                <w:szCs w:val="20"/>
                <w:color w:val="auto"/>
              </w:rPr>
            </w:pPr>
            <w:r>
              <w:rPr>
                <w:rFonts w:ascii="Arial" w:cs="Arial" w:eastAsia="Arial" w:hAnsi="Arial"/>
                <w:sz w:val="11"/>
                <w:szCs w:val="11"/>
                <w:b w:val="1"/>
                <w:bCs w:val="1"/>
                <w:color w:val="FFFFFF"/>
              </w:rPr>
              <w:t>Based On:</w:t>
            </w:r>
          </w:p>
        </w:tc>
        <w:tc>
          <w:tcPr>
            <w:tcW w:w="1060" w:type="dxa"/>
            <w:vAlign w:val="bottom"/>
            <w:shd w:val="clear" w:color="auto" w:fill="001C71"/>
          </w:tcPr>
          <w:p>
            <w:pPr>
              <w:spacing w:after="0"/>
              <w:rPr>
                <w:sz w:val="11"/>
                <w:szCs w:val="11"/>
                <w:color w:val="auto"/>
              </w:rPr>
            </w:pPr>
          </w:p>
        </w:tc>
        <w:tc>
          <w:tcPr>
            <w:tcW w:w="1080" w:type="dxa"/>
            <w:vAlign w:val="bottom"/>
            <w:shd w:val="clear" w:color="auto" w:fill="001C71"/>
          </w:tcPr>
          <w:p>
            <w:pPr>
              <w:spacing w:after="0"/>
              <w:rPr>
                <w:sz w:val="11"/>
                <w:szCs w:val="11"/>
                <w:color w:val="auto"/>
              </w:rPr>
            </w:pPr>
          </w:p>
        </w:tc>
      </w:tr>
      <w:tr>
        <w:trPr>
          <w:trHeight w:val="135"/>
        </w:trPr>
        <w:tc>
          <w:tcPr>
            <w:tcW w:w="600" w:type="dxa"/>
            <w:vAlign w:val="bottom"/>
            <w:shd w:val="clear" w:color="auto" w:fill="001C71"/>
          </w:tcPr>
          <w:p>
            <w:pPr>
              <w:spacing w:after="0"/>
              <w:rPr>
                <w:sz w:val="11"/>
                <w:szCs w:val="11"/>
                <w:color w:val="auto"/>
              </w:rPr>
            </w:pPr>
          </w:p>
        </w:tc>
        <w:tc>
          <w:tcPr>
            <w:tcW w:w="106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Summary</w:t>
            </w:r>
          </w:p>
        </w:tc>
        <w:tc>
          <w:tcPr>
            <w:tcW w:w="1200" w:type="dxa"/>
            <w:vAlign w:val="bottom"/>
            <w:shd w:val="clear" w:color="auto" w:fill="001C71"/>
          </w:tcPr>
          <w:p>
            <w:pPr>
              <w:jc w:val="right"/>
              <w:ind w:right="102"/>
              <w:spacing w:after="0"/>
              <w:rPr>
                <w:sz w:val="20"/>
                <w:szCs w:val="20"/>
                <w:color w:val="auto"/>
              </w:rPr>
            </w:pPr>
            <w:r>
              <w:rPr>
                <w:rFonts w:ascii="Arial" w:cs="Arial" w:eastAsia="Arial" w:hAnsi="Arial"/>
                <w:sz w:val="11"/>
                <w:szCs w:val="11"/>
                <w:b w:val="1"/>
                <w:bCs w:val="1"/>
                <w:color w:val="FFFFFF"/>
              </w:rPr>
              <w:t>Compensation</w:t>
            </w:r>
          </w:p>
        </w:tc>
        <w:tc>
          <w:tcPr>
            <w:tcW w:w="1040" w:type="dxa"/>
            <w:vAlign w:val="bottom"/>
            <w:shd w:val="clear" w:color="auto" w:fill="001C71"/>
          </w:tcPr>
          <w:p>
            <w:pPr>
              <w:jc w:val="right"/>
              <w:ind w:right="57"/>
              <w:spacing w:after="0"/>
              <w:rPr>
                <w:sz w:val="20"/>
                <w:szCs w:val="20"/>
                <w:color w:val="auto"/>
              </w:rPr>
            </w:pPr>
            <w:r>
              <w:rPr>
                <w:rFonts w:ascii="Arial" w:cs="Arial" w:eastAsia="Arial" w:hAnsi="Arial"/>
                <w:sz w:val="11"/>
                <w:szCs w:val="11"/>
                <w:b w:val="1"/>
                <w:bCs w:val="1"/>
                <w:color w:val="FFFFFF"/>
              </w:rPr>
              <w:t>Compensation</w:t>
            </w:r>
          </w:p>
        </w:tc>
        <w:tc>
          <w:tcPr>
            <w:tcW w:w="96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Compensation</w:t>
            </w:r>
          </w:p>
        </w:tc>
        <w:tc>
          <w:tcPr>
            <w:tcW w:w="1180" w:type="dxa"/>
            <w:vAlign w:val="bottom"/>
            <w:shd w:val="clear" w:color="auto" w:fill="001C71"/>
          </w:tcPr>
          <w:p>
            <w:pPr>
              <w:jc w:val="right"/>
              <w:ind w:right="77"/>
              <w:spacing w:after="0"/>
              <w:rPr>
                <w:sz w:val="20"/>
                <w:szCs w:val="20"/>
                <w:color w:val="auto"/>
              </w:rPr>
            </w:pPr>
            <w:r>
              <w:rPr>
                <w:rFonts w:ascii="Arial" w:cs="Arial" w:eastAsia="Arial" w:hAnsi="Arial"/>
                <w:sz w:val="11"/>
                <w:szCs w:val="11"/>
                <w:b w:val="1"/>
                <w:bCs w:val="1"/>
                <w:color w:val="FFFFFF"/>
              </w:rPr>
              <w:t>Compensation</w:t>
            </w:r>
          </w:p>
        </w:tc>
        <w:tc>
          <w:tcPr>
            <w:tcW w:w="94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Compensation</w:t>
            </w:r>
          </w:p>
        </w:tc>
        <w:tc>
          <w:tcPr>
            <w:tcW w:w="1100" w:type="dxa"/>
            <w:vAlign w:val="bottom"/>
            <w:shd w:val="clear" w:color="auto" w:fill="001C71"/>
          </w:tcPr>
          <w:p>
            <w:pPr>
              <w:spacing w:after="0"/>
              <w:rPr>
                <w:sz w:val="11"/>
                <w:szCs w:val="11"/>
                <w:color w:val="auto"/>
              </w:rPr>
            </w:pPr>
          </w:p>
        </w:tc>
        <w:tc>
          <w:tcPr>
            <w:tcW w:w="1000" w:type="dxa"/>
            <w:vAlign w:val="bottom"/>
            <w:shd w:val="clear" w:color="auto" w:fill="001C71"/>
          </w:tcPr>
          <w:p>
            <w:pPr>
              <w:spacing w:after="0"/>
              <w:rPr>
                <w:sz w:val="11"/>
                <w:szCs w:val="11"/>
                <w:color w:val="auto"/>
              </w:rPr>
            </w:pPr>
          </w:p>
        </w:tc>
        <w:tc>
          <w:tcPr>
            <w:tcW w:w="1060" w:type="dxa"/>
            <w:vAlign w:val="bottom"/>
            <w:shd w:val="clear" w:color="auto" w:fill="001C71"/>
          </w:tcPr>
          <w:p>
            <w:pPr>
              <w:spacing w:after="0"/>
              <w:rPr>
                <w:sz w:val="11"/>
                <w:szCs w:val="11"/>
                <w:color w:val="auto"/>
              </w:rPr>
            </w:pPr>
          </w:p>
        </w:tc>
        <w:tc>
          <w:tcPr>
            <w:tcW w:w="1080" w:type="dxa"/>
            <w:vAlign w:val="bottom"/>
            <w:shd w:val="clear" w:color="auto" w:fill="001C71"/>
          </w:tcPr>
          <w:p>
            <w:pPr>
              <w:spacing w:after="0"/>
              <w:rPr>
                <w:sz w:val="11"/>
                <w:szCs w:val="11"/>
                <w:color w:val="auto"/>
              </w:rPr>
            </w:pPr>
          </w:p>
        </w:tc>
      </w:tr>
      <w:tr>
        <w:trPr>
          <w:trHeight w:val="135"/>
        </w:trPr>
        <w:tc>
          <w:tcPr>
            <w:tcW w:w="600" w:type="dxa"/>
            <w:vAlign w:val="bottom"/>
            <w:shd w:val="clear" w:color="auto" w:fill="001C71"/>
          </w:tcPr>
          <w:p>
            <w:pPr>
              <w:spacing w:after="0"/>
              <w:rPr>
                <w:sz w:val="11"/>
                <w:szCs w:val="11"/>
                <w:color w:val="auto"/>
              </w:rPr>
            </w:pPr>
          </w:p>
        </w:tc>
        <w:tc>
          <w:tcPr>
            <w:tcW w:w="106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Compensation</w:t>
            </w:r>
          </w:p>
        </w:tc>
        <w:tc>
          <w:tcPr>
            <w:tcW w:w="1200" w:type="dxa"/>
            <w:vAlign w:val="bottom"/>
            <w:shd w:val="clear" w:color="auto" w:fill="001C71"/>
          </w:tcPr>
          <w:p>
            <w:pPr>
              <w:jc w:val="right"/>
              <w:ind w:right="102"/>
              <w:spacing w:after="0"/>
              <w:rPr>
                <w:sz w:val="20"/>
                <w:szCs w:val="20"/>
                <w:color w:val="auto"/>
              </w:rPr>
            </w:pPr>
            <w:r>
              <w:rPr>
                <w:rFonts w:ascii="Arial" w:cs="Arial" w:eastAsia="Arial" w:hAnsi="Arial"/>
                <w:sz w:val="11"/>
                <w:szCs w:val="11"/>
                <w:b w:val="1"/>
                <w:bCs w:val="1"/>
                <w:color w:val="FFFFFF"/>
              </w:rPr>
              <w:t>Actually Paid to</w:t>
            </w:r>
          </w:p>
        </w:tc>
        <w:tc>
          <w:tcPr>
            <w:tcW w:w="1040" w:type="dxa"/>
            <w:vAlign w:val="bottom"/>
            <w:shd w:val="clear" w:color="auto" w:fill="001C71"/>
          </w:tcPr>
          <w:p>
            <w:pPr>
              <w:jc w:val="right"/>
              <w:ind w:right="57"/>
              <w:spacing w:after="0"/>
              <w:rPr>
                <w:sz w:val="20"/>
                <w:szCs w:val="20"/>
                <w:color w:val="auto"/>
              </w:rPr>
            </w:pPr>
            <w:r>
              <w:rPr>
                <w:rFonts w:ascii="Arial" w:cs="Arial" w:eastAsia="Arial" w:hAnsi="Arial"/>
                <w:sz w:val="11"/>
                <w:szCs w:val="11"/>
                <w:b w:val="1"/>
                <w:bCs w:val="1"/>
                <w:color w:val="FFFFFF"/>
              </w:rPr>
              <w:t>Table Total for</w:t>
            </w:r>
          </w:p>
        </w:tc>
        <w:tc>
          <w:tcPr>
            <w:tcW w:w="96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Actually Paid to</w:t>
            </w:r>
          </w:p>
        </w:tc>
        <w:tc>
          <w:tcPr>
            <w:tcW w:w="1180" w:type="dxa"/>
            <w:vAlign w:val="bottom"/>
            <w:shd w:val="clear" w:color="auto" w:fill="001C71"/>
          </w:tcPr>
          <w:p>
            <w:pPr>
              <w:jc w:val="right"/>
              <w:ind w:right="77"/>
              <w:spacing w:after="0"/>
              <w:rPr>
                <w:sz w:val="20"/>
                <w:szCs w:val="20"/>
                <w:color w:val="auto"/>
              </w:rPr>
            </w:pPr>
            <w:r>
              <w:rPr>
                <w:rFonts w:ascii="Arial" w:cs="Arial" w:eastAsia="Arial" w:hAnsi="Arial"/>
                <w:sz w:val="11"/>
                <w:szCs w:val="11"/>
                <w:b w:val="1"/>
                <w:bCs w:val="1"/>
                <w:color w:val="FFFFFF"/>
                <w:w w:val="98"/>
              </w:rPr>
              <w:t>Table Total for Non-</w:t>
            </w:r>
          </w:p>
        </w:tc>
        <w:tc>
          <w:tcPr>
            <w:tcW w:w="940" w:type="dxa"/>
            <w:vAlign w:val="bottom"/>
            <w:shd w:val="clear" w:color="auto" w:fill="001C71"/>
          </w:tcPr>
          <w:p>
            <w:pPr>
              <w:jc w:val="right"/>
              <w:spacing w:after="0"/>
              <w:rPr>
                <w:sz w:val="20"/>
                <w:szCs w:val="20"/>
                <w:color w:val="auto"/>
              </w:rPr>
            </w:pPr>
            <w:r>
              <w:rPr>
                <w:rFonts w:ascii="Arial" w:cs="Arial" w:eastAsia="Arial" w:hAnsi="Arial"/>
                <w:sz w:val="11"/>
                <w:szCs w:val="11"/>
                <w:b w:val="1"/>
                <w:bCs w:val="1"/>
                <w:color w:val="FFFFFF"/>
              </w:rPr>
              <w:t>Actually Paid to</w:t>
            </w:r>
          </w:p>
        </w:tc>
        <w:tc>
          <w:tcPr>
            <w:tcW w:w="1100" w:type="dxa"/>
            <w:vAlign w:val="bottom"/>
            <w:shd w:val="clear" w:color="auto" w:fill="001C71"/>
          </w:tcPr>
          <w:p>
            <w:pPr>
              <w:spacing w:after="0"/>
              <w:rPr>
                <w:sz w:val="11"/>
                <w:szCs w:val="11"/>
                <w:color w:val="auto"/>
              </w:rPr>
            </w:pPr>
          </w:p>
        </w:tc>
        <w:tc>
          <w:tcPr>
            <w:tcW w:w="1000" w:type="dxa"/>
            <w:vAlign w:val="bottom"/>
            <w:shd w:val="clear" w:color="auto" w:fill="001C71"/>
          </w:tcPr>
          <w:p>
            <w:pPr>
              <w:spacing w:after="0"/>
              <w:rPr>
                <w:sz w:val="11"/>
                <w:szCs w:val="11"/>
                <w:color w:val="auto"/>
              </w:rPr>
            </w:pPr>
          </w:p>
        </w:tc>
        <w:tc>
          <w:tcPr>
            <w:tcW w:w="1060" w:type="dxa"/>
            <w:vAlign w:val="bottom"/>
            <w:shd w:val="clear" w:color="auto" w:fill="001C71"/>
          </w:tcPr>
          <w:p>
            <w:pPr>
              <w:spacing w:after="0"/>
              <w:rPr>
                <w:sz w:val="11"/>
                <w:szCs w:val="11"/>
                <w:color w:val="auto"/>
              </w:rPr>
            </w:pPr>
          </w:p>
        </w:tc>
        <w:tc>
          <w:tcPr>
            <w:tcW w:w="1080" w:type="dxa"/>
            <w:vAlign w:val="bottom"/>
            <w:shd w:val="clear" w:color="auto" w:fill="001C71"/>
          </w:tcPr>
          <w:p>
            <w:pPr>
              <w:spacing w:after="0"/>
              <w:rPr>
                <w:sz w:val="11"/>
                <w:szCs w:val="11"/>
                <w:color w:val="auto"/>
              </w:rPr>
            </w:pPr>
          </w:p>
        </w:tc>
      </w:tr>
      <w:tr>
        <w:trPr>
          <w:trHeight w:val="119"/>
        </w:trPr>
        <w:tc>
          <w:tcPr>
            <w:tcW w:w="600" w:type="dxa"/>
            <w:vAlign w:val="bottom"/>
            <w:shd w:val="clear" w:color="auto" w:fill="001C71"/>
          </w:tcPr>
          <w:p>
            <w:pPr>
              <w:spacing w:after="0"/>
              <w:rPr>
                <w:sz w:val="10"/>
                <w:szCs w:val="10"/>
                <w:color w:val="auto"/>
              </w:rPr>
            </w:pPr>
          </w:p>
        </w:tc>
        <w:tc>
          <w:tcPr>
            <w:tcW w:w="1060" w:type="dxa"/>
            <w:vAlign w:val="bottom"/>
            <w:shd w:val="clear" w:color="auto" w:fill="001C71"/>
          </w:tcPr>
          <w:p>
            <w:pPr>
              <w:jc w:val="right"/>
              <w:spacing w:after="0" w:line="120" w:lineRule="exact"/>
              <w:rPr>
                <w:sz w:val="20"/>
                <w:szCs w:val="20"/>
                <w:color w:val="auto"/>
              </w:rPr>
            </w:pPr>
            <w:r>
              <w:rPr>
                <w:rFonts w:ascii="Arial" w:cs="Arial" w:eastAsia="Arial" w:hAnsi="Arial"/>
                <w:sz w:val="11"/>
                <w:szCs w:val="11"/>
                <w:b w:val="1"/>
                <w:bCs w:val="1"/>
                <w:color w:val="FFFFFF"/>
                <w:w w:val="99"/>
              </w:rPr>
              <w:t>Table Total for PEO</w:t>
            </w:r>
          </w:p>
        </w:tc>
        <w:tc>
          <w:tcPr>
            <w:tcW w:w="1200" w:type="dxa"/>
            <w:vAlign w:val="bottom"/>
            <w:shd w:val="clear" w:color="auto" w:fill="001C71"/>
          </w:tcPr>
          <w:p>
            <w:pPr>
              <w:jc w:val="right"/>
              <w:ind w:right="102"/>
              <w:spacing w:after="0" w:line="120" w:lineRule="exact"/>
              <w:rPr>
                <w:sz w:val="20"/>
                <w:szCs w:val="20"/>
                <w:color w:val="auto"/>
              </w:rPr>
            </w:pPr>
            <w:r>
              <w:rPr>
                <w:rFonts w:ascii="Arial" w:cs="Arial" w:eastAsia="Arial" w:hAnsi="Arial"/>
                <w:sz w:val="11"/>
                <w:szCs w:val="11"/>
                <w:b w:val="1"/>
                <w:bCs w:val="1"/>
                <w:color w:val="FFFFFF"/>
              </w:rPr>
              <w:t>PEO</w:t>
            </w:r>
          </w:p>
        </w:tc>
        <w:tc>
          <w:tcPr>
            <w:tcW w:w="1040" w:type="dxa"/>
            <w:vAlign w:val="bottom"/>
            <w:shd w:val="clear" w:color="auto" w:fill="001C71"/>
          </w:tcPr>
          <w:p>
            <w:pPr>
              <w:jc w:val="right"/>
              <w:ind w:right="57"/>
              <w:spacing w:after="0" w:line="120" w:lineRule="exact"/>
              <w:rPr>
                <w:sz w:val="20"/>
                <w:szCs w:val="20"/>
                <w:color w:val="auto"/>
              </w:rPr>
            </w:pPr>
            <w:r>
              <w:rPr>
                <w:rFonts w:ascii="Arial" w:cs="Arial" w:eastAsia="Arial" w:hAnsi="Arial"/>
                <w:sz w:val="11"/>
                <w:szCs w:val="11"/>
                <w:b w:val="1"/>
                <w:bCs w:val="1"/>
                <w:color w:val="FFFFFF"/>
              </w:rPr>
              <w:t>former PEO</w:t>
            </w:r>
          </w:p>
        </w:tc>
        <w:tc>
          <w:tcPr>
            <w:tcW w:w="960" w:type="dxa"/>
            <w:vAlign w:val="bottom"/>
            <w:shd w:val="clear" w:color="auto" w:fill="001C71"/>
          </w:tcPr>
          <w:p>
            <w:pPr>
              <w:jc w:val="right"/>
              <w:spacing w:after="0" w:line="120" w:lineRule="exact"/>
              <w:rPr>
                <w:sz w:val="20"/>
                <w:szCs w:val="20"/>
                <w:color w:val="auto"/>
              </w:rPr>
            </w:pPr>
            <w:r>
              <w:rPr>
                <w:rFonts w:ascii="Arial" w:cs="Arial" w:eastAsia="Arial" w:hAnsi="Arial"/>
                <w:sz w:val="11"/>
                <w:szCs w:val="11"/>
                <w:b w:val="1"/>
                <w:bCs w:val="1"/>
                <w:color w:val="FFFFFF"/>
              </w:rPr>
              <w:t>former PEO</w:t>
            </w:r>
          </w:p>
        </w:tc>
        <w:tc>
          <w:tcPr>
            <w:tcW w:w="1180" w:type="dxa"/>
            <w:vAlign w:val="bottom"/>
            <w:shd w:val="clear" w:color="auto" w:fill="001C71"/>
          </w:tcPr>
          <w:p>
            <w:pPr>
              <w:jc w:val="right"/>
              <w:ind w:right="77"/>
              <w:spacing w:after="0" w:line="120" w:lineRule="exact"/>
              <w:rPr>
                <w:sz w:val="20"/>
                <w:szCs w:val="20"/>
                <w:color w:val="auto"/>
              </w:rPr>
            </w:pPr>
            <w:r>
              <w:rPr>
                <w:rFonts w:ascii="Arial" w:cs="Arial" w:eastAsia="Arial" w:hAnsi="Arial"/>
                <w:sz w:val="11"/>
                <w:szCs w:val="11"/>
                <w:b w:val="1"/>
                <w:bCs w:val="1"/>
                <w:color w:val="FFFFFF"/>
              </w:rPr>
              <w:t>PEO NEOs</w:t>
            </w:r>
          </w:p>
        </w:tc>
        <w:tc>
          <w:tcPr>
            <w:tcW w:w="940" w:type="dxa"/>
            <w:vAlign w:val="bottom"/>
            <w:shd w:val="clear" w:color="auto" w:fill="001C71"/>
          </w:tcPr>
          <w:p>
            <w:pPr>
              <w:jc w:val="right"/>
              <w:spacing w:after="0" w:line="120" w:lineRule="exact"/>
              <w:rPr>
                <w:sz w:val="20"/>
                <w:szCs w:val="20"/>
                <w:color w:val="auto"/>
              </w:rPr>
            </w:pPr>
            <w:r>
              <w:rPr>
                <w:rFonts w:ascii="Arial" w:cs="Arial" w:eastAsia="Arial" w:hAnsi="Arial"/>
                <w:sz w:val="11"/>
                <w:szCs w:val="11"/>
                <w:b w:val="1"/>
                <w:bCs w:val="1"/>
                <w:color w:val="FFFFFF"/>
              </w:rPr>
              <w:t>Non-PEO NEOs</w:t>
            </w:r>
          </w:p>
        </w:tc>
        <w:tc>
          <w:tcPr>
            <w:tcW w:w="1100" w:type="dxa"/>
            <w:vAlign w:val="bottom"/>
            <w:shd w:val="clear" w:color="auto" w:fill="001C71"/>
          </w:tcPr>
          <w:p>
            <w:pPr>
              <w:jc w:val="right"/>
              <w:spacing w:after="0" w:line="120" w:lineRule="exact"/>
              <w:rPr>
                <w:sz w:val="20"/>
                <w:szCs w:val="20"/>
                <w:color w:val="auto"/>
              </w:rPr>
            </w:pPr>
            <w:r>
              <w:rPr>
                <w:rFonts w:ascii="Arial" w:cs="Arial" w:eastAsia="Arial" w:hAnsi="Arial"/>
                <w:sz w:val="11"/>
                <w:szCs w:val="11"/>
                <w:b w:val="1"/>
                <w:bCs w:val="1"/>
                <w:color w:val="FFFFFF"/>
              </w:rPr>
              <w:t>TSR</w:t>
            </w:r>
          </w:p>
        </w:tc>
        <w:tc>
          <w:tcPr>
            <w:tcW w:w="1000" w:type="dxa"/>
            <w:vAlign w:val="bottom"/>
            <w:shd w:val="clear" w:color="auto" w:fill="001C71"/>
          </w:tcPr>
          <w:p>
            <w:pPr>
              <w:jc w:val="right"/>
              <w:spacing w:after="0" w:line="120" w:lineRule="exact"/>
              <w:rPr>
                <w:sz w:val="20"/>
                <w:szCs w:val="20"/>
                <w:color w:val="auto"/>
              </w:rPr>
            </w:pPr>
            <w:r>
              <w:rPr>
                <w:rFonts w:ascii="Arial" w:cs="Arial" w:eastAsia="Arial" w:hAnsi="Arial"/>
                <w:sz w:val="11"/>
                <w:szCs w:val="11"/>
                <w:b w:val="1"/>
                <w:bCs w:val="1"/>
                <w:color w:val="FFFFFF"/>
              </w:rPr>
              <w:t>Peer Group TSR</w:t>
            </w:r>
          </w:p>
        </w:tc>
        <w:tc>
          <w:tcPr>
            <w:tcW w:w="1060" w:type="dxa"/>
            <w:vAlign w:val="bottom"/>
            <w:shd w:val="clear" w:color="auto" w:fill="001C71"/>
          </w:tcPr>
          <w:p>
            <w:pPr>
              <w:jc w:val="right"/>
              <w:spacing w:after="0" w:line="120" w:lineRule="exact"/>
              <w:rPr>
                <w:sz w:val="20"/>
                <w:szCs w:val="20"/>
                <w:color w:val="auto"/>
              </w:rPr>
            </w:pPr>
            <w:r>
              <w:rPr>
                <w:rFonts w:ascii="Arial" w:cs="Arial" w:eastAsia="Arial" w:hAnsi="Arial"/>
                <w:sz w:val="11"/>
                <w:szCs w:val="11"/>
                <w:b w:val="1"/>
                <w:bCs w:val="1"/>
                <w:color w:val="FFFFFF"/>
              </w:rPr>
              <w:t>Net Income (Loss)</w:t>
            </w:r>
          </w:p>
        </w:tc>
        <w:tc>
          <w:tcPr>
            <w:tcW w:w="1080" w:type="dxa"/>
            <w:vAlign w:val="bottom"/>
            <w:shd w:val="clear" w:color="auto" w:fill="001C71"/>
          </w:tcPr>
          <w:p>
            <w:pPr>
              <w:jc w:val="right"/>
              <w:spacing w:after="0" w:line="120" w:lineRule="exact"/>
              <w:rPr>
                <w:sz w:val="20"/>
                <w:szCs w:val="20"/>
                <w:color w:val="auto"/>
              </w:rPr>
            </w:pPr>
            <w:r>
              <w:rPr>
                <w:rFonts w:ascii="Arial" w:cs="Arial" w:eastAsia="Arial" w:hAnsi="Arial"/>
                <w:sz w:val="11"/>
                <w:szCs w:val="11"/>
                <w:b w:val="1"/>
                <w:bCs w:val="1"/>
                <w:color w:val="FFFFFF"/>
              </w:rPr>
              <w:t>Total Revenues</w:t>
            </w:r>
          </w:p>
        </w:tc>
      </w:tr>
      <w:tr>
        <w:trPr>
          <w:trHeight w:val="212"/>
        </w:trPr>
        <w:tc>
          <w:tcPr>
            <w:tcW w:w="600" w:type="dxa"/>
            <w:vAlign w:val="bottom"/>
            <w:tcBorders>
              <w:bottom w:val="single" w:sz="8" w:color="001C71"/>
            </w:tcBorders>
            <w:shd w:val="clear" w:color="auto" w:fill="001C71"/>
          </w:tcPr>
          <w:p>
            <w:pPr>
              <w:ind w:left="100"/>
              <w:spacing w:after="0"/>
              <w:rPr>
                <w:sz w:val="20"/>
                <w:szCs w:val="20"/>
                <w:color w:val="auto"/>
              </w:rPr>
            </w:pPr>
            <w:r>
              <w:rPr>
                <w:rFonts w:ascii="Arial" w:cs="Arial" w:eastAsia="Arial" w:hAnsi="Arial"/>
                <w:sz w:val="11"/>
                <w:szCs w:val="11"/>
                <w:b w:val="1"/>
                <w:bCs w:val="1"/>
                <w:color w:val="FFFFFF"/>
              </w:rPr>
              <w:t>Year</w:t>
            </w:r>
          </w:p>
        </w:tc>
        <w:tc>
          <w:tcPr>
            <w:tcW w:w="106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1"/>
                <w:szCs w:val="11"/>
                <w:b w:val="1"/>
                <w:bCs w:val="1"/>
                <w:color w:val="FFFFFF"/>
              </w:rPr>
              <w:t>($)</w:t>
            </w:r>
            <w:r>
              <w:rPr>
                <w:rFonts w:ascii="Arial" w:cs="Arial" w:eastAsia="Arial" w:hAnsi="Arial"/>
                <w:sz w:val="14"/>
                <w:szCs w:val="14"/>
                <w:b w:val="1"/>
                <w:bCs w:val="1"/>
                <w:color w:val="FFFFFF"/>
                <w:vertAlign w:val="superscript"/>
              </w:rPr>
              <w:t>(1)</w:t>
            </w:r>
          </w:p>
        </w:tc>
        <w:tc>
          <w:tcPr>
            <w:tcW w:w="1200" w:type="dxa"/>
            <w:vAlign w:val="bottom"/>
            <w:tcBorders>
              <w:bottom w:val="single" w:sz="8" w:color="001C71"/>
            </w:tcBorders>
            <w:shd w:val="clear" w:color="auto" w:fill="001C71"/>
          </w:tcPr>
          <w:p>
            <w:pPr>
              <w:jc w:val="right"/>
              <w:ind w:right="102"/>
              <w:spacing w:after="0"/>
              <w:rPr>
                <w:sz w:val="20"/>
                <w:szCs w:val="20"/>
                <w:color w:val="auto"/>
              </w:rPr>
            </w:pPr>
            <w:r>
              <w:rPr>
                <w:rFonts w:ascii="Arial" w:cs="Arial" w:eastAsia="Arial" w:hAnsi="Arial"/>
                <w:sz w:val="11"/>
                <w:szCs w:val="11"/>
                <w:b w:val="1"/>
                <w:bCs w:val="1"/>
                <w:color w:val="FFFFFF"/>
              </w:rPr>
              <w:t>($)</w:t>
            </w:r>
            <w:r>
              <w:rPr>
                <w:rFonts w:ascii="Arial" w:cs="Arial" w:eastAsia="Arial" w:hAnsi="Arial"/>
                <w:sz w:val="14"/>
                <w:szCs w:val="14"/>
                <w:b w:val="1"/>
                <w:bCs w:val="1"/>
                <w:color w:val="FFFFFF"/>
                <w:vertAlign w:val="superscript"/>
              </w:rPr>
              <w:t>(2)</w:t>
            </w:r>
          </w:p>
        </w:tc>
        <w:tc>
          <w:tcPr>
            <w:tcW w:w="1040" w:type="dxa"/>
            <w:vAlign w:val="bottom"/>
            <w:tcBorders>
              <w:bottom w:val="single" w:sz="8" w:color="001C71"/>
            </w:tcBorders>
            <w:shd w:val="clear" w:color="auto" w:fill="001C71"/>
          </w:tcPr>
          <w:p>
            <w:pPr>
              <w:jc w:val="right"/>
              <w:ind w:right="57"/>
              <w:spacing w:after="0"/>
              <w:rPr>
                <w:sz w:val="20"/>
                <w:szCs w:val="20"/>
                <w:color w:val="auto"/>
              </w:rPr>
            </w:pPr>
            <w:r>
              <w:rPr>
                <w:rFonts w:ascii="Arial" w:cs="Arial" w:eastAsia="Arial" w:hAnsi="Arial"/>
                <w:sz w:val="11"/>
                <w:szCs w:val="11"/>
                <w:b w:val="1"/>
                <w:bCs w:val="1"/>
                <w:color w:val="FFFFFF"/>
              </w:rPr>
              <w:t>($)</w:t>
            </w:r>
            <w:r>
              <w:rPr>
                <w:rFonts w:ascii="Arial" w:cs="Arial" w:eastAsia="Arial" w:hAnsi="Arial"/>
                <w:sz w:val="14"/>
                <w:szCs w:val="14"/>
                <w:b w:val="1"/>
                <w:bCs w:val="1"/>
                <w:color w:val="FFFFFF"/>
                <w:vertAlign w:val="superscript"/>
              </w:rPr>
              <w:t>(1)</w:t>
            </w:r>
          </w:p>
        </w:tc>
        <w:tc>
          <w:tcPr>
            <w:tcW w:w="96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1"/>
                <w:szCs w:val="11"/>
                <w:b w:val="1"/>
                <w:bCs w:val="1"/>
                <w:color w:val="FFFFFF"/>
              </w:rPr>
              <w:t>($)</w:t>
            </w:r>
            <w:r>
              <w:rPr>
                <w:rFonts w:ascii="Arial" w:cs="Arial" w:eastAsia="Arial" w:hAnsi="Arial"/>
                <w:sz w:val="14"/>
                <w:szCs w:val="14"/>
                <w:b w:val="1"/>
                <w:bCs w:val="1"/>
                <w:color w:val="FFFFFF"/>
                <w:vertAlign w:val="superscript"/>
              </w:rPr>
              <w:t>(2)</w:t>
            </w:r>
          </w:p>
        </w:tc>
        <w:tc>
          <w:tcPr>
            <w:tcW w:w="1180" w:type="dxa"/>
            <w:vAlign w:val="bottom"/>
            <w:tcBorders>
              <w:bottom w:val="single" w:sz="8" w:color="001C71"/>
            </w:tcBorders>
            <w:shd w:val="clear" w:color="auto" w:fill="001C71"/>
          </w:tcPr>
          <w:p>
            <w:pPr>
              <w:jc w:val="right"/>
              <w:ind w:right="77"/>
              <w:spacing w:after="0"/>
              <w:rPr>
                <w:sz w:val="20"/>
                <w:szCs w:val="20"/>
                <w:color w:val="auto"/>
              </w:rPr>
            </w:pPr>
            <w:r>
              <w:rPr>
                <w:rFonts w:ascii="Arial" w:cs="Arial" w:eastAsia="Arial" w:hAnsi="Arial"/>
                <w:sz w:val="11"/>
                <w:szCs w:val="11"/>
                <w:b w:val="1"/>
                <w:bCs w:val="1"/>
                <w:color w:val="FFFFFF"/>
              </w:rPr>
              <w:t>($)</w:t>
            </w:r>
            <w:r>
              <w:rPr>
                <w:rFonts w:ascii="Arial" w:cs="Arial" w:eastAsia="Arial" w:hAnsi="Arial"/>
                <w:sz w:val="14"/>
                <w:szCs w:val="14"/>
                <w:b w:val="1"/>
                <w:bCs w:val="1"/>
                <w:color w:val="FFFFFF"/>
                <w:vertAlign w:val="superscript"/>
              </w:rPr>
              <w:t>(1)</w:t>
            </w:r>
          </w:p>
        </w:tc>
        <w:tc>
          <w:tcPr>
            <w:tcW w:w="94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1"/>
                <w:szCs w:val="11"/>
                <w:b w:val="1"/>
                <w:bCs w:val="1"/>
                <w:color w:val="FFFFFF"/>
              </w:rPr>
              <w:t>($)</w:t>
            </w:r>
            <w:r>
              <w:rPr>
                <w:rFonts w:ascii="Arial" w:cs="Arial" w:eastAsia="Arial" w:hAnsi="Arial"/>
                <w:sz w:val="14"/>
                <w:szCs w:val="14"/>
                <w:b w:val="1"/>
                <w:bCs w:val="1"/>
                <w:color w:val="FFFFFF"/>
                <w:vertAlign w:val="superscript"/>
              </w:rPr>
              <w:t>(2)</w:t>
            </w:r>
          </w:p>
        </w:tc>
        <w:tc>
          <w:tcPr>
            <w:tcW w:w="1100" w:type="dxa"/>
            <w:vAlign w:val="bottom"/>
            <w:tcBorders>
              <w:bottom w:val="single" w:sz="8" w:color="001C71"/>
            </w:tcBorders>
            <w:shd w:val="clear" w:color="auto" w:fill="001C71"/>
          </w:tcPr>
          <w:p>
            <w:pPr>
              <w:jc w:val="right"/>
              <w:spacing w:after="0" w:line="178"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7"/>
                <w:szCs w:val="7"/>
                <w:b w:val="1"/>
                <w:bCs w:val="1"/>
                <w:color w:val="FFFFFF"/>
              </w:rPr>
              <w:t>(3)</w:t>
            </w:r>
          </w:p>
        </w:tc>
        <w:tc>
          <w:tcPr>
            <w:tcW w:w="1000" w:type="dxa"/>
            <w:vAlign w:val="bottom"/>
            <w:tcBorders>
              <w:bottom w:val="single" w:sz="8" w:color="001C71"/>
            </w:tcBorders>
            <w:shd w:val="clear" w:color="auto" w:fill="001C71"/>
          </w:tcPr>
          <w:p>
            <w:pPr>
              <w:jc w:val="right"/>
              <w:spacing w:after="0" w:line="178"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7"/>
                <w:szCs w:val="7"/>
                <w:b w:val="1"/>
                <w:bCs w:val="1"/>
                <w:color w:val="FFFFFF"/>
              </w:rPr>
              <w:t>(3)</w:t>
            </w:r>
          </w:p>
        </w:tc>
        <w:tc>
          <w:tcPr>
            <w:tcW w:w="106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1"/>
                <w:szCs w:val="11"/>
                <w:b w:val="1"/>
                <w:bCs w:val="1"/>
                <w:color w:val="FFFFFF"/>
              </w:rPr>
              <w:t>($ in thousands)</w:t>
            </w:r>
            <w:r>
              <w:rPr>
                <w:rFonts w:ascii="Arial" w:cs="Arial" w:eastAsia="Arial" w:hAnsi="Arial"/>
                <w:sz w:val="7"/>
                <w:szCs w:val="7"/>
                <w:b w:val="1"/>
                <w:bCs w:val="1"/>
                <w:color w:val="FFFFFF"/>
              </w:rPr>
              <w:t>(4)</w:t>
            </w:r>
          </w:p>
        </w:tc>
        <w:tc>
          <w:tcPr>
            <w:tcW w:w="108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1"/>
                <w:szCs w:val="11"/>
                <w:b w:val="1"/>
                <w:bCs w:val="1"/>
                <w:color w:val="FFFFFF"/>
              </w:rPr>
              <w:t>($ in thousands)</w:t>
            </w:r>
            <w:r>
              <w:rPr>
                <w:rFonts w:ascii="Arial" w:cs="Arial" w:eastAsia="Arial" w:hAnsi="Arial"/>
                <w:sz w:val="7"/>
                <w:szCs w:val="7"/>
                <w:b w:val="1"/>
                <w:bCs w:val="1"/>
                <w:color w:val="FFFFFF"/>
              </w:rPr>
              <w:t>(5)</w:t>
            </w:r>
          </w:p>
        </w:tc>
      </w:tr>
      <w:tr>
        <w:trPr>
          <w:trHeight w:val="208"/>
        </w:trPr>
        <w:tc>
          <w:tcPr>
            <w:tcW w:w="600" w:type="dxa"/>
            <w:vAlign w:val="bottom"/>
          </w:tcPr>
          <w:p>
            <w:pPr>
              <w:ind w:left="100"/>
              <w:spacing w:after="0"/>
              <w:rPr>
                <w:sz w:val="20"/>
                <w:szCs w:val="20"/>
                <w:color w:val="auto"/>
              </w:rPr>
            </w:pPr>
            <w:r>
              <w:rPr>
                <w:rFonts w:ascii="Arial" w:cs="Arial" w:eastAsia="Arial" w:hAnsi="Arial"/>
                <w:sz w:val="14"/>
                <w:szCs w:val="14"/>
                <w:color w:val="auto"/>
              </w:rPr>
              <w:t>2025</w:t>
            </w:r>
          </w:p>
        </w:tc>
        <w:tc>
          <w:tcPr>
            <w:tcW w:w="1060" w:type="dxa"/>
            <w:vAlign w:val="bottom"/>
          </w:tcPr>
          <w:p>
            <w:pPr>
              <w:jc w:val="right"/>
              <w:spacing w:after="0"/>
              <w:rPr>
                <w:sz w:val="20"/>
                <w:szCs w:val="20"/>
                <w:color w:val="auto"/>
              </w:rPr>
            </w:pPr>
            <w:r>
              <w:rPr>
                <w:rFonts w:ascii="Arial" w:cs="Arial" w:eastAsia="Arial" w:hAnsi="Arial"/>
                <w:sz w:val="14"/>
                <w:szCs w:val="14"/>
                <w:color w:val="auto"/>
              </w:rPr>
              <w:t>19,151,558</w:t>
            </w:r>
          </w:p>
        </w:tc>
        <w:tc>
          <w:tcPr>
            <w:tcW w:w="1200" w:type="dxa"/>
            <w:vAlign w:val="bottom"/>
          </w:tcPr>
          <w:p>
            <w:pPr>
              <w:jc w:val="right"/>
              <w:ind w:right="102"/>
              <w:spacing w:after="0"/>
              <w:rPr>
                <w:sz w:val="20"/>
                <w:szCs w:val="20"/>
                <w:color w:val="auto"/>
              </w:rPr>
            </w:pPr>
            <w:r>
              <w:rPr>
                <w:rFonts w:ascii="Arial" w:cs="Arial" w:eastAsia="Arial" w:hAnsi="Arial"/>
                <w:sz w:val="14"/>
                <w:szCs w:val="14"/>
                <w:color w:val="auto"/>
              </w:rPr>
              <w:t>29,778,107</w:t>
            </w:r>
          </w:p>
        </w:tc>
        <w:tc>
          <w:tcPr>
            <w:tcW w:w="1040" w:type="dxa"/>
            <w:vAlign w:val="bottom"/>
          </w:tcPr>
          <w:p>
            <w:pPr>
              <w:jc w:val="right"/>
              <w:ind w:right="57"/>
              <w:spacing w:after="0"/>
              <w:rPr>
                <w:sz w:val="20"/>
                <w:szCs w:val="20"/>
                <w:color w:val="auto"/>
              </w:rPr>
            </w:pPr>
            <w:r>
              <w:rPr>
                <w:rFonts w:ascii="Arial" w:cs="Arial" w:eastAsia="Arial" w:hAnsi="Arial"/>
                <w:sz w:val="14"/>
                <w:szCs w:val="14"/>
                <w:color w:val="auto"/>
              </w:rPr>
              <w:t>18,834,836</w:t>
            </w:r>
          </w:p>
        </w:tc>
        <w:tc>
          <w:tcPr>
            <w:tcW w:w="960" w:type="dxa"/>
            <w:vAlign w:val="bottom"/>
          </w:tcPr>
          <w:p>
            <w:pPr>
              <w:jc w:val="right"/>
              <w:spacing w:after="0"/>
              <w:rPr>
                <w:sz w:val="20"/>
                <w:szCs w:val="20"/>
                <w:color w:val="auto"/>
              </w:rPr>
            </w:pPr>
            <w:r>
              <w:rPr>
                <w:rFonts w:ascii="Arial" w:cs="Arial" w:eastAsia="Arial" w:hAnsi="Arial"/>
                <w:sz w:val="14"/>
                <w:szCs w:val="14"/>
                <w:color w:val="auto"/>
              </w:rPr>
              <w:t>24,126,051</w:t>
            </w:r>
          </w:p>
        </w:tc>
        <w:tc>
          <w:tcPr>
            <w:tcW w:w="1180" w:type="dxa"/>
            <w:vAlign w:val="bottom"/>
          </w:tcPr>
          <w:p>
            <w:pPr>
              <w:jc w:val="right"/>
              <w:ind w:right="77"/>
              <w:spacing w:after="0"/>
              <w:rPr>
                <w:sz w:val="20"/>
                <w:szCs w:val="20"/>
                <w:color w:val="auto"/>
              </w:rPr>
            </w:pPr>
            <w:r>
              <w:rPr>
                <w:rFonts w:ascii="Arial" w:cs="Arial" w:eastAsia="Arial" w:hAnsi="Arial"/>
                <w:sz w:val="14"/>
                <w:szCs w:val="14"/>
                <w:color w:val="auto"/>
              </w:rPr>
              <w:t>7,132,974</w:t>
            </w:r>
          </w:p>
        </w:tc>
        <w:tc>
          <w:tcPr>
            <w:tcW w:w="940" w:type="dxa"/>
            <w:vAlign w:val="bottom"/>
          </w:tcPr>
          <w:p>
            <w:pPr>
              <w:jc w:val="right"/>
              <w:spacing w:after="0"/>
              <w:rPr>
                <w:sz w:val="20"/>
                <w:szCs w:val="20"/>
                <w:color w:val="auto"/>
              </w:rPr>
            </w:pPr>
            <w:r>
              <w:rPr>
                <w:rFonts w:ascii="Arial" w:cs="Arial" w:eastAsia="Arial" w:hAnsi="Arial"/>
                <w:sz w:val="14"/>
                <w:szCs w:val="14"/>
                <w:color w:val="auto"/>
              </w:rPr>
              <w:t>10,747,348</w:t>
            </w:r>
          </w:p>
        </w:tc>
        <w:tc>
          <w:tcPr>
            <w:tcW w:w="1100" w:type="dxa"/>
            <w:vAlign w:val="bottom"/>
          </w:tcPr>
          <w:p>
            <w:pPr>
              <w:jc w:val="right"/>
              <w:spacing w:after="0"/>
              <w:rPr>
                <w:sz w:val="20"/>
                <w:szCs w:val="20"/>
                <w:color w:val="auto"/>
              </w:rPr>
            </w:pPr>
            <w:r>
              <w:rPr>
                <w:rFonts w:ascii="Arial" w:cs="Arial" w:eastAsia="Arial" w:hAnsi="Arial"/>
                <w:sz w:val="14"/>
                <w:szCs w:val="14"/>
                <w:color w:val="auto"/>
              </w:rPr>
              <w:t>103.00</w:t>
            </w:r>
          </w:p>
        </w:tc>
        <w:tc>
          <w:tcPr>
            <w:tcW w:w="1000" w:type="dxa"/>
            <w:vAlign w:val="bottom"/>
          </w:tcPr>
          <w:p>
            <w:pPr>
              <w:jc w:val="right"/>
              <w:spacing w:after="0"/>
              <w:rPr>
                <w:sz w:val="20"/>
                <w:szCs w:val="20"/>
                <w:color w:val="auto"/>
              </w:rPr>
            </w:pPr>
            <w:r>
              <w:rPr>
                <w:rFonts w:ascii="Arial" w:cs="Arial" w:eastAsia="Arial" w:hAnsi="Arial"/>
                <w:sz w:val="14"/>
                <w:szCs w:val="14"/>
                <w:color w:val="auto"/>
              </w:rPr>
              <w:t>124.75</w:t>
            </w:r>
          </w:p>
        </w:tc>
        <w:tc>
          <w:tcPr>
            <w:tcW w:w="1060" w:type="dxa"/>
            <w:vAlign w:val="bottom"/>
          </w:tcPr>
          <w:p>
            <w:pPr>
              <w:jc w:val="right"/>
              <w:spacing w:after="0"/>
              <w:rPr>
                <w:sz w:val="20"/>
                <w:szCs w:val="20"/>
                <w:color w:val="auto"/>
              </w:rPr>
            </w:pPr>
            <w:r>
              <w:rPr>
                <w:rFonts w:ascii="Arial" w:cs="Arial" w:eastAsia="Arial" w:hAnsi="Arial"/>
                <w:sz w:val="14"/>
                <w:szCs w:val="14"/>
                <w:color w:val="auto"/>
              </w:rPr>
              <w:t>(356,148)</w:t>
            </w:r>
          </w:p>
        </w:tc>
        <w:tc>
          <w:tcPr>
            <w:tcW w:w="1080" w:type="dxa"/>
            <w:vAlign w:val="bottom"/>
          </w:tcPr>
          <w:p>
            <w:pPr>
              <w:jc w:val="right"/>
              <w:spacing w:after="0"/>
              <w:rPr>
                <w:sz w:val="20"/>
                <w:szCs w:val="20"/>
                <w:color w:val="auto"/>
              </w:rPr>
            </w:pPr>
            <w:r>
              <w:rPr>
                <w:rFonts w:ascii="Arial" w:cs="Arial" w:eastAsia="Arial" w:hAnsi="Arial"/>
                <w:sz w:val="14"/>
                <w:szCs w:val="14"/>
                <w:color w:val="auto"/>
              </w:rPr>
              <w:t>4,267,586</w:t>
            </w:r>
          </w:p>
        </w:tc>
      </w:tr>
      <w:tr>
        <w:trPr>
          <w:trHeight w:val="22"/>
        </w:trPr>
        <w:tc>
          <w:tcPr>
            <w:tcW w:w="600" w:type="dxa"/>
            <w:vAlign w:val="bottom"/>
            <w:tcBorders>
              <w:bottom w:val="single" w:sz="8" w:color="5673B8"/>
            </w:tcBorders>
          </w:tcPr>
          <w:p>
            <w:pPr>
              <w:spacing w:after="0" w:line="20" w:lineRule="exact"/>
              <w:rPr>
                <w:sz w:val="1"/>
                <w:szCs w:val="1"/>
                <w:color w:val="auto"/>
              </w:rPr>
            </w:pPr>
          </w:p>
        </w:tc>
        <w:tc>
          <w:tcPr>
            <w:tcW w:w="1060" w:type="dxa"/>
            <w:vAlign w:val="bottom"/>
            <w:tcBorders>
              <w:bottom w:val="single" w:sz="8" w:color="5673B8"/>
            </w:tcBorders>
          </w:tcPr>
          <w:p>
            <w:pPr>
              <w:spacing w:after="0" w:line="20" w:lineRule="exact"/>
              <w:rPr>
                <w:sz w:val="1"/>
                <w:szCs w:val="1"/>
                <w:color w:val="auto"/>
              </w:rPr>
            </w:pPr>
          </w:p>
        </w:tc>
        <w:tc>
          <w:tcPr>
            <w:tcW w:w="1200" w:type="dxa"/>
            <w:vAlign w:val="bottom"/>
            <w:tcBorders>
              <w:bottom w:val="single" w:sz="8" w:color="5673B8"/>
            </w:tcBorders>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960" w:type="dxa"/>
            <w:vAlign w:val="bottom"/>
            <w:tcBorders>
              <w:bottom w:val="single" w:sz="8" w:color="5673B8"/>
            </w:tcBorders>
          </w:tcPr>
          <w:p>
            <w:pPr>
              <w:spacing w:after="0" w:line="20" w:lineRule="exact"/>
              <w:rPr>
                <w:sz w:val="1"/>
                <w:szCs w:val="1"/>
                <w:color w:val="auto"/>
              </w:rPr>
            </w:pPr>
          </w:p>
        </w:tc>
        <w:tc>
          <w:tcPr>
            <w:tcW w:w="1180" w:type="dxa"/>
            <w:vAlign w:val="bottom"/>
            <w:tcBorders>
              <w:bottom w:val="single" w:sz="8" w:color="5673B8"/>
            </w:tcBorders>
          </w:tcPr>
          <w:p>
            <w:pPr>
              <w:spacing w:after="0" w:line="20" w:lineRule="exact"/>
              <w:rPr>
                <w:sz w:val="1"/>
                <w:szCs w:val="1"/>
                <w:color w:val="auto"/>
              </w:rPr>
            </w:pPr>
          </w:p>
        </w:tc>
        <w:tc>
          <w:tcPr>
            <w:tcW w:w="940" w:type="dxa"/>
            <w:vAlign w:val="bottom"/>
            <w:tcBorders>
              <w:bottom w:val="single" w:sz="8" w:color="5673B8"/>
            </w:tcBorders>
          </w:tcPr>
          <w:p>
            <w:pPr>
              <w:spacing w:after="0" w:line="20" w:lineRule="exact"/>
              <w:rPr>
                <w:sz w:val="1"/>
                <w:szCs w:val="1"/>
                <w:color w:val="auto"/>
              </w:rPr>
            </w:pPr>
          </w:p>
        </w:tc>
        <w:tc>
          <w:tcPr>
            <w:tcW w:w="1100" w:type="dxa"/>
            <w:vAlign w:val="bottom"/>
            <w:tcBorders>
              <w:bottom w:val="single" w:sz="8" w:color="5673B8"/>
            </w:tcBorders>
          </w:tcPr>
          <w:p>
            <w:pPr>
              <w:spacing w:after="0" w:line="20" w:lineRule="exact"/>
              <w:rPr>
                <w:sz w:val="1"/>
                <w:szCs w:val="1"/>
                <w:color w:val="auto"/>
              </w:rPr>
            </w:pPr>
          </w:p>
        </w:tc>
        <w:tc>
          <w:tcPr>
            <w:tcW w:w="1000" w:type="dxa"/>
            <w:vAlign w:val="bottom"/>
            <w:tcBorders>
              <w:bottom w:val="single" w:sz="8" w:color="5673B8"/>
            </w:tcBorders>
          </w:tcPr>
          <w:p>
            <w:pPr>
              <w:spacing w:after="0" w:line="20" w:lineRule="exact"/>
              <w:rPr>
                <w:sz w:val="1"/>
                <w:szCs w:val="1"/>
                <w:color w:val="auto"/>
              </w:rPr>
            </w:pPr>
          </w:p>
        </w:tc>
        <w:tc>
          <w:tcPr>
            <w:tcW w:w="1060" w:type="dxa"/>
            <w:vAlign w:val="bottom"/>
            <w:tcBorders>
              <w:bottom w:val="single" w:sz="8" w:color="5673B8"/>
            </w:tcBorders>
          </w:tcPr>
          <w:p>
            <w:pPr>
              <w:spacing w:after="0" w:line="20" w:lineRule="exact"/>
              <w:rPr>
                <w:sz w:val="1"/>
                <w:szCs w:val="1"/>
                <w:color w:val="auto"/>
              </w:rPr>
            </w:pPr>
          </w:p>
        </w:tc>
        <w:tc>
          <w:tcPr>
            <w:tcW w:w="1080" w:type="dxa"/>
            <w:vAlign w:val="bottom"/>
            <w:tcBorders>
              <w:bottom w:val="single" w:sz="8" w:color="5673B8"/>
            </w:tcBorders>
          </w:tcPr>
          <w:p>
            <w:pPr>
              <w:spacing w:after="0" w:line="20" w:lineRule="exact"/>
              <w:rPr>
                <w:sz w:val="1"/>
                <w:szCs w:val="1"/>
                <w:color w:val="auto"/>
              </w:rPr>
            </w:pPr>
          </w:p>
        </w:tc>
      </w:tr>
      <w:tr>
        <w:trPr>
          <w:trHeight w:val="201"/>
        </w:trPr>
        <w:tc>
          <w:tcPr>
            <w:tcW w:w="600" w:type="dxa"/>
            <w:vAlign w:val="bottom"/>
          </w:tcPr>
          <w:p>
            <w:pPr>
              <w:ind w:left="100"/>
              <w:spacing w:after="0"/>
              <w:rPr>
                <w:sz w:val="20"/>
                <w:szCs w:val="20"/>
                <w:color w:val="auto"/>
              </w:rPr>
            </w:pPr>
            <w:r>
              <w:rPr>
                <w:rFonts w:ascii="Arial" w:cs="Arial" w:eastAsia="Arial" w:hAnsi="Arial"/>
                <w:sz w:val="14"/>
                <w:szCs w:val="14"/>
                <w:color w:val="auto"/>
              </w:rPr>
              <w:t>2024</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jc w:val="right"/>
              <w:ind w:right="57"/>
              <w:spacing w:after="0"/>
              <w:rPr>
                <w:sz w:val="20"/>
                <w:szCs w:val="20"/>
                <w:color w:val="auto"/>
              </w:rPr>
            </w:pPr>
            <w:r>
              <w:rPr>
                <w:rFonts w:ascii="Arial" w:cs="Arial" w:eastAsia="Arial" w:hAnsi="Arial"/>
                <w:sz w:val="14"/>
                <w:szCs w:val="14"/>
                <w:color w:val="auto"/>
              </w:rPr>
              <w:t>15,527,464</w:t>
            </w:r>
          </w:p>
        </w:tc>
        <w:tc>
          <w:tcPr>
            <w:tcW w:w="960" w:type="dxa"/>
            <w:vAlign w:val="bottom"/>
          </w:tcPr>
          <w:p>
            <w:pPr>
              <w:jc w:val="right"/>
              <w:spacing w:after="0"/>
              <w:rPr>
                <w:sz w:val="20"/>
                <w:szCs w:val="20"/>
                <w:color w:val="auto"/>
              </w:rPr>
            </w:pPr>
            <w:r>
              <w:rPr>
                <w:rFonts w:ascii="Arial" w:cs="Arial" w:eastAsia="Arial" w:hAnsi="Arial"/>
                <w:sz w:val="14"/>
                <w:szCs w:val="14"/>
                <w:color w:val="auto"/>
              </w:rPr>
              <w:t>17,262,015</w:t>
            </w:r>
          </w:p>
        </w:tc>
        <w:tc>
          <w:tcPr>
            <w:tcW w:w="1180" w:type="dxa"/>
            <w:vAlign w:val="bottom"/>
          </w:tcPr>
          <w:p>
            <w:pPr>
              <w:jc w:val="right"/>
              <w:ind w:right="77"/>
              <w:spacing w:after="0"/>
              <w:rPr>
                <w:sz w:val="20"/>
                <w:szCs w:val="20"/>
                <w:color w:val="auto"/>
              </w:rPr>
            </w:pPr>
            <w:r>
              <w:rPr>
                <w:rFonts w:ascii="Arial" w:cs="Arial" w:eastAsia="Arial" w:hAnsi="Arial"/>
                <w:sz w:val="14"/>
                <w:szCs w:val="14"/>
                <w:color w:val="auto"/>
              </w:rPr>
              <w:t>4,695,635</w:t>
            </w:r>
          </w:p>
        </w:tc>
        <w:tc>
          <w:tcPr>
            <w:tcW w:w="940" w:type="dxa"/>
            <w:vAlign w:val="bottom"/>
          </w:tcPr>
          <w:p>
            <w:pPr>
              <w:jc w:val="right"/>
              <w:spacing w:after="0"/>
              <w:rPr>
                <w:sz w:val="20"/>
                <w:szCs w:val="20"/>
                <w:color w:val="auto"/>
              </w:rPr>
            </w:pPr>
            <w:r>
              <w:rPr>
                <w:rFonts w:ascii="Arial" w:cs="Arial" w:eastAsia="Arial" w:hAnsi="Arial"/>
                <w:sz w:val="14"/>
                <w:szCs w:val="14"/>
                <w:color w:val="auto"/>
              </w:rPr>
              <w:t>5,200,146</w:t>
            </w:r>
          </w:p>
        </w:tc>
        <w:tc>
          <w:tcPr>
            <w:tcW w:w="1100" w:type="dxa"/>
            <w:vAlign w:val="bottom"/>
          </w:tcPr>
          <w:p>
            <w:pPr>
              <w:jc w:val="right"/>
              <w:spacing w:after="0"/>
              <w:rPr>
                <w:sz w:val="20"/>
                <w:szCs w:val="20"/>
                <w:color w:val="auto"/>
              </w:rPr>
            </w:pPr>
            <w:r>
              <w:rPr>
                <w:rFonts w:ascii="Arial" w:cs="Arial" w:eastAsia="Arial" w:hAnsi="Arial"/>
                <w:sz w:val="14"/>
                <w:szCs w:val="14"/>
                <w:color w:val="auto"/>
              </w:rPr>
              <w:t>74.61</w:t>
            </w:r>
          </w:p>
        </w:tc>
        <w:tc>
          <w:tcPr>
            <w:tcW w:w="1000" w:type="dxa"/>
            <w:vAlign w:val="bottom"/>
          </w:tcPr>
          <w:p>
            <w:pPr>
              <w:jc w:val="right"/>
              <w:spacing w:after="0"/>
              <w:rPr>
                <w:sz w:val="20"/>
                <w:szCs w:val="20"/>
                <w:color w:val="auto"/>
              </w:rPr>
            </w:pPr>
            <w:r>
              <w:rPr>
                <w:rFonts w:ascii="Arial" w:cs="Arial" w:eastAsia="Arial" w:hAnsi="Arial"/>
                <w:sz w:val="14"/>
                <w:szCs w:val="14"/>
                <w:color w:val="auto"/>
              </w:rPr>
              <w:t>93.49</w:t>
            </w:r>
          </w:p>
        </w:tc>
        <w:tc>
          <w:tcPr>
            <w:tcW w:w="1060" w:type="dxa"/>
            <w:vAlign w:val="bottom"/>
          </w:tcPr>
          <w:p>
            <w:pPr>
              <w:jc w:val="right"/>
              <w:spacing w:after="0"/>
              <w:rPr>
                <w:sz w:val="20"/>
                <w:szCs w:val="20"/>
                <w:color w:val="auto"/>
              </w:rPr>
            </w:pPr>
            <w:r>
              <w:rPr>
                <w:rFonts w:ascii="Arial" w:cs="Arial" w:eastAsia="Arial" w:hAnsi="Arial"/>
                <w:sz w:val="14"/>
                <w:szCs w:val="14"/>
                <w:color w:val="auto"/>
              </w:rPr>
              <w:t>560,120</w:t>
            </w:r>
          </w:p>
        </w:tc>
        <w:tc>
          <w:tcPr>
            <w:tcW w:w="1080" w:type="dxa"/>
            <w:vAlign w:val="bottom"/>
          </w:tcPr>
          <w:p>
            <w:pPr>
              <w:jc w:val="right"/>
              <w:spacing w:after="0"/>
              <w:rPr>
                <w:sz w:val="20"/>
                <w:szCs w:val="20"/>
                <w:color w:val="auto"/>
              </w:rPr>
            </w:pPr>
            <w:r>
              <w:rPr>
                <w:rFonts w:ascii="Arial" w:cs="Arial" w:eastAsia="Arial" w:hAnsi="Arial"/>
                <w:sz w:val="14"/>
                <w:szCs w:val="14"/>
                <w:color w:val="auto"/>
              </w:rPr>
              <w:t>4,068,950</w:t>
            </w:r>
          </w:p>
        </w:tc>
      </w:tr>
      <w:tr>
        <w:trPr>
          <w:trHeight w:val="22"/>
        </w:trPr>
        <w:tc>
          <w:tcPr>
            <w:tcW w:w="600" w:type="dxa"/>
            <w:vAlign w:val="bottom"/>
            <w:tcBorders>
              <w:bottom w:val="single" w:sz="8" w:color="5673B8"/>
            </w:tcBorders>
          </w:tcPr>
          <w:p>
            <w:pPr>
              <w:spacing w:after="0" w:line="20" w:lineRule="exact"/>
              <w:rPr>
                <w:sz w:val="1"/>
                <w:szCs w:val="1"/>
                <w:color w:val="auto"/>
              </w:rPr>
            </w:pPr>
          </w:p>
        </w:tc>
        <w:tc>
          <w:tcPr>
            <w:tcW w:w="1060" w:type="dxa"/>
            <w:vAlign w:val="bottom"/>
            <w:tcBorders>
              <w:bottom w:val="single" w:sz="8" w:color="5673B8"/>
            </w:tcBorders>
          </w:tcPr>
          <w:p>
            <w:pPr>
              <w:spacing w:after="0" w:line="20" w:lineRule="exact"/>
              <w:rPr>
                <w:sz w:val="1"/>
                <w:szCs w:val="1"/>
                <w:color w:val="auto"/>
              </w:rPr>
            </w:pPr>
          </w:p>
        </w:tc>
        <w:tc>
          <w:tcPr>
            <w:tcW w:w="1200" w:type="dxa"/>
            <w:vAlign w:val="bottom"/>
            <w:tcBorders>
              <w:bottom w:val="single" w:sz="8" w:color="5673B8"/>
            </w:tcBorders>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960" w:type="dxa"/>
            <w:vAlign w:val="bottom"/>
            <w:tcBorders>
              <w:bottom w:val="single" w:sz="8" w:color="5673B8"/>
            </w:tcBorders>
          </w:tcPr>
          <w:p>
            <w:pPr>
              <w:spacing w:after="0" w:line="20" w:lineRule="exact"/>
              <w:rPr>
                <w:sz w:val="1"/>
                <w:szCs w:val="1"/>
                <w:color w:val="auto"/>
              </w:rPr>
            </w:pPr>
          </w:p>
        </w:tc>
        <w:tc>
          <w:tcPr>
            <w:tcW w:w="1180" w:type="dxa"/>
            <w:vAlign w:val="bottom"/>
            <w:tcBorders>
              <w:bottom w:val="single" w:sz="8" w:color="5673B8"/>
            </w:tcBorders>
          </w:tcPr>
          <w:p>
            <w:pPr>
              <w:spacing w:after="0" w:line="20" w:lineRule="exact"/>
              <w:rPr>
                <w:sz w:val="1"/>
                <w:szCs w:val="1"/>
                <w:color w:val="auto"/>
              </w:rPr>
            </w:pPr>
          </w:p>
        </w:tc>
        <w:tc>
          <w:tcPr>
            <w:tcW w:w="940" w:type="dxa"/>
            <w:vAlign w:val="bottom"/>
            <w:tcBorders>
              <w:bottom w:val="single" w:sz="8" w:color="5673B8"/>
            </w:tcBorders>
          </w:tcPr>
          <w:p>
            <w:pPr>
              <w:spacing w:after="0" w:line="20" w:lineRule="exact"/>
              <w:rPr>
                <w:sz w:val="1"/>
                <w:szCs w:val="1"/>
                <w:color w:val="auto"/>
              </w:rPr>
            </w:pPr>
          </w:p>
        </w:tc>
        <w:tc>
          <w:tcPr>
            <w:tcW w:w="1100" w:type="dxa"/>
            <w:vAlign w:val="bottom"/>
            <w:tcBorders>
              <w:bottom w:val="single" w:sz="8" w:color="5673B8"/>
            </w:tcBorders>
          </w:tcPr>
          <w:p>
            <w:pPr>
              <w:spacing w:after="0" w:line="20" w:lineRule="exact"/>
              <w:rPr>
                <w:sz w:val="1"/>
                <w:szCs w:val="1"/>
                <w:color w:val="auto"/>
              </w:rPr>
            </w:pPr>
          </w:p>
        </w:tc>
        <w:tc>
          <w:tcPr>
            <w:tcW w:w="1000" w:type="dxa"/>
            <w:vAlign w:val="bottom"/>
            <w:tcBorders>
              <w:bottom w:val="single" w:sz="8" w:color="5673B8"/>
            </w:tcBorders>
          </w:tcPr>
          <w:p>
            <w:pPr>
              <w:spacing w:after="0" w:line="20" w:lineRule="exact"/>
              <w:rPr>
                <w:sz w:val="1"/>
                <w:szCs w:val="1"/>
                <w:color w:val="auto"/>
              </w:rPr>
            </w:pPr>
          </w:p>
        </w:tc>
        <w:tc>
          <w:tcPr>
            <w:tcW w:w="1060" w:type="dxa"/>
            <w:vAlign w:val="bottom"/>
            <w:tcBorders>
              <w:bottom w:val="single" w:sz="8" w:color="5673B8"/>
            </w:tcBorders>
          </w:tcPr>
          <w:p>
            <w:pPr>
              <w:spacing w:after="0" w:line="20" w:lineRule="exact"/>
              <w:rPr>
                <w:sz w:val="1"/>
                <w:szCs w:val="1"/>
                <w:color w:val="auto"/>
              </w:rPr>
            </w:pPr>
          </w:p>
        </w:tc>
        <w:tc>
          <w:tcPr>
            <w:tcW w:w="1080" w:type="dxa"/>
            <w:vAlign w:val="bottom"/>
            <w:tcBorders>
              <w:bottom w:val="single" w:sz="8" w:color="5673B8"/>
            </w:tcBorders>
          </w:tcPr>
          <w:p>
            <w:pPr>
              <w:spacing w:after="0" w:line="20" w:lineRule="exact"/>
              <w:rPr>
                <w:sz w:val="1"/>
                <w:szCs w:val="1"/>
                <w:color w:val="auto"/>
              </w:rPr>
            </w:pPr>
          </w:p>
        </w:tc>
      </w:tr>
      <w:tr>
        <w:trPr>
          <w:trHeight w:val="202"/>
        </w:trPr>
        <w:tc>
          <w:tcPr>
            <w:tcW w:w="600" w:type="dxa"/>
            <w:vAlign w:val="bottom"/>
          </w:tcPr>
          <w:p>
            <w:pPr>
              <w:ind w:left="100"/>
              <w:spacing w:after="0"/>
              <w:rPr>
                <w:sz w:val="20"/>
                <w:szCs w:val="20"/>
                <w:color w:val="auto"/>
              </w:rPr>
            </w:pPr>
            <w:r>
              <w:rPr>
                <w:rFonts w:ascii="Arial" w:cs="Arial" w:eastAsia="Arial" w:hAnsi="Arial"/>
                <w:sz w:val="14"/>
                <w:szCs w:val="14"/>
                <w:color w:val="auto"/>
              </w:rPr>
              <w:t>2023</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jc w:val="right"/>
              <w:ind w:right="57"/>
              <w:spacing w:after="0"/>
              <w:rPr>
                <w:sz w:val="20"/>
                <w:szCs w:val="20"/>
                <w:color w:val="auto"/>
              </w:rPr>
            </w:pPr>
            <w:r>
              <w:rPr>
                <w:rFonts w:ascii="Arial" w:cs="Arial" w:eastAsia="Arial" w:hAnsi="Arial"/>
                <w:sz w:val="14"/>
                <w:szCs w:val="14"/>
                <w:color w:val="auto"/>
              </w:rPr>
              <w:t>15,341,235</w:t>
            </w:r>
          </w:p>
        </w:tc>
        <w:tc>
          <w:tcPr>
            <w:tcW w:w="960" w:type="dxa"/>
            <w:vAlign w:val="bottom"/>
          </w:tcPr>
          <w:p>
            <w:pPr>
              <w:jc w:val="right"/>
              <w:spacing w:after="0"/>
              <w:rPr>
                <w:sz w:val="20"/>
                <w:szCs w:val="20"/>
                <w:color w:val="auto"/>
              </w:rPr>
            </w:pPr>
            <w:r>
              <w:rPr>
                <w:rFonts w:ascii="Arial" w:cs="Arial" w:eastAsia="Arial" w:hAnsi="Arial"/>
                <w:sz w:val="14"/>
                <w:szCs w:val="14"/>
                <w:color w:val="auto"/>
              </w:rPr>
              <w:t>(2,503,427)</w:t>
            </w:r>
          </w:p>
        </w:tc>
        <w:tc>
          <w:tcPr>
            <w:tcW w:w="1180" w:type="dxa"/>
            <w:vAlign w:val="bottom"/>
          </w:tcPr>
          <w:p>
            <w:pPr>
              <w:jc w:val="right"/>
              <w:ind w:right="77"/>
              <w:spacing w:after="0"/>
              <w:rPr>
                <w:sz w:val="20"/>
                <w:szCs w:val="20"/>
                <w:color w:val="auto"/>
              </w:rPr>
            </w:pPr>
            <w:r>
              <w:rPr>
                <w:rFonts w:ascii="Arial" w:cs="Arial" w:eastAsia="Arial" w:hAnsi="Arial"/>
                <w:sz w:val="14"/>
                <w:szCs w:val="14"/>
                <w:color w:val="auto"/>
              </w:rPr>
              <w:t>4,231,034</w:t>
            </w:r>
          </w:p>
        </w:tc>
        <w:tc>
          <w:tcPr>
            <w:tcW w:w="940" w:type="dxa"/>
            <w:vAlign w:val="bottom"/>
          </w:tcPr>
          <w:p>
            <w:pPr>
              <w:jc w:val="right"/>
              <w:spacing w:after="0"/>
              <w:rPr>
                <w:sz w:val="20"/>
                <w:szCs w:val="20"/>
                <w:color w:val="auto"/>
              </w:rPr>
            </w:pPr>
            <w:r>
              <w:rPr>
                <w:rFonts w:ascii="Arial" w:cs="Arial" w:eastAsia="Arial" w:hAnsi="Arial"/>
                <w:sz w:val="14"/>
                <w:szCs w:val="14"/>
                <w:color w:val="auto"/>
              </w:rPr>
              <w:t>208,193</w:t>
            </w:r>
          </w:p>
        </w:tc>
        <w:tc>
          <w:tcPr>
            <w:tcW w:w="1100" w:type="dxa"/>
            <w:vAlign w:val="bottom"/>
          </w:tcPr>
          <w:p>
            <w:pPr>
              <w:jc w:val="right"/>
              <w:spacing w:after="0"/>
              <w:rPr>
                <w:sz w:val="20"/>
                <w:szCs w:val="20"/>
                <w:color w:val="auto"/>
              </w:rPr>
            </w:pPr>
            <w:r>
              <w:rPr>
                <w:rFonts w:ascii="Arial" w:cs="Arial" w:eastAsia="Arial" w:hAnsi="Arial"/>
                <w:sz w:val="14"/>
                <w:szCs w:val="14"/>
                <w:color w:val="auto"/>
              </w:rPr>
              <w:t>74.52</w:t>
            </w:r>
          </w:p>
        </w:tc>
        <w:tc>
          <w:tcPr>
            <w:tcW w:w="1000" w:type="dxa"/>
            <w:vAlign w:val="bottom"/>
          </w:tcPr>
          <w:p>
            <w:pPr>
              <w:jc w:val="right"/>
              <w:spacing w:after="0"/>
              <w:rPr>
                <w:sz w:val="20"/>
                <w:szCs w:val="20"/>
                <w:color w:val="auto"/>
              </w:rPr>
            </w:pPr>
            <w:r>
              <w:rPr>
                <w:rFonts w:ascii="Arial" w:cs="Arial" w:eastAsia="Arial" w:hAnsi="Arial"/>
                <w:sz w:val="14"/>
                <w:szCs w:val="14"/>
                <w:color w:val="auto"/>
              </w:rPr>
              <w:t>94.03</w:t>
            </w:r>
          </w:p>
        </w:tc>
        <w:tc>
          <w:tcPr>
            <w:tcW w:w="1060" w:type="dxa"/>
            <w:vAlign w:val="bottom"/>
          </w:tcPr>
          <w:p>
            <w:pPr>
              <w:jc w:val="right"/>
              <w:spacing w:after="0"/>
              <w:rPr>
                <w:sz w:val="20"/>
                <w:szCs w:val="20"/>
                <w:color w:val="auto"/>
              </w:rPr>
            </w:pPr>
            <w:r>
              <w:rPr>
                <w:rFonts w:ascii="Arial" w:cs="Arial" w:eastAsia="Arial" w:hAnsi="Arial"/>
                <w:sz w:val="14"/>
                <w:szCs w:val="14"/>
                <w:color w:val="auto"/>
              </w:rPr>
              <w:t>414,832</w:t>
            </w:r>
          </w:p>
        </w:tc>
        <w:tc>
          <w:tcPr>
            <w:tcW w:w="1080" w:type="dxa"/>
            <w:vAlign w:val="bottom"/>
          </w:tcPr>
          <w:p>
            <w:pPr>
              <w:jc w:val="right"/>
              <w:spacing w:after="0"/>
              <w:rPr>
                <w:sz w:val="20"/>
                <w:szCs w:val="20"/>
                <w:color w:val="auto"/>
              </w:rPr>
            </w:pPr>
            <w:r>
              <w:rPr>
                <w:rFonts w:ascii="Arial" w:cs="Arial" w:eastAsia="Arial" w:hAnsi="Arial"/>
                <w:sz w:val="14"/>
                <w:szCs w:val="14"/>
                <w:color w:val="auto"/>
              </w:rPr>
              <w:t>3,834,204</w:t>
            </w:r>
          </w:p>
        </w:tc>
      </w:tr>
      <w:tr>
        <w:trPr>
          <w:trHeight w:val="22"/>
        </w:trPr>
        <w:tc>
          <w:tcPr>
            <w:tcW w:w="600" w:type="dxa"/>
            <w:vAlign w:val="bottom"/>
            <w:tcBorders>
              <w:bottom w:val="single" w:sz="8" w:color="5673B8"/>
            </w:tcBorders>
          </w:tcPr>
          <w:p>
            <w:pPr>
              <w:spacing w:after="0" w:line="20" w:lineRule="exact"/>
              <w:rPr>
                <w:sz w:val="1"/>
                <w:szCs w:val="1"/>
                <w:color w:val="auto"/>
              </w:rPr>
            </w:pPr>
          </w:p>
        </w:tc>
        <w:tc>
          <w:tcPr>
            <w:tcW w:w="1060" w:type="dxa"/>
            <w:vAlign w:val="bottom"/>
            <w:tcBorders>
              <w:bottom w:val="single" w:sz="8" w:color="5673B8"/>
            </w:tcBorders>
          </w:tcPr>
          <w:p>
            <w:pPr>
              <w:spacing w:after="0" w:line="20" w:lineRule="exact"/>
              <w:rPr>
                <w:sz w:val="1"/>
                <w:szCs w:val="1"/>
                <w:color w:val="auto"/>
              </w:rPr>
            </w:pPr>
          </w:p>
        </w:tc>
        <w:tc>
          <w:tcPr>
            <w:tcW w:w="1200" w:type="dxa"/>
            <w:vAlign w:val="bottom"/>
            <w:tcBorders>
              <w:bottom w:val="single" w:sz="8" w:color="5673B8"/>
            </w:tcBorders>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960" w:type="dxa"/>
            <w:vAlign w:val="bottom"/>
            <w:tcBorders>
              <w:bottom w:val="single" w:sz="8" w:color="5673B8"/>
            </w:tcBorders>
          </w:tcPr>
          <w:p>
            <w:pPr>
              <w:spacing w:after="0" w:line="20" w:lineRule="exact"/>
              <w:rPr>
                <w:sz w:val="1"/>
                <w:szCs w:val="1"/>
                <w:color w:val="auto"/>
              </w:rPr>
            </w:pPr>
          </w:p>
        </w:tc>
        <w:tc>
          <w:tcPr>
            <w:tcW w:w="1180" w:type="dxa"/>
            <w:vAlign w:val="bottom"/>
            <w:tcBorders>
              <w:bottom w:val="single" w:sz="8" w:color="5673B8"/>
            </w:tcBorders>
          </w:tcPr>
          <w:p>
            <w:pPr>
              <w:spacing w:after="0" w:line="20" w:lineRule="exact"/>
              <w:rPr>
                <w:sz w:val="1"/>
                <w:szCs w:val="1"/>
                <w:color w:val="auto"/>
              </w:rPr>
            </w:pPr>
          </w:p>
        </w:tc>
        <w:tc>
          <w:tcPr>
            <w:tcW w:w="940" w:type="dxa"/>
            <w:vAlign w:val="bottom"/>
            <w:tcBorders>
              <w:bottom w:val="single" w:sz="8" w:color="5673B8"/>
            </w:tcBorders>
          </w:tcPr>
          <w:p>
            <w:pPr>
              <w:spacing w:after="0" w:line="20" w:lineRule="exact"/>
              <w:rPr>
                <w:sz w:val="1"/>
                <w:szCs w:val="1"/>
                <w:color w:val="auto"/>
              </w:rPr>
            </w:pPr>
          </w:p>
        </w:tc>
        <w:tc>
          <w:tcPr>
            <w:tcW w:w="1100" w:type="dxa"/>
            <w:vAlign w:val="bottom"/>
            <w:tcBorders>
              <w:bottom w:val="single" w:sz="8" w:color="5673B8"/>
            </w:tcBorders>
          </w:tcPr>
          <w:p>
            <w:pPr>
              <w:spacing w:after="0" w:line="20" w:lineRule="exact"/>
              <w:rPr>
                <w:sz w:val="1"/>
                <w:szCs w:val="1"/>
                <w:color w:val="auto"/>
              </w:rPr>
            </w:pPr>
          </w:p>
        </w:tc>
        <w:tc>
          <w:tcPr>
            <w:tcW w:w="1000" w:type="dxa"/>
            <w:vAlign w:val="bottom"/>
            <w:tcBorders>
              <w:bottom w:val="single" w:sz="8" w:color="5673B8"/>
            </w:tcBorders>
          </w:tcPr>
          <w:p>
            <w:pPr>
              <w:spacing w:after="0" w:line="20" w:lineRule="exact"/>
              <w:rPr>
                <w:sz w:val="1"/>
                <w:szCs w:val="1"/>
                <w:color w:val="auto"/>
              </w:rPr>
            </w:pPr>
          </w:p>
        </w:tc>
        <w:tc>
          <w:tcPr>
            <w:tcW w:w="1060" w:type="dxa"/>
            <w:vAlign w:val="bottom"/>
            <w:tcBorders>
              <w:bottom w:val="single" w:sz="8" w:color="5673B8"/>
            </w:tcBorders>
          </w:tcPr>
          <w:p>
            <w:pPr>
              <w:spacing w:after="0" w:line="20" w:lineRule="exact"/>
              <w:rPr>
                <w:sz w:val="1"/>
                <w:szCs w:val="1"/>
                <w:color w:val="auto"/>
              </w:rPr>
            </w:pPr>
          </w:p>
        </w:tc>
        <w:tc>
          <w:tcPr>
            <w:tcW w:w="1080" w:type="dxa"/>
            <w:vAlign w:val="bottom"/>
            <w:tcBorders>
              <w:bottom w:val="single" w:sz="8" w:color="5673B8"/>
            </w:tcBorders>
          </w:tcPr>
          <w:p>
            <w:pPr>
              <w:spacing w:after="0" w:line="20" w:lineRule="exact"/>
              <w:rPr>
                <w:sz w:val="1"/>
                <w:szCs w:val="1"/>
                <w:color w:val="auto"/>
              </w:rPr>
            </w:pPr>
          </w:p>
        </w:tc>
      </w:tr>
      <w:tr>
        <w:trPr>
          <w:trHeight w:val="201"/>
        </w:trPr>
        <w:tc>
          <w:tcPr>
            <w:tcW w:w="600" w:type="dxa"/>
            <w:vAlign w:val="bottom"/>
          </w:tcPr>
          <w:p>
            <w:pPr>
              <w:ind w:left="100"/>
              <w:spacing w:after="0"/>
              <w:rPr>
                <w:sz w:val="20"/>
                <w:szCs w:val="20"/>
                <w:color w:val="auto"/>
              </w:rPr>
            </w:pPr>
            <w:r>
              <w:rPr>
                <w:rFonts w:ascii="Arial" w:cs="Arial" w:eastAsia="Arial" w:hAnsi="Arial"/>
                <w:sz w:val="14"/>
                <w:szCs w:val="14"/>
                <w:color w:val="auto"/>
              </w:rPr>
              <w:t>2022</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jc w:val="right"/>
              <w:ind w:right="57"/>
              <w:spacing w:after="0"/>
              <w:rPr>
                <w:sz w:val="20"/>
                <w:szCs w:val="20"/>
                <w:color w:val="auto"/>
              </w:rPr>
            </w:pPr>
            <w:r>
              <w:rPr>
                <w:rFonts w:ascii="Arial" w:cs="Arial" w:eastAsia="Arial" w:hAnsi="Arial"/>
                <w:sz w:val="14"/>
                <w:szCs w:val="14"/>
                <w:color w:val="auto"/>
              </w:rPr>
              <w:t>17,325,618</w:t>
            </w:r>
          </w:p>
        </w:tc>
        <w:tc>
          <w:tcPr>
            <w:tcW w:w="960" w:type="dxa"/>
            <w:vAlign w:val="bottom"/>
          </w:tcPr>
          <w:p>
            <w:pPr>
              <w:jc w:val="right"/>
              <w:spacing w:after="0"/>
              <w:rPr>
                <w:sz w:val="20"/>
                <w:szCs w:val="20"/>
                <w:color w:val="auto"/>
              </w:rPr>
            </w:pPr>
            <w:r>
              <w:rPr>
                <w:rFonts w:ascii="Arial" w:cs="Arial" w:eastAsia="Arial" w:hAnsi="Arial"/>
                <w:sz w:val="14"/>
                <w:szCs w:val="14"/>
                <w:color w:val="auto"/>
              </w:rPr>
              <w:t>26,315,005</w:t>
            </w:r>
          </w:p>
        </w:tc>
        <w:tc>
          <w:tcPr>
            <w:tcW w:w="1180" w:type="dxa"/>
            <w:vAlign w:val="bottom"/>
          </w:tcPr>
          <w:p>
            <w:pPr>
              <w:jc w:val="right"/>
              <w:ind w:right="77"/>
              <w:spacing w:after="0"/>
              <w:rPr>
                <w:sz w:val="20"/>
                <w:szCs w:val="20"/>
                <w:color w:val="auto"/>
              </w:rPr>
            </w:pPr>
            <w:r>
              <w:rPr>
                <w:rFonts w:ascii="Arial" w:cs="Arial" w:eastAsia="Arial" w:hAnsi="Arial"/>
                <w:sz w:val="14"/>
                <w:szCs w:val="14"/>
                <w:color w:val="auto"/>
              </w:rPr>
              <w:t>5,035,509</w:t>
            </w:r>
          </w:p>
        </w:tc>
        <w:tc>
          <w:tcPr>
            <w:tcW w:w="940" w:type="dxa"/>
            <w:vAlign w:val="bottom"/>
          </w:tcPr>
          <w:p>
            <w:pPr>
              <w:jc w:val="right"/>
              <w:spacing w:after="0"/>
              <w:rPr>
                <w:sz w:val="20"/>
                <w:szCs w:val="20"/>
                <w:color w:val="auto"/>
              </w:rPr>
            </w:pPr>
            <w:r>
              <w:rPr>
                <w:rFonts w:ascii="Arial" w:cs="Arial" w:eastAsia="Arial" w:hAnsi="Arial"/>
                <w:sz w:val="14"/>
                <w:szCs w:val="14"/>
                <w:color w:val="auto"/>
              </w:rPr>
              <w:t>7,254,180</w:t>
            </w:r>
          </w:p>
        </w:tc>
        <w:tc>
          <w:tcPr>
            <w:tcW w:w="1100" w:type="dxa"/>
            <w:vAlign w:val="bottom"/>
          </w:tcPr>
          <w:p>
            <w:pPr>
              <w:jc w:val="right"/>
              <w:spacing w:after="0"/>
              <w:rPr>
                <w:sz w:val="20"/>
                <w:szCs w:val="20"/>
                <w:color w:val="auto"/>
              </w:rPr>
            </w:pPr>
            <w:r>
              <w:rPr>
                <w:rFonts w:ascii="Arial" w:cs="Arial" w:eastAsia="Arial" w:hAnsi="Arial"/>
                <w:sz w:val="14"/>
                <w:szCs w:val="14"/>
                <w:color w:val="auto"/>
              </w:rPr>
              <w:t>96.52</w:t>
            </w:r>
          </w:p>
        </w:tc>
        <w:tc>
          <w:tcPr>
            <w:tcW w:w="1000" w:type="dxa"/>
            <w:vAlign w:val="bottom"/>
          </w:tcPr>
          <w:p>
            <w:pPr>
              <w:jc w:val="right"/>
              <w:spacing w:after="0"/>
              <w:rPr>
                <w:sz w:val="20"/>
                <w:szCs w:val="20"/>
                <w:color w:val="auto"/>
              </w:rPr>
            </w:pPr>
            <w:r>
              <w:rPr>
                <w:rFonts w:ascii="Arial" w:cs="Arial" w:eastAsia="Arial" w:hAnsi="Arial"/>
                <w:sz w:val="14"/>
                <w:szCs w:val="14"/>
                <w:color w:val="auto"/>
              </w:rPr>
              <w:t>89.90</w:t>
            </w:r>
          </w:p>
        </w:tc>
        <w:tc>
          <w:tcPr>
            <w:tcW w:w="1060" w:type="dxa"/>
            <w:vAlign w:val="bottom"/>
          </w:tcPr>
          <w:p>
            <w:pPr>
              <w:jc w:val="right"/>
              <w:spacing w:after="0"/>
              <w:rPr>
                <w:sz w:val="20"/>
                <w:szCs w:val="20"/>
                <w:color w:val="auto"/>
              </w:rPr>
            </w:pPr>
            <w:r>
              <w:rPr>
                <w:rFonts w:ascii="Arial" w:cs="Arial" w:eastAsia="Arial" w:hAnsi="Arial"/>
                <w:sz w:val="14"/>
                <w:szCs w:val="14"/>
                <w:color w:val="auto"/>
              </w:rPr>
              <w:t>(224,060)</w:t>
            </w:r>
          </w:p>
        </w:tc>
        <w:tc>
          <w:tcPr>
            <w:tcW w:w="1080" w:type="dxa"/>
            <w:vAlign w:val="bottom"/>
          </w:tcPr>
          <w:p>
            <w:pPr>
              <w:jc w:val="right"/>
              <w:spacing w:after="0"/>
              <w:rPr>
                <w:sz w:val="20"/>
                <w:szCs w:val="20"/>
                <w:color w:val="auto"/>
              </w:rPr>
            </w:pPr>
            <w:r>
              <w:rPr>
                <w:rFonts w:ascii="Arial" w:cs="Arial" w:eastAsia="Arial" w:hAnsi="Arial"/>
                <w:sz w:val="14"/>
                <w:szCs w:val="14"/>
                <w:color w:val="auto"/>
              </w:rPr>
              <w:t>3,659,374</w:t>
            </w:r>
          </w:p>
        </w:tc>
      </w:tr>
      <w:tr>
        <w:trPr>
          <w:trHeight w:val="22"/>
        </w:trPr>
        <w:tc>
          <w:tcPr>
            <w:tcW w:w="600" w:type="dxa"/>
            <w:vAlign w:val="bottom"/>
            <w:tcBorders>
              <w:bottom w:val="single" w:sz="8" w:color="5673B8"/>
            </w:tcBorders>
          </w:tcPr>
          <w:p>
            <w:pPr>
              <w:spacing w:after="0" w:line="20" w:lineRule="exact"/>
              <w:rPr>
                <w:sz w:val="1"/>
                <w:szCs w:val="1"/>
                <w:color w:val="auto"/>
              </w:rPr>
            </w:pPr>
          </w:p>
        </w:tc>
        <w:tc>
          <w:tcPr>
            <w:tcW w:w="1060" w:type="dxa"/>
            <w:vAlign w:val="bottom"/>
            <w:tcBorders>
              <w:bottom w:val="single" w:sz="8" w:color="5673B8"/>
            </w:tcBorders>
          </w:tcPr>
          <w:p>
            <w:pPr>
              <w:spacing w:after="0" w:line="20" w:lineRule="exact"/>
              <w:rPr>
                <w:sz w:val="1"/>
                <w:szCs w:val="1"/>
                <w:color w:val="auto"/>
              </w:rPr>
            </w:pPr>
          </w:p>
        </w:tc>
        <w:tc>
          <w:tcPr>
            <w:tcW w:w="1200" w:type="dxa"/>
            <w:vAlign w:val="bottom"/>
            <w:tcBorders>
              <w:bottom w:val="single" w:sz="8" w:color="5673B8"/>
            </w:tcBorders>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960" w:type="dxa"/>
            <w:vAlign w:val="bottom"/>
            <w:tcBorders>
              <w:bottom w:val="single" w:sz="8" w:color="5673B8"/>
            </w:tcBorders>
          </w:tcPr>
          <w:p>
            <w:pPr>
              <w:spacing w:after="0" w:line="20" w:lineRule="exact"/>
              <w:rPr>
                <w:sz w:val="1"/>
                <w:szCs w:val="1"/>
                <w:color w:val="auto"/>
              </w:rPr>
            </w:pPr>
          </w:p>
        </w:tc>
        <w:tc>
          <w:tcPr>
            <w:tcW w:w="1180" w:type="dxa"/>
            <w:vAlign w:val="bottom"/>
            <w:tcBorders>
              <w:bottom w:val="single" w:sz="8" w:color="5673B8"/>
            </w:tcBorders>
          </w:tcPr>
          <w:p>
            <w:pPr>
              <w:spacing w:after="0" w:line="20" w:lineRule="exact"/>
              <w:rPr>
                <w:sz w:val="1"/>
                <w:szCs w:val="1"/>
                <w:color w:val="auto"/>
              </w:rPr>
            </w:pPr>
          </w:p>
        </w:tc>
        <w:tc>
          <w:tcPr>
            <w:tcW w:w="940" w:type="dxa"/>
            <w:vAlign w:val="bottom"/>
            <w:tcBorders>
              <w:bottom w:val="single" w:sz="8" w:color="5673B8"/>
            </w:tcBorders>
          </w:tcPr>
          <w:p>
            <w:pPr>
              <w:spacing w:after="0" w:line="20" w:lineRule="exact"/>
              <w:rPr>
                <w:sz w:val="1"/>
                <w:szCs w:val="1"/>
                <w:color w:val="auto"/>
              </w:rPr>
            </w:pPr>
          </w:p>
        </w:tc>
        <w:tc>
          <w:tcPr>
            <w:tcW w:w="1100" w:type="dxa"/>
            <w:vAlign w:val="bottom"/>
            <w:tcBorders>
              <w:bottom w:val="single" w:sz="8" w:color="5673B8"/>
            </w:tcBorders>
          </w:tcPr>
          <w:p>
            <w:pPr>
              <w:spacing w:after="0" w:line="20" w:lineRule="exact"/>
              <w:rPr>
                <w:sz w:val="1"/>
                <w:szCs w:val="1"/>
                <w:color w:val="auto"/>
              </w:rPr>
            </w:pPr>
          </w:p>
        </w:tc>
        <w:tc>
          <w:tcPr>
            <w:tcW w:w="1000" w:type="dxa"/>
            <w:vAlign w:val="bottom"/>
            <w:tcBorders>
              <w:bottom w:val="single" w:sz="8" w:color="5673B8"/>
            </w:tcBorders>
          </w:tcPr>
          <w:p>
            <w:pPr>
              <w:spacing w:after="0" w:line="20" w:lineRule="exact"/>
              <w:rPr>
                <w:sz w:val="1"/>
                <w:szCs w:val="1"/>
                <w:color w:val="auto"/>
              </w:rPr>
            </w:pPr>
          </w:p>
        </w:tc>
        <w:tc>
          <w:tcPr>
            <w:tcW w:w="1060" w:type="dxa"/>
            <w:vAlign w:val="bottom"/>
            <w:tcBorders>
              <w:bottom w:val="single" w:sz="8" w:color="5673B8"/>
            </w:tcBorders>
          </w:tcPr>
          <w:p>
            <w:pPr>
              <w:spacing w:after="0" w:line="20" w:lineRule="exact"/>
              <w:rPr>
                <w:sz w:val="1"/>
                <w:szCs w:val="1"/>
                <w:color w:val="auto"/>
              </w:rPr>
            </w:pPr>
          </w:p>
        </w:tc>
        <w:tc>
          <w:tcPr>
            <w:tcW w:w="1080" w:type="dxa"/>
            <w:vAlign w:val="bottom"/>
            <w:tcBorders>
              <w:bottom w:val="single" w:sz="8" w:color="5673B8"/>
            </w:tcBorders>
          </w:tcPr>
          <w:p>
            <w:pPr>
              <w:spacing w:after="0" w:line="20" w:lineRule="exact"/>
              <w:rPr>
                <w:sz w:val="1"/>
                <w:szCs w:val="1"/>
                <w:color w:val="auto"/>
              </w:rPr>
            </w:pPr>
          </w:p>
        </w:tc>
      </w:tr>
      <w:tr>
        <w:trPr>
          <w:trHeight w:val="201"/>
        </w:trPr>
        <w:tc>
          <w:tcPr>
            <w:tcW w:w="600" w:type="dxa"/>
            <w:vAlign w:val="bottom"/>
          </w:tcPr>
          <w:p>
            <w:pPr>
              <w:ind w:left="100"/>
              <w:spacing w:after="0"/>
              <w:rPr>
                <w:sz w:val="20"/>
                <w:szCs w:val="20"/>
                <w:color w:val="auto"/>
              </w:rPr>
            </w:pPr>
            <w:r>
              <w:rPr>
                <w:rFonts w:ascii="Arial" w:cs="Arial" w:eastAsia="Arial" w:hAnsi="Arial"/>
                <w:sz w:val="14"/>
                <w:szCs w:val="14"/>
                <w:color w:val="auto"/>
              </w:rPr>
              <w:t>2021</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jc w:val="right"/>
              <w:ind w:right="57"/>
              <w:spacing w:after="0"/>
              <w:rPr>
                <w:sz w:val="20"/>
                <w:szCs w:val="20"/>
                <w:color w:val="auto"/>
              </w:rPr>
            </w:pPr>
            <w:r>
              <w:rPr>
                <w:rFonts w:ascii="Arial" w:cs="Arial" w:eastAsia="Arial" w:hAnsi="Arial"/>
                <w:sz w:val="14"/>
                <w:szCs w:val="14"/>
                <w:color w:val="auto"/>
              </w:rPr>
              <w:t>15,679,311</w:t>
            </w:r>
          </w:p>
        </w:tc>
        <w:tc>
          <w:tcPr>
            <w:tcW w:w="960" w:type="dxa"/>
            <w:vAlign w:val="bottom"/>
          </w:tcPr>
          <w:p>
            <w:pPr>
              <w:jc w:val="right"/>
              <w:spacing w:after="0"/>
              <w:rPr>
                <w:sz w:val="20"/>
                <w:szCs w:val="20"/>
                <w:color w:val="auto"/>
              </w:rPr>
            </w:pPr>
            <w:r>
              <w:rPr>
                <w:rFonts w:ascii="Arial" w:cs="Arial" w:eastAsia="Arial" w:hAnsi="Arial"/>
                <w:sz w:val="14"/>
                <w:szCs w:val="14"/>
                <w:color w:val="auto"/>
              </w:rPr>
              <w:t>4,921,238</w:t>
            </w:r>
          </w:p>
        </w:tc>
        <w:tc>
          <w:tcPr>
            <w:tcW w:w="1180" w:type="dxa"/>
            <w:vAlign w:val="bottom"/>
          </w:tcPr>
          <w:p>
            <w:pPr>
              <w:jc w:val="right"/>
              <w:ind w:right="77"/>
              <w:spacing w:after="0"/>
              <w:rPr>
                <w:sz w:val="20"/>
                <w:szCs w:val="20"/>
                <w:color w:val="auto"/>
              </w:rPr>
            </w:pPr>
            <w:r>
              <w:rPr>
                <w:rFonts w:ascii="Arial" w:cs="Arial" w:eastAsia="Arial" w:hAnsi="Arial"/>
                <w:sz w:val="14"/>
                <w:szCs w:val="14"/>
                <w:color w:val="auto"/>
              </w:rPr>
              <w:t>4,544,613</w:t>
            </w:r>
          </w:p>
        </w:tc>
        <w:tc>
          <w:tcPr>
            <w:tcW w:w="940" w:type="dxa"/>
            <w:vAlign w:val="bottom"/>
          </w:tcPr>
          <w:p>
            <w:pPr>
              <w:jc w:val="right"/>
              <w:spacing w:after="0"/>
              <w:rPr>
                <w:sz w:val="20"/>
                <w:szCs w:val="20"/>
                <w:color w:val="auto"/>
              </w:rPr>
            </w:pPr>
            <w:r>
              <w:rPr>
                <w:rFonts w:ascii="Arial" w:cs="Arial" w:eastAsia="Arial" w:hAnsi="Arial"/>
                <w:sz w:val="14"/>
                <w:szCs w:val="14"/>
                <w:color w:val="auto"/>
              </w:rPr>
              <w:t>2,655,063</w:t>
            </w:r>
          </w:p>
        </w:tc>
        <w:tc>
          <w:tcPr>
            <w:tcW w:w="1100" w:type="dxa"/>
            <w:vAlign w:val="bottom"/>
          </w:tcPr>
          <w:p>
            <w:pPr>
              <w:jc w:val="right"/>
              <w:spacing w:after="0"/>
              <w:rPr>
                <w:sz w:val="20"/>
                <w:szCs w:val="20"/>
                <w:color w:val="auto"/>
              </w:rPr>
            </w:pPr>
            <w:r>
              <w:rPr>
                <w:rFonts w:ascii="Arial" w:cs="Arial" w:eastAsia="Arial" w:hAnsi="Arial"/>
                <w:sz w:val="14"/>
                <w:szCs w:val="14"/>
                <w:color w:val="auto"/>
              </w:rPr>
              <w:t>77.19</w:t>
            </w:r>
          </w:p>
        </w:tc>
        <w:tc>
          <w:tcPr>
            <w:tcW w:w="1000" w:type="dxa"/>
            <w:vAlign w:val="bottom"/>
          </w:tcPr>
          <w:p>
            <w:pPr>
              <w:jc w:val="right"/>
              <w:spacing w:after="0"/>
              <w:rPr>
                <w:sz w:val="20"/>
                <w:szCs w:val="20"/>
                <w:color w:val="auto"/>
              </w:rPr>
            </w:pPr>
            <w:r>
              <w:rPr>
                <w:rFonts w:ascii="Arial" w:cs="Arial" w:eastAsia="Arial" w:hAnsi="Arial"/>
                <w:sz w:val="14"/>
                <w:szCs w:val="14"/>
                <w:color w:val="auto"/>
              </w:rPr>
              <w:t>100.02</w:t>
            </w:r>
          </w:p>
        </w:tc>
        <w:tc>
          <w:tcPr>
            <w:tcW w:w="1060" w:type="dxa"/>
            <w:vAlign w:val="bottom"/>
          </w:tcPr>
          <w:p>
            <w:pPr>
              <w:jc w:val="right"/>
              <w:spacing w:after="0"/>
              <w:rPr>
                <w:sz w:val="20"/>
                <w:szCs w:val="20"/>
                <w:color w:val="auto"/>
              </w:rPr>
            </w:pPr>
            <w:r>
              <w:rPr>
                <w:rFonts w:ascii="Arial" w:cs="Arial" w:eastAsia="Arial" w:hAnsi="Arial"/>
                <w:sz w:val="14"/>
                <w:szCs w:val="14"/>
                <w:color w:val="auto"/>
              </w:rPr>
              <w:t>(329,668)</w:t>
            </w:r>
          </w:p>
        </w:tc>
        <w:tc>
          <w:tcPr>
            <w:tcW w:w="1080" w:type="dxa"/>
            <w:vAlign w:val="bottom"/>
          </w:tcPr>
          <w:p>
            <w:pPr>
              <w:jc w:val="right"/>
              <w:spacing w:after="0"/>
              <w:rPr>
                <w:sz w:val="20"/>
                <w:szCs w:val="20"/>
                <w:color w:val="auto"/>
              </w:rPr>
            </w:pPr>
            <w:r>
              <w:rPr>
                <w:rFonts w:ascii="Arial" w:cs="Arial" w:eastAsia="Arial" w:hAnsi="Arial"/>
                <w:sz w:val="14"/>
                <w:szCs w:val="14"/>
                <w:color w:val="auto"/>
              </w:rPr>
              <w:t>3,094,238</w:t>
            </w:r>
          </w:p>
        </w:tc>
      </w:tr>
      <w:tr>
        <w:trPr>
          <w:trHeight w:val="22"/>
        </w:trPr>
        <w:tc>
          <w:tcPr>
            <w:tcW w:w="600" w:type="dxa"/>
            <w:vAlign w:val="bottom"/>
            <w:tcBorders>
              <w:bottom w:val="single" w:sz="8" w:color="852166"/>
            </w:tcBorders>
          </w:tcPr>
          <w:p>
            <w:pPr>
              <w:spacing w:after="0" w:line="20" w:lineRule="exact"/>
              <w:rPr>
                <w:sz w:val="1"/>
                <w:szCs w:val="1"/>
                <w:color w:val="auto"/>
              </w:rPr>
            </w:pPr>
          </w:p>
        </w:tc>
        <w:tc>
          <w:tcPr>
            <w:tcW w:w="1060" w:type="dxa"/>
            <w:vAlign w:val="bottom"/>
            <w:tcBorders>
              <w:bottom w:val="single" w:sz="8" w:color="852166"/>
            </w:tcBorders>
          </w:tcPr>
          <w:p>
            <w:pPr>
              <w:spacing w:after="0" w:line="20" w:lineRule="exact"/>
              <w:rPr>
                <w:sz w:val="1"/>
                <w:szCs w:val="1"/>
                <w:color w:val="auto"/>
              </w:rPr>
            </w:pPr>
          </w:p>
        </w:tc>
        <w:tc>
          <w:tcPr>
            <w:tcW w:w="1200" w:type="dxa"/>
            <w:vAlign w:val="bottom"/>
            <w:tcBorders>
              <w:bottom w:val="single" w:sz="8" w:color="852166"/>
            </w:tcBorders>
          </w:tcPr>
          <w:p>
            <w:pPr>
              <w:spacing w:after="0" w:line="20" w:lineRule="exact"/>
              <w:rPr>
                <w:sz w:val="1"/>
                <w:szCs w:val="1"/>
                <w:color w:val="auto"/>
              </w:rPr>
            </w:pPr>
          </w:p>
        </w:tc>
        <w:tc>
          <w:tcPr>
            <w:tcW w:w="1040" w:type="dxa"/>
            <w:vAlign w:val="bottom"/>
            <w:tcBorders>
              <w:bottom w:val="single" w:sz="8" w:color="852166"/>
            </w:tcBorders>
          </w:tcPr>
          <w:p>
            <w:pPr>
              <w:spacing w:after="0" w:line="20" w:lineRule="exact"/>
              <w:rPr>
                <w:sz w:val="1"/>
                <w:szCs w:val="1"/>
                <w:color w:val="auto"/>
              </w:rPr>
            </w:pPr>
          </w:p>
        </w:tc>
        <w:tc>
          <w:tcPr>
            <w:tcW w:w="960" w:type="dxa"/>
            <w:vAlign w:val="bottom"/>
            <w:tcBorders>
              <w:bottom w:val="single" w:sz="8" w:color="852166"/>
            </w:tcBorders>
          </w:tcPr>
          <w:p>
            <w:pPr>
              <w:spacing w:after="0" w:line="20" w:lineRule="exact"/>
              <w:rPr>
                <w:sz w:val="1"/>
                <w:szCs w:val="1"/>
                <w:color w:val="auto"/>
              </w:rPr>
            </w:pPr>
          </w:p>
        </w:tc>
        <w:tc>
          <w:tcPr>
            <w:tcW w:w="1180" w:type="dxa"/>
            <w:vAlign w:val="bottom"/>
            <w:tcBorders>
              <w:bottom w:val="single" w:sz="8" w:color="852166"/>
            </w:tcBorders>
          </w:tcPr>
          <w:p>
            <w:pPr>
              <w:spacing w:after="0" w:line="20" w:lineRule="exact"/>
              <w:rPr>
                <w:sz w:val="1"/>
                <w:szCs w:val="1"/>
                <w:color w:val="auto"/>
              </w:rPr>
            </w:pPr>
          </w:p>
        </w:tc>
        <w:tc>
          <w:tcPr>
            <w:tcW w:w="940" w:type="dxa"/>
            <w:vAlign w:val="bottom"/>
            <w:tcBorders>
              <w:bottom w:val="single" w:sz="8" w:color="852166"/>
            </w:tcBorders>
          </w:tcPr>
          <w:p>
            <w:pPr>
              <w:spacing w:after="0" w:line="20" w:lineRule="exact"/>
              <w:rPr>
                <w:sz w:val="1"/>
                <w:szCs w:val="1"/>
                <w:color w:val="auto"/>
              </w:rPr>
            </w:pPr>
          </w:p>
        </w:tc>
        <w:tc>
          <w:tcPr>
            <w:tcW w:w="1100" w:type="dxa"/>
            <w:vAlign w:val="bottom"/>
            <w:tcBorders>
              <w:bottom w:val="single" w:sz="8" w:color="852166"/>
            </w:tcBorders>
          </w:tcPr>
          <w:p>
            <w:pPr>
              <w:spacing w:after="0" w:line="20" w:lineRule="exact"/>
              <w:rPr>
                <w:sz w:val="1"/>
                <w:szCs w:val="1"/>
                <w:color w:val="auto"/>
              </w:rPr>
            </w:pPr>
          </w:p>
        </w:tc>
        <w:tc>
          <w:tcPr>
            <w:tcW w:w="1000" w:type="dxa"/>
            <w:vAlign w:val="bottom"/>
            <w:tcBorders>
              <w:bottom w:val="single" w:sz="8" w:color="852166"/>
            </w:tcBorders>
          </w:tcPr>
          <w:p>
            <w:pPr>
              <w:spacing w:after="0" w:line="20" w:lineRule="exact"/>
              <w:rPr>
                <w:sz w:val="1"/>
                <w:szCs w:val="1"/>
                <w:color w:val="auto"/>
              </w:rPr>
            </w:pPr>
          </w:p>
        </w:tc>
        <w:tc>
          <w:tcPr>
            <w:tcW w:w="1060" w:type="dxa"/>
            <w:vAlign w:val="bottom"/>
            <w:tcBorders>
              <w:bottom w:val="single" w:sz="8" w:color="852166"/>
            </w:tcBorders>
          </w:tcPr>
          <w:p>
            <w:pPr>
              <w:spacing w:after="0" w:line="20" w:lineRule="exact"/>
              <w:rPr>
                <w:sz w:val="1"/>
                <w:szCs w:val="1"/>
                <w:color w:val="auto"/>
              </w:rPr>
            </w:pPr>
          </w:p>
        </w:tc>
        <w:tc>
          <w:tcPr>
            <w:tcW w:w="1080" w:type="dxa"/>
            <w:vAlign w:val="bottom"/>
            <w:tcBorders>
              <w:bottom w:val="single" w:sz="8" w:color="85216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-1079500</wp:posOffset>
            </wp:positionV>
            <wp:extent cx="126873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119" w:lineRule="exact"/>
        <w:rPr>
          <w:sz w:val="20"/>
          <w:szCs w:val="20"/>
          <w:color w:val="auto"/>
        </w:rPr>
      </w:pPr>
    </w:p>
    <w:p>
      <w:pPr>
        <w:ind w:left="340" w:right="200" w:hanging="332"/>
        <w:spacing w:after="0" w:line="305" w:lineRule="auto"/>
        <w:tabs>
          <w:tab w:leader="none" w:pos="327" w:val="left"/>
        </w:tabs>
        <w:numPr>
          <w:ilvl w:val="0"/>
          <w:numId w:val="92"/>
        </w:numPr>
        <w:rPr>
          <w:rFonts w:ascii="Arial" w:cs="Arial" w:eastAsia="Arial" w:hAnsi="Arial"/>
          <w:sz w:val="14"/>
          <w:szCs w:val="14"/>
          <w:color w:val="auto"/>
        </w:rPr>
      </w:pPr>
      <w:r>
        <w:rPr>
          <w:rFonts w:ascii="Arial" w:cs="Arial" w:eastAsia="Arial" w:hAnsi="Arial"/>
          <w:sz w:val="14"/>
          <w:szCs w:val="14"/>
          <w:color w:val="auto"/>
        </w:rPr>
        <w:t>For each fiscal year, represents amount reported for our PEO, former PEO and average amount reported for our non-PEO NEOs, in each case in the Total column of the Summary Compensation Table. Our PEO, former PEO and our non-PEO NEOs for each of the applicable years were as follows:</w:t>
      </w:r>
    </w:p>
    <w:p>
      <w:pPr>
        <w:spacing w:after="0" w:line="8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40" w:type="dxa"/>
            <w:vAlign w:val="bottom"/>
            <w:shd w:val="clear" w:color="auto" w:fill="001C71"/>
          </w:tcPr>
          <w:p>
            <w:pPr>
              <w:ind w:left="100"/>
              <w:spacing w:after="0"/>
              <w:rPr>
                <w:sz w:val="20"/>
                <w:szCs w:val="20"/>
                <w:color w:val="auto"/>
              </w:rPr>
            </w:pPr>
            <w:r>
              <w:rPr>
                <w:rFonts w:ascii="Arial" w:cs="Arial" w:eastAsia="Arial" w:hAnsi="Arial"/>
                <w:sz w:val="14"/>
                <w:szCs w:val="14"/>
                <w:b w:val="1"/>
                <w:bCs w:val="1"/>
                <w:color w:val="FFFFFF"/>
              </w:rPr>
              <w:t>Year</w:t>
            </w:r>
          </w:p>
        </w:tc>
        <w:tc>
          <w:tcPr>
            <w:tcW w:w="1640" w:type="dxa"/>
            <w:vAlign w:val="bottom"/>
            <w:shd w:val="clear" w:color="auto" w:fill="001C71"/>
          </w:tcPr>
          <w:p>
            <w:pPr>
              <w:ind w:left="300"/>
              <w:spacing w:after="0"/>
              <w:rPr>
                <w:sz w:val="20"/>
                <w:szCs w:val="20"/>
                <w:color w:val="auto"/>
              </w:rPr>
            </w:pPr>
            <w:r>
              <w:rPr>
                <w:rFonts w:ascii="Arial" w:cs="Arial" w:eastAsia="Arial" w:hAnsi="Arial"/>
                <w:sz w:val="14"/>
                <w:szCs w:val="14"/>
                <w:b w:val="1"/>
                <w:bCs w:val="1"/>
                <w:color w:val="FFFFFF"/>
              </w:rPr>
              <w:t>PEO</w:t>
            </w:r>
          </w:p>
        </w:tc>
        <w:tc>
          <w:tcPr>
            <w:tcW w:w="1880" w:type="dxa"/>
            <w:vAlign w:val="bottom"/>
            <w:shd w:val="clear" w:color="auto" w:fill="001C71"/>
          </w:tcPr>
          <w:p>
            <w:pPr>
              <w:ind w:left="400"/>
              <w:spacing w:after="0"/>
              <w:rPr>
                <w:sz w:val="20"/>
                <w:szCs w:val="20"/>
                <w:color w:val="auto"/>
              </w:rPr>
            </w:pPr>
            <w:r>
              <w:rPr>
                <w:rFonts w:ascii="Arial" w:cs="Arial" w:eastAsia="Arial" w:hAnsi="Arial"/>
                <w:sz w:val="14"/>
                <w:szCs w:val="14"/>
                <w:b w:val="1"/>
                <w:bCs w:val="1"/>
                <w:color w:val="FFFFFF"/>
              </w:rPr>
              <w:t>Former PEO</w:t>
            </w:r>
          </w:p>
        </w:tc>
        <w:tc>
          <w:tcPr>
            <w:tcW w:w="6240" w:type="dxa"/>
            <w:vAlign w:val="bottom"/>
            <w:shd w:val="clear" w:color="auto" w:fill="001C71"/>
          </w:tcPr>
          <w:p>
            <w:pPr>
              <w:ind w:left="380"/>
              <w:spacing w:after="0"/>
              <w:rPr>
                <w:sz w:val="20"/>
                <w:szCs w:val="20"/>
                <w:color w:val="auto"/>
              </w:rPr>
            </w:pPr>
            <w:r>
              <w:rPr>
                <w:rFonts w:ascii="Arial" w:cs="Arial" w:eastAsia="Arial" w:hAnsi="Arial"/>
                <w:sz w:val="14"/>
                <w:szCs w:val="14"/>
                <w:b w:val="1"/>
                <w:bCs w:val="1"/>
                <w:color w:val="FFFFFF"/>
              </w:rPr>
              <w:t>Non-PEO NEOs</w:t>
            </w:r>
          </w:p>
        </w:tc>
        <w:tc>
          <w:tcPr>
            <w:tcW w:w="0" w:type="dxa"/>
            <w:vAlign w:val="bottom"/>
          </w:tcPr>
          <w:p>
            <w:pPr>
              <w:spacing w:after="0"/>
              <w:rPr>
                <w:sz w:val="1"/>
                <w:szCs w:val="1"/>
                <w:color w:val="auto"/>
              </w:rPr>
            </w:pPr>
          </w:p>
        </w:tc>
      </w:tr>
      <w:tr>
        <w:trPr>
          <w:trHeight w:val="67"/>
        </w:trPr>
        <w:tc>
          <w:tcPr>
            <w:tcW w:w="740" w:type="dxa"/>
            <w:vAlign w:val="bottom"/>
            <w:shd w:val="clear" w:color="auto" w:fill="001C71"/>
          </w:tcPr>
          <w:p>
            <w:pPr>
              <w:spacing w:after="0"/>
              <w:rPr>
                <w:sz w:val="5"/>
                <w:szCs w:val="5"/>
                <w:color w:val="auto"/>
              </w:rPr>
            </w:pPr>
          </w:p>
        </w:tc>
        <w:tc>
          <w:tcPr>
            <w:tcW w:w="1640" w:type="dxa"/>
            <w:vAlign w:val="bottom"/>
            <w:shd w:val="clear" w:color="auto" w:fill="001C71"/>
          </w:tcPr>
          <w:p>
            <w:pPr>
              <w:spacing w:after="0"/>
              <w:rPr>
                <w:sz w:val="5"/>
                <w:szCs w:val="5"/>
                <w:color w:val="auto"/>
              </w:rPr>
            </w:pPr>
          </w:p>
        </w:tc>
        <w:tc>
          <w:tcPr>
            <w:tcW w:w="1880" w:type="dxa"/>
            <w:vAlign w:val="bottom"/>
            <w:shd w:val="clear" w:color="auto" w:fill="001C71"/>
          </w:tcPr>
          <w:p>
            <w:pPr>
              <w:spacing w:after="0"/>
              <w:rPr>
                <w:sz w:val="5"/>
                <w:szCs w:val="5"/>
                <w:color w:val="auto"/>
              </w:rPr>
            </w:pPr>
          </w:p>
        </w:tc>
        <w:tc>
          <w:tcPr>
            <w:tcW w:w="6240" w:type="dxa"/>
            <w:vAlign w:val="bottom"/>
            <w:shd w:val="clear" w:color="auto" w:fill="001C71"/>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0" w:type="dxa"/>
            <w:vAlign w:val="bottom"/>
          </w:tcPr>
          <w:p>
            <w:pPr>
              <w:ind w:left="100"/>
              <w:spacing w:after="0"/>
              <w:rPr>
                <w:sz w:val="20"/>
                <w:szCs w:val="20"/>
                <w:color w:val="auto"/>
              </w:rPr>
            </w:pPr>
            <w:r>
              <w:rPr>
                <w:rFonts w:ascii="Arial" w:cs="Arial" w:eastAsia="Arial" w:hAnsi="Arial"/>
                <w:sz w:val="14"/>
                <w:szCs w:val="14"/>
                <w:color w:val="auto"/>
              </w:rPr>
              <w:t>2025</w:t>
            </w:r>
          </w:p>
        </w:tc>
        <w:tc>
          <w:tcPr>
            <w:tcW w:w="1640" w:type="dxa"/>
            <w:vAlign w:val="bottom"/>
          </w:tcPr>
          <w:p>
            <w:pPr>
              <w:ind w:left="300"/>
              <w:spacing w:after="0"/>
              <w:rPr>
                <w:sz w:val="20"/>
                <w:szCs w:val="20"/>
                <w:color w:val="auto"/>
              </w:rPr>
            </w:pPr>
            <w:r>
              <w:rPr>
                <w:rFonts w:ascii="Arial" w:cs="Arial" w:eastAsia="Arial" w:hAnsi="Arial"/>
                <w:sz w:val="14"/>
                <w:szCs w:val="14"/>
                <w:color w:val="auto"/>
              </w:rPr>
              <w:t>Renee D. Gala</w:t>
            </w:r>
          </w:p>
        </w:tc>
        <w:tc>
          <w:tcPr>
            <w:tcW w:w="1880" w:type="dxa"/>
            <w:vAlign w:val="bottom"/>
          </w:tcPr>
          <w:p>
            <w:pPr>
              <w:ind w:left="400"/>
              <w:spacing w:after="0"/>
              <w:rPr>
                <w:sz w:val="20"/>
                <w:szCs w:val="20"/>
                <w:color w:val="auto"/>
              </w:rPr>
            </w:pPr>
            <w:r>
              <w:rPr>
                <w:rFonts w:ascii="Arial" w:cs="Arial" w:eastAsia="Arial" w:hAnsi="Arial"/>
                <w:sz w:val="14"/>
                <w:szCs w:val="14"/>
                <w:color w:val="auto"/>
              </w:rPr>
              <w:t>Bruce C. Cozadd</w:t>
            </w:r>
          </w:p>
        </w:tc>
        <w:tc>
          <w:tcPr>
            <w:tcW w:w="6240" w:type="dxa"/>
            <w:vAlign w:val="bottom"/>
          </w:tcPr>
          <w:p>
            <w:pPr>
              <w:ind w:left="380"/>
              <w:spacing w:after="0"/>
              <w:rPr>
                <w:sz w:val="20"/>
                <w:szCs w:val="20"/>
                <w:color w:val="auto"/>
              </w:rPr>
            </w:pPr>
            <w:r>
              <w:rPr>
                <w:rFonts w:ascii="Arial" w:cs="Arial" w:eastAsia="Arial" w:hAnsi="Arial"/>
                <w:sz w:val="14"/>
                <w:szCs w:val="14"/>
                <w:color w:val="auto"/>
              </w:rPr>
              <w:t>Philip L. Johnson, Robert Iannone, Neena M. Patil and Samantha Pearce</w:t>
            </w:r>
          </w:p>
        </w:tc>
        <w:tc>
          <w:tcPr>
            <w:tcW w:w="0" w:type="dxa"/>
            <w:vAlign w:val="bottom"/>
          </w:tcPr>
          <w:p>
            <w:pPr>
              <w:spacing w:after="0"/>
              <w:rPr>
                <w:sz w:val="1"/>
                <w:szCs w:val="1"/>
                <w:color w:val="auto"/>
              </w:rPr>
            </w:pPr>
          </w:p>
        </w:tc>
      </w:tr>
      <w:tr>
        <w:trPr>
          <w:trHeight w:val="22"/>
        </w:trPr>
        <w:tc>
          <w:tcPr>
            <w:tcW w:w="740" w:type="dxa"/>
            <w:vAlign w:val="bottom"/>
            <w:tcBorders>
              <w:bottom w:val="single" w:sz="8" w:color="5673B8"/>
            </w:tcBorders>
          </w:tcPr>
          <w:p>
            <w:pPr>
              <w:spacing w:after="0" w:line="20" w:lineRule="exact"/>
              <w:rPr>
                <w:sz w:val="1"/>
                <w:szCs w:val="1"/>
                <w:color w:val="auto"/>
              </w:rPr>
            </w:pPr>
          </w:p>
        </w:tc>
        <w:tc>
          <w:tcPr>
            <w:tcW w:w="1640" w:type="dxa"/>
            <w:vAlign w:val="bottom"/>
            <w:tcBorders>
              <w:bottom w:val="single" w:sz="8" w:color="5673B8"/>
            </w:tcBorders>
          </w:tcPr>
          <w:p>
            <w:pPr>
              <w:spacing w:after="0" w:line="20" w:lineRule="exact"/>
              <w:rPr>
                <w:sz w:val="1"/>
                <w:szCs w:val="1"/>
                <w:color w:val="auto"/>
              </w:rPr>
            </w:pPr>
          </w:p>
        </w:tc>
        <w:tc>
          <w:tcPr>
            <w:tcW w:w="1880" w:type="dxa"/>
            <w:vAlign w:val="bottom"/>
            <w:tcBorders>
              <w:bottom w:val="single" w:sz="8" w:color="5673B8"/>
            </w:tcBorders>
          </w:tcPr>
          <w:p>
            <w:pPr>
              <w:spacing w:after="0" w:line="20" w:lineRule="exact"/>
              <w:rPr>
                <w:sz w:val="1"/>
                <w:szCs w:val="1"/>
                <w:color w:val="auto"/>
              </w:rPr>
            </w:pPr>
          </w:p>
        </w:tc>
        <w:tc>
          <w:tcPr>
            <w:tcW w:w="624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740" w:type="dxa"/>
            <w:vAlign w:val="bottom"/>
          </w:tcPr>
          <w:p>
            <w:pPr>
              <w:ind w:left="100"/>
              <w:spacing w:after="0"/>
              <w:rPr>
                <w:sz w:val="20"/>
                <w:szCs w:val="20"/>
                <w:color w:val="auto"/>
              </w:rPr>
            </w:pPr>
            <w:r>
              <w:rPr>
                <w:rFonts w:ascii="Arial" w:cs="Arial" w:eastAsia="Arial" w:hAnsi="Arial"/>
                <w:sz w:val="14"/>
                <w:szCs w:val="14"/>
                <w:color w:val="auto"/>
              </w:rPr>
              <w:t>2024</w:t>
            </w:r>
          </w:p>
        </w:tc>
        <w:tc>
          <w:tcPr>
            <w:tcW w:w="1640" w:type="dxa"/>
            <w:vAlign w:val="bottom"/>
          </w:tcPr>
          <w:p>
            <w:pPr>
              <w:spacing w:after="0"/>
              <w:rPr>
                <w:sz w:val="17"/>
                <w:szCs w:val="17"/>
                <w:color w:val="auto"/>
              </w:rPr>
            </w:pPr>
          </w:p>
        </w:tc>
        <w:tc>
          <w:tcPr>
            <w:tcW w:w="1880" w:type="dxa"/>
            <w:vAlign w:val="bottom"/>
          </w:tcPr>
          <w:p>
            <w:pPr>
              <w:ind w:left="400"/>
              <w:spacing w:after="0"/>
              <w:rPr>
                <w:sz w:val="20"/>
                <w:szCs w:val="20"/>
                <w:color w:val="auto"/>
              </w:rPr>
            </w:pPr>
            <w:r>
              <w:rPr>
                <w:rFonts w:ascii="Arial" w:cs="Arial" w:eastAsia="Arial" w:hAnsi="Arial"/>
                <w:sz w:val="14"/>
                <w:szCs w:val="14"/>
                <w:color w:val="auto"/>
              </w:rPr>
              <w:t>Bruce C. Cozadd</w:t>
            </w:r>
          </w:p>
        </w:tc>
        <w:tc>
          <w:tcPr>
            <w:tcW w:w="6240" w:type="dxa"/>
            <w:vAlign w:val="bottom"/>
          </w:tcPr>
          <w:p>
            <w:pPr>
              <w:ind w:left="380"/>
              <w:spacing w:after="0"/>
              <w:rPr>
                <w:sz w:val="20"/>
                <w:szCs w:val="20"/>
                <w:color w:val="auto"/>
              </w:rPr>
            </w:pPr>
            <w:r>
              <w:rPr>
                <w:rFonts w:ascii="Arial" w:cs="Arial" w:eastAsia="Arial" w:hAnsi="Arial"/>
                <w:sz w:val="14"/>
                <w:szCs w:val="14"/>
                <w:color w:val="auto"/>
              </w:rPr>
              <w:t>Renee D. Gala, Philip L. Johnson, Robert Iannone, Patricia Carr and Samantha Pearce</w:t>
            </w:r>
          </w:p>
        </w:tc>
        <w:tc>
          <w:tcPr>
            <w:tcW w:w="0" w:type="dxa"/>
            <w:vAlign w:val="bottom"/>
          </w:tcPr>
          <w:p>
            <w:pPr>
              <w:spacing w:after="0"/>
              <w:rPr>
                <w:sz w:val="1"/>
                <w:szCs w:val="1"/>
                <w:color w:val="auto"/>
              </w:rPr>
            </w:pPr>
          </w:p>
        </w:tc>
      </w:tr>
      <w:tr>
        <w:trPr>
          <w:trHeight w:val="22"/>
        </w:trPr>
        <w:tc>
          <w:tcPr>
            <w:tcW w:w="740" w:type="dxa"/>
            <w:vAlign w:val="bottom"/>
            <w:tcBorders>
              <w:bottom w:val="single" w:sz="8" w:color="5673B8"/>
            </w:tcBorders>
          </w:tcPr>
          <w:p>
            <w:pPr>
              <w:spacing w:after="0" w:line="20" w:lineRule="exact"/>
              <w:rPr>
                <w:sz w:val="1"/>
                <w:szCs w:val="1"/>
                <w:color w:val="auto"/>
              </w:rPr>
            </w:pPr>
          </w:p>
        </w:tc>
        <w:tc>
          <w:tcPr>
            <w:tcW w:w="1640" w:type="dxa"/>
            <w:vAlign w:val="bottom"/>
            <w:tcBorders>
              <w:bottom w:val="single" w:sz="8" w:color="5673B8"/>
            </w:tcBorders>
          </w:tcPr>
          <w:p>
            <w:pPr>
              <w:spacing w:after="0" w:line="20" w:lineRule="exact"/>
              <w:rPr>
                <w:sz w:val="1"/>
                <w:szCs w:val="1"/>
                <w:color w:val="auto"/>
              </w:rPr>
            </w:pPr>
          </w:p>
        </w:tc>
        <w:tc>
          <w:tcPr>
            <w:tcW w:w="1880" w:type="dxa"/>
            <w:vAlign w:val="bottom"/>
            <w:tcBorders>
              <w:bottom w:val="single" w:sz="8" w:color="5673B8"/>
            </w:tcBorders>
          </w:tcPr>
          <w:p>
            <w:pPr>
              <w:spacing w:after="0" w:line="20" w:lineRule="exact"/>
              <w:rPr>
                <w:sz w:val="1"/>
                <w:szCs w:val="1"/>
                <w:color w:val="auto"/>
              </w:rPr>
            </w:pPr>
          </w:p>
        </w:tc>
        <w:tc>
          <w:tcPr>
            <w:tcW w:w="624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740" w:type="dxa"/>
            <w:vAlign w:val="bottom"/>
            <w:vMerge w:val="restart"/>
          </w:tcPr>
          <w:p>
            <w:pPr>
              <w:ind w:left="100"/>
              <w:spacing w:after="0"/>
              <w:rPr>
                <w:sz w:val="20"/>
                <w:szCs w:val="20"/>
                <w:color w:val="auto"/>
              </w:rPr>
            </w:pPr>
            <w:r>
              <w:rPr>
                <w:rFonts w:ascii="Arial" w:cs="Arial" w:eastAsia="Arial" w:hAnsi="Arial"/>
                <w:sz w:val="14"/>
                <w:szCs w:val="14"/>
                <w:color w:val="auto"/>
              </w:rPr>
              <w:t>2023</w:t>
            </w:r>
          </w:p>
        </w:tc>
        <w:tc>
          <w:tcPr>
            <w:tcW w:w="1640" w:type="dxa"/>
            <w:vAlign w:val="bottom"/>
          </w:tcPr>
          <w:p>
            <w:pPr>
              <w:spacing w:after="0"/>
              <w:rPr>
                <w:sz w:val="16"/>
                <w:szCs w:val="16"/>
                <w:color w:val="auto"/>
              </w:rPr>
            </w:pPr>
          </w:p>
        </w:tc>
        <w:tc>
          <w:tcPr>
            <w:tcW w:w="1880" w:type="dxa"/>
            <w:vAlign w:val="bottom"/>
            <w:vMerge w:val="restart"/>
          </w:tcPr>
          <w:p>
            <w:pPr>
              <w:ind w:left="400"/>
              <w:spacing w:after="0"/>
              <w:rPr>
                <w:sz w:val="20"/>
                <w:szCs w:val="20"/>
                <w:color w:val="auto"/>
              </w:rPr>
            </w:pPr>
            <w:r>
              <w:rPr>
                <w:rFonts w:ascii="Arial" w:cs="Arial" w:eastAsia="Arial" w:hAnsi="Arial"/>
                <w:sz w:val="14"/>
                <w:szCs w:val="14"/>
                <w:color w:val="auto"/>
              </w:rPr>
              <w:t>Bruce C. Cozadd</w:t>
            </w:r>
          </w:p>
        </w:tc>
        <w:tc>
          <w:tcPr>
            <w:tcW w:w="6240" w:type="dxa"/>
            <w:vAlign w:val="bottom"/>
          </w:tcPr>
          <w:p>
            <w:pPr>
              <w:ind w:left="380"/>
              <w:spacing w:after="0"/>
              <w:rPr>
                <w:sz w:val="20"/>
                <w:szCs w:val="20"/>
                <w:color w:val="auto"/>
              </w:rPr>
            </w:pPr>
            <w:r>
              <w:rPr>
                <w:rFonts w:ascii="Arial" w:cs="Arial" w:eastAsia="Arial" w:hAnsi="Arial"/>
                <w:sz w:val="14"/>
                <w:szCs w:val="14"/>
                <w:color w:val="auto"/>
              </w:rPr>
              <w:t>Renee D. Gala, Patricia Carr, Robert Iannone, Neena M. Patil, Daniel N. Swisher, Jr. and</w:t>
            </w:r>
          </w:p>
        </w:tc>
        <w:tc>
          <w:tcPr>
            <w:tcW w:w="0" w:type="dxa"/>
            <w:vAlign w:val="bottom"/>
          </w:tcPr>
          <w:p>
            <w:pPr>
              <w:spacing w:after="0"/>
              <w:rPr>
                <w:sz w:val="1"/>
                <w:szCs w:val="1"/>
                <w:color w:val="auto"/>
              </w:rPr>
            </w:pPr>
          </w:p>
        </w:tc>
      </w:tr>
      <w:tr>
        <w:trPr>
          <w:trHeight w:val="96"/>
        </w:trPr>
        <w:tc>
          <w:tcPr>
            <w:tcW w:w="74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1880" w:type="dxa"/>
            <w:vAlign w:val="bottom"/>
            <w:vMerge w:val="continue"/>
          </w:tcPr>
          <w:p>
            <w:pPr>
              <w:spacing w:after="0"/>
              <w:rPr>
                <w:sz w:val="8"/>
                <w:szCs w:val="8"/>
                <w:color w:val="auto"/>
              </w:rPr>
            </w:pPr>
          </w:p>
        </w:tc>
        <w:tc>
          <w:tcPr>
            <w:tcW w:w="6240" w:type="dxa"/>
            <w:vAlign w:val="bottom"/>
            <w:vMerge w:val="restart"/>
          </w:tcPr>
          <w:p>
            <w:pPr>
              <w:ind w:left="380"/>
              <w:spacing w:after="0"/>
              <w:rPr>
                <w:sz w:val="20"/>
                <w:szCs w:val="20"/>
                <w:color w:val="auto"/>
              </w:rPr>
            </w:pPr>
            <w:r>
              <w:rPr>
                <w:rFonts w:ascii="Arial" w:cs="Arial" w:eastAsia="Arial" w:hAnsi="Arial"/>
                <w:sz w:val="14"/>
                <w:szCs w:val="14"/>
                <w:color w:val="auto"/>
              </w:rPr>
              <w:t>Kim Sablich</w:t>
            </w: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740" w:type="dxa"/>
            <w:vAlign w:val="bottom"/>
            <w:tcBorders>
              <w:bottom w:val="single" w:sz="8" w:color="5673B8"/>
            </w:tcBorders>
          </w:tcPr>
          <w:p>
            <w:pPr>
              <w:spacing w:after="0" w:line="20" w:lineRule="exact"/>
              <w:rPr>
                <w:sz w:val="1"/>
                <w:szCs w:val="1"/>
                <w:color w:val="auto"/>
              </w:rPr>
            </w:pPr>
          </w:p>
        </w:tc>
        <w:tc>
          <w:tcPr>
            <w:tcW w:w="1640" w:type="dxa"/>
            <w:vAlign w:val="bottom"/>
            <w:tcBorders>
              <w:bottom w:val="single" w:sz="8" w:color="5673B8"/>
            </w:tcBorders>
          </w:tcPr>
          <w:p>
            <w:pPr>
              <w:spacing w:after="0" w:line="20" w:lineRule="exact"/>
              <w:rPr>
                <w:sz w:val="1"/>
                <w:szCs w:val="1"/>
                <w:color w:val="auto"/>
              </w:rPr>
            </w:pPr>
          </w:p>
        </w:tc>
        <w:tc>
          <w:tcPr>
            <w:tcW w:w="1880" w:type="dxa"/>
            <w:vAlign w:val="bottom"/>
            <w:tcBorders>
              <w:bottom w:val="single" w:sz="8" w:color="5673B8"/>
            </w:tcBorders>
          </w:tcPr>
          <w:p>
            <w:pPr>
              <w:spacing w:after="0" w:line="20" w:lineRule="exact"/>
              <w:rPr>
                <w:sz w:val="1"/>
                <w:szCs w:val="1"/>
                <w:color w:val="auto"/>
              </w:rPr>
            </w:pPr>
          </w:p>
        </w:tc>
        <w:tc>
          <w:tcPr>
            <w:tcW w:w="624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740" w:type="dxa"/>
            <w:vAlign w:val="bottom"/>
          </w:tcPr>
          <w:p>
            <w:pPr>
              <w:ind w:left="100"/>
              <w:spacing w:after="0"/>
              <w:rPr>
                <w:sz w:val="20"/>
                <w:szCs w:val="20"/>
                <w:color w:val="auto"/>
              </w:rPr>
            </w:pPr>
            <w:r>
              <w:rPr>
                <w:rFonts w:ascii="Arial" w:cs="Arial" w:eastAsia="Arial" w:hAnsi="Arial"/>
                <w:sz w:val="14"/>
                <w:szCs w:val="14"/>
                <w:color w:val="auto"/>
              </w:rPr>
              <w:t>2022</w:t>
            </w:r>
          </w:p>
        </w:tc>
        <w:tc>
          <w:tcPr>
            <w:tcW w:w="1640" w:type="dxa"/>
            <w:vAlign w:val="bottom"/>
          </w:tcPr>
          <w:p>
            <w:pPr>
              <w:spacing w:after="0"/>
              <w:rPr>
                <w:sz w:val="17"/>
                <w:szCs w:val="17"/>
                <w:color w:val="auto"/>
              </w:rPr>
            </w:pPr>
          </w:p>
        </w:tc>
        <w:tc>
          <w:tcPr>
            <w:tcW w:w="1880" w:type="dxa"/>
            <w:vAlign w:val="bottom"/>
          </w:tcPr>
          <w:p>
            <w:pPr>
              <w:ind w:left="400"/>
              <w:spacing w:after="0"/>
              <w:rPr>
                <w:sz w:val="20"/>
                <w:szCs w:val="20"/>
                <w:color w:val="auto"/>
              </w:rPr>
            </w:pPr>
            <w:r>
              <w:rPr>
                <w:rFonts w:ascii="Arial" w:cs="Arial" w:eastAsia="Arial" w:hAnsi="Arial"/>
                <w:sz w:val="14"/>
                <w:szCs w:val="14"/>
                <w:color w:val="auto"/>
              </w:rPr>
              <w:t>Bruce C. Cozadd</w:t>
            </w:r>
          </w:p>
        </w:tc>
        <w:tc>
          <w:tcPr>
            <w:tcW w:w="6240" w:type="dxa"/>
            <w:vAlign w:val="bottom"/>
          </w:tcPr>
          <w:p>
            <w:pPr>
              <w:ind w:left="380"/>
              <w:spacing w:after="0"/>
              <w:rPr>
                <w:sz w:val="20"/>
                <w:szCs w:val="20"/>
                <w:color w:val="auto"/>
              </w:rPr>
            </w:pPr>
            <w:r>
              <w:rPr>
                <w:rFonts w:ascii="Arial" w:cs="Arial" w:eastAsia="Arial" w:hAnsi="Arial"/>
                <w:sz w:val="14"/>
                <w:szCs w:val="14"/>
                <w:color w:val="auto"/>
              </w:rPr>
              <w:t>Daniel N. Swisher, Jr., Renee D. Gala, Robert Iannone and Kim Sablich</w:t>
            </w:r>
          </w:p>
        </w:tc>
        <w:tc>
          <w:tcPr>
            <w:tcW w:w="0" w:type="dxa"/>
            <w:vAlign w:val="bottom"/>
          </w:tcPr>
          <w:p>
            <w:pPr>
              <w:spacing w:after="0"/>
              <w:rPr>
                <w:sz w:val="1"/>
                <w:szCs w:val="1"/>
                <w:color w:val="auto"/>
              </w:rPr>
            </w:pPr>
          </w:p>
        </w:tc>
      </w:tr>
      <w:tr>
        <w:trPr>
          <w:trHeight w:val="22"/>
        </w:trPr>
        <w:tc>
          <w:tcPr>
            <w:tcW w:w="740" w:type="dxa"/>
            <w:vAlign w:val="bottom"/>
            <w:tcBorders>
              <w:bottom w:val="single" w:sz="8" w:color="5673B8"/>
            </w:tcBorders>
          </w:tcPr>
          <w:p>
            <w:pPr>
              <w:spacing w:after="0" w:line="20" w:lineRule="exact"/>
              <w:rPr>
                <w:sz w:val="1"/>
                <w:szCs w:val="1"/>
                <w:color w:val="auto"/>
              </w:rPr>
            </w:pPr>
          </w:p>
        </w:tc>
        <w:tc>
          <w:tcPr>
            <w:tcW w:w="1640" w:type="dxa"/>
            <w:vAlign w:val="bottom"/>
            <w:tcBorders>
              <w:bottom w:val="single" w:sz="8" w:color="5673B8"/>
            </w:tcBorders>
          </w:tcPr>
          <w:p>
            <w:pPr>
              <w:spacing w:after="0" w:line="20" w:lineRule="exact"/>
              <w:rPr>
                <w:sz w:val="1"/>
                <w:szCs w:val="1"/>
                <w:color w:val="auto"/>
              </w:rPr>
            </w:pPr>
          </w:p>
        </w:tc>
        <w:tc>
          <w:tcPr>
            <w:tcW w:w="1880" w:type="dxa"/>
            <w:vAlign w:val="bottom"/>
            <w:tcBorders>
              <w:bottom w:val="single" w:sz="8" w:color="5673B8"/>
            </w:tcBorders>
          </w:tcPr>
          <w:p>
            <w:pPr>
              <w:spacing w:after="0" w:line="20" w:lineRule="exact"/>
              <w:rPr>
                <w:sz w:val="1"/>
                <w:szCs w:val="1"/>
                <w:color w:val="auto"/>
              </w:rPr>
            </w:pPr>
          </w:p>
        </w:tc>
        <w:tc>
          <w:tcPr>
            <w:tcW w:w="624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740" w:type="dxa"/>
            <w:vAlign w:val="bottom"/>
          </w:tcPr>
          <w:p>
            <w:pPr>
              <w:ind w:left="100"/>
              <w:spacing w:after="0"/>
              <w:rPr>
                <w:sz w:val="20"/>
                <w:szCs w:val="20"/>
                <w:color w:val="auto"/>
              </w:rPr>
            </w:pPr>
            <w:r>
              <w:rPr>
                <w:rFonts w:ascii="Arial" w:cs="Arial" w:eastAsia="Arial" w:hAnsi="Arial"/>
                <w:sz w:val="14"/>
                <w:szCs w:val="14"/>
                <w:color w:val="auto"/>
              </w:rPr>
              <w:t>2021</w:t>
            </w:r>
          </w:p>
        </w:tc>
        <w:tc>
          <w:tcPr>
            <w:tcW w:w="1640" w:type="dxa"/>
            <w:vAlign w:val="bottom"/>
          </w:tcPr>
          <w:p>
            <w:pPr>
              <w:spacing w:after="0"/>
              <w:rPr>
                <w:sz w:val="17"/>
                <w:szCs w:val="17"/>
                <w:color w:val="auto"/>
              </w:rPr>
            </w:pPr>
          </w:p>
        </w:tc>
        <w:tc>
          <w:tcPr>
            <w:tcW w:w="1880" w:type="dxa"/>
            <w:vAlign w:val="bottom"/>
          </w:tcPr>
          <w:p>
            <w:pPr>
              <w:ind w:left="400"/>
              <w:spacing w:after="0"/>
              <w:rPr>
                <w:sz w:val="20"/>
                <w:szCs w:val="20"/>
                <w:color w:val="auto"/>
              </w:rPr>
            </w:pPr>
            <w:r>
              <w:rPr>
                <w:rFonts w:ascii="Arial" w:cs="Arial" w:eastAsia="Arial" w:hAnsi="Arial"/>
                <w:sz w:val="14"/>
                <w:szCs w:val="14"/>
                <w:color w:val="auto"/>
              </w:rPr>
              <w:t>Bruce C. Cozadd</w:t>
            </w:r>
          </w:p>
        </w:tc>
        <w:tc>
          <w:tcPr>
            <w:tcW w:w="6240" w:type="dxa"/>
            <w:vAlign w:val="bottom"/>
          </w:tcPr>
          <w:p>
            <w:pPr>
              <w:ind w:left="380"/>
              <w:spacing w:after="0"/>
              <w:rPr>
                <w:sz w:val="20"/>
                <w:szCs w:val="20"/>
                <w:color w:val="auto"/>
              </w:rPr>
            </w:pPr>
            <w:r>
              <w:rPr>
                <w:rFonts w:ascii="Arial" w:cs="Arial" w:eastAsia="Arial" w:hAnsi="Arial"/>
                <w:sz w:val="14"/>
                <w:szCs w:val="14"/>
                <w:color w:val="auto"/>
              </w:rPr>
              <w:t>Daniel N. Swisher, Jr., Renee D. Gala, Robert Iannone and Chris Tovey</w:t>
            </w:r>
          </w:p>
        </w:tc>
        <w:tc>
          <w:tcPr>
            <w:tcW w:w="0" w:type="dxa"/>
            <w:vAlign w:val="bottom"/>
          </w:tcPr>
          <w:p>
            <w:pPr>
              <w:spacing w:after="0"/>
              <w:rPr>
                <w:sz w:val="1"/>
                <w:szCs w:val="1"/>
                <w:color w:val="auto"/>
              </w:rPr>
            </w:pPr>
          </w:p>
        </w:tc>
      </w:tr>
      <w:tr>
        <w:trPr>
          <w:trHeight w:val="22"/>
        </w:trPr>
        <w:tc>
          <w:tcPr>
            <w:tcW w:w="740" w:type="dxa"/>
            <w:vAlign w:val="bottom"/>
            <w:tcBorders>
              <w:bottom w:val="single" w:sz="8" w:color="852166"/>
            </w:tcBorders>
          </w:tcPr>
          <w:p>
            <w:pPr>
              <w:spacing w:after="0" w:line="20" w:lineRule="exact"/>
              <w:rPr>
                <w:sz w:val="1"/>
                <w:szCs w:val="1"/>
                <w:color w:val="auto"/>
              </w:rPr>
            </w:pPr>
          </w:p>
        </w:tc>
        <w:tc>
          <w:tcPr>
            <w:tcW w:w="1640" w:type="dxa"/>
            <w:vAlign w:val="bottom"/>
            <w:tcBorders>
              <w:bottom w:val="single" w:sz="8" w:color="852166"/>
            </w:tcBorders>
          </w:tcPr>
          <w:p>
            <w:pPr>
              <w:spacing w:after="0" w:line="20" w:lineRule="exact"/>
              <w:rPr>
                <w:sz w:val="1"/>
                <w:szCs w:val="1"/>
                <w:color w:val="auto"/>
              </w:rPr>
            </w:pPr>
          </w:p>
        </w:tc>
        <w:tc>
          <w:tcPr>
            <w:tcW w:w="1880" w:type="dxa"/>
            <w:vAlign w:val="bottom"/>
            <w:tcBorders>
              <w:bottom w:val="single" w:sz="8" w:color="852166"/>
            </w:tcBorders>
          </w:tcPr>
          <w:p>
            <w:pPr>
              <w:spacing w:after="0" w:line="20" w:lineRule="exact"/>
              <w:rPr>
                <w:sz w:val="1"/>
                <w:szCs w:val="1"/>
                <w:color w:val="auto"/>
              </w:rPr>
            </w:pPr>
          </w:p>
        </w:tc>
        <w:tc>
          <w:tcPr>
            <w:tcW w:w="6240" w:type="dxa"/>
            <w:vAlign w:val="bottom"/>
            <w:tcBorders>
              <w:bottom w:val="single" w:sz="8" w:color="852166"/>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60" w:hanging="332"/>
        <w:spacing w:after="0" w:line="262" w:lineRule="auto"/>
        <w:tabs>
          <w:tab w:leader="none" w:pos="327" w:val="left"/>
        </w:tabs>
        <w:numPr>
          <w:ilvl w:val="0"/>
          <w:numId w:val="93"/>
        </w:numPr>
        <w:rPr>
          <w:rFonts w:ascii="Arial" w:cs="Arial" w:eastAsia="Arial" w:hAnsi="Arial"/>
          <w:sz w:val="14"/>
          <w:szCs w:val="14"/>
          <w:color w:val="auto"/>
        </w:rPr>
      </w:pPr>
      <w:r>
        <w:rPr>
          <w:rFonts w:ascii="Arial" w:cs="Arial" w:eastAsia="Arial" w:hAnsi="Arial"/>
          <w:sz w:val="14"/>
          <w:szCs w:val="14"/>
          <w:color w:val="auto"/>
        </w:rPr>
        <w:t>Amounts represent Compensation Actually Paid to our PEO and former PEO, and the average Compensation Actually Paid to our non-PEO NEOs, for the relevant fiscal year. Compensation Actually Paid represents the amount reported in the Total column of the Summary Compensation Table for the applicable fiscal year, adjusted as shown below. For the purposes of the adjustments below, the fair value of equity awards on the applicable date were determined in accordance with FASB ASC 718, using valuation methodologies that are generally consistent with those used to determine the grant-date fair value for accounting purposes. Fair value or change in fair value, as applicable, of equity awards in the Compensation Actually Paid columns was determined as follows: (i) for RSUs, the closing price of our ordinary shares on the applicable fiscal year-end date, or, in the case of vesting RSUs, the closing price of our ordinary shares on the applicable vesting date; (ii) for PSUs, the closing fair value of the awards using a Monte-Carlo simulation method, multiplied by a factor reflecting achievement of the probable outcome of the cumulative performance objective as of the measurement date; and (iii) for stock options, the closing fair value of the stock options based on a Black-Scholes option pricing model on the applicable fiscal year-end date, or, in the case of vesting stock options, the closing fair value on the applicable vesting date. Details of the adjustments made to the Summary Compensation Table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235585</wp:posOffset>
            </wp:positionV>
            <wp:extent cx="1242695" cy="20574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93</w:t>
            </w:r>
          </w:p>
        </w:tc>
      </w:tr>
      <w:tr>
        <w:trPr>
          <w:trHeight w:val="49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389"/>
        </w:trPr>
        <w:tc>
          <w:tcPr>
            <w:tcW w:w="2780" w:type="dxa"/>
            <w:vAlign w:val="bottom"/>
            <w:gridSpan w:val="3"/>
            <w:shd w:val="clear" w:color="auto" w:fill="852166"/>
          </w:tcPr>
          <w:p>
            <w:pPr>
              <w:ind w:left="120"/>
              <w:spacing w:after="0"/>
              <w:rPr>
                <w:sz w:val="20"/>
                <w:szCs w:val="20"/>
                <w:color w:val="auto"/>
              </w:rPr>
            </w:pPr>
            <w:r>
              <w:rPr>
                <w:rFonts w:ascii="Arial" w:cs="Arial" w:eastAsia="Arial" w:hAnsi="Arial"/>
                <w:sz w:val="14"/>
                <w:szCs w:val="14"/>
                <w:b w:val="1"/>
                <w:bCs w:val="1"/>
                <w:color w:val="FFFFFF"/>
              </w:rPr>
              <w:t>EXECUTIVE COMPENSATION</w:t>
            </w:r>
          </w:p>
        </w:tc>
        <w:tc>
          <w:tcPr>
            <w:tcW w:w="4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40" w:type="dxa"/>
            <w:vAlign w:val="bottom"/>
            <w:shd w:val="clear" w:color="auto" w:fill="852166"/>
          </w:tcPr>
          <w:p>
            <w:pPr>
              <w:spacing w:after="0"/>
              <w:rPr>
                <w:sz w:val="7"/>
                <w:szCs w:val="7"/>
                <w:color w:val="auto"/>
              </w:rPr>
            </w:pPr>
          </w:p>
        </w:tc>
        <w:tc>
          <w:tcPr>
            <w:tcW w:w="80" w:type="dxa"/>
            <w:vAlign w:val="bottom"/>
            <w:shd w:val="clear" w:color="auto" w:fill="852166"/>
          </w:tcPr>
          <w:p>
            <w:pPr>
              <w:spacing w:after="0"/>
              <w:rPr>
                <w:sz w:val="7"/>
                <w:szCs w:val="7"/>
                <w:color w:val="auto"/>
              </w:rPr>
            </w:pPr>
          </w:p>
        </w:tc>
        <w:tc>
          <w:tcPr>
            <w:tcW w:w="2360" w:type="dxa"/>
            <w:vAlign w:val="bottom"/>
            <w:shd w:val="clear" w:color="auto" w:fill="852166"/>
          </w:tcPr>
          <w:p>
            <w:pPr>
              <w:spacing w:after="0"/>
              <w:rPr>
                <w:sz w:val="7"/>
                <w:szCs w:val="7"/>
                <w:color w:val="auto"/>
              </w:rPr>
            </w:pPr>
          </w:p>
        </w:tc>
        <w:tc>
          <w:tcPr>
            <w:tcW w:w="44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8"/>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0" w:type="dxa"/>
            <w:vAlign w:val="bottom"/>
            <w:tcBorders>
              <w:bottom w:val="single" w:sz="8" w:color="001C71"/>
            </w:tcBorders>
          </w:tcPr>
          <w:p>
            <w:pPr>
              <w:spacing w:after="0"/>
              <w:rPr>
                <w:sz w:val="24"/>
                <w:szCs w:val="24"/>
                <w:color w:val="auto"/>
              </w:rPr>
            </w:pPr>
          </w:p>
        </w:tc>
        <w:tc>
          <w:tcPr>
            <w:tcW w:w="1040" w:type="dxa"/>
            <w:vAlign w:val="bottom"/>
            <w:tcBorders>
              <w:bottom w:val="single" w:sz="8" w:color="001C71"/>
            </w:tcBorders>
          </w:tcPr>
          <w:p>
            <w:pPr>
              <w:spacing w:after="0"/>
              <w:rPr>
                <w:sz w:val="24"/>
                <w:szCs w:val="24"/>
                <w:color w:val="auto"/>
              </w:rPr>
            </w:pPr>
          </w:p>
        </w:tc>
        <w:tc>
          <w:tcPr>
            <w:tcW w:w="1420" w:type="dxa"/>
            <w:vAlign w:val="bottom"/>
            <w:tcBorders>
              <w:bottom w:val="single" w:sz="8" w:color="001C71"/>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420" w:type="dxa"/>
            <w:vAlign w:val="bottom"/>
            <w:tcBorders>
              <w:right w:val="single" w:sz="8" w:color="001C71"/>
            </w:tcBorders>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001C71"/>
              </w:rPr>
              <w:t>2025</w:t>
            </w:r>
          </w:p>
        </w:tc>
        <w:tc>
          <w:tcPr>
            <w:tcW w:w="1420" w:type="dxa"/>
            <w:vAlign w:val="bottom"/>
            <w:tcBorders>
              <w:right w:val="single" w:sz="8" w:color="001C71"/>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80" w:type="dxa"/>
            <w:vAlign w:val="bottom"/>
            <w:shd w:val="clear" w:color="auto" w:fill="001C71"/>
          </w:tcPr>
          <w:p>
            <w:pPr>
              <w:spacing w:after="0"/>
              <w:rPr>
                <w:sz w:val="17"/>
                <w:szCs w:val="17"/>
                <w:color w:val="auto"/>
              </w:rPr>
            </w:pPr>
          </w:p>
        </w:tc>
        <w:tc>
          <w:tcPr>
            <w:tcW w:w="2360" w:type="dxa"/>
            <w:vAlign w:val="bottom"/>
            <w:shd w:val="clear" w:color="auto" w:fill="001C71"/>
          </w:tcPr>
          <w:p>
            <w:pPr>
              <w:spacing w:after="0"/>
              <w:rPr>
                <w:sz w:val="17"/>
                <w:szCs w:val="17"/>
                <w:color w:val="auto"/>
              </w:rPr>
            </w:pPr>
          </w:p>
        </w:tc>
        <w:tc>
          <w:tcPr>
            <w:tcW w:w="4420" w:type="dxa"/>
            <w:vAlign w:val="bottom"/>
            <w:tcBorders>
              <w:right w:val="single" w:sz="8" w:color="001C71"/>
            </w:tcBorders>
            <w:shd w:val="clear" w:color="auto" w:fill="001C71"/>
          </w:tcPr>
          <w:p>
            <w:pPr>
              <w:spacing w:after="0"/>
              <w:rPr>
                <w:sz w:val="17"/>
                <w:szCs w:val="17"/>
                <w:color w:val="auto"/>
              </w:rPr>
            </w:pPr>
          </w:p>
        </w:tc>
        <w:tc>
          <w:tcPr>
            <w:tcW w:w="1200" w:type="dxa"/>
            <w:vAlign w:val="bottom"/>
            <w:vMerge w:val="restart"/>
            <w:shd w:val="clear" w:color="auto" w:fill="001C71"/>
          </w:tcPr>
          <w:p>
            <w:pPr>
              <w:jc w:val="right"/>
              <w:ind w:right="68"/>
              <w:spacing w:after="0"/>
              <w:rPr>
                <w:sz w:val="20"/>
                <w:szCs w:val="20"/>
                <w:color w:val="auto"/>
              </w:rPr>
            </w:pPr>
            <w:r>
              <w:rPr>
                <w:rFonts w:ascii="Arial" w:cs="Arial" w:eastAsia="Arial" w:hAnsi="Arial"/>
                <w:sz w:val="14"/>
                <w:szCs w:val="14"/>
                <w:b w:val="1"/>
                <w:bCs w:val="1"/>
                <w:color w:val="FFFFFF"/>
              </w:rPr>
              <w:t>PEO</w:t>
            </w:r>
          </w:p>
        </w:tc>
        <w:tc>
          <w:tcPr>
            <w:tcW w:w="1040" w:type="dxa"/>
            <w:vAlign w:val="bottom"/>
            <w:vMerge w:val="restart"/>
            <w:shd w:val="clear" w:color="auto" w:fill="001C71"/>
          </w:tcPr>
          <w:p>
            <w:pPr>
              <w:jc w:val="right"/>
              <w:spacing w:after="0"/>
              <w:rPr>
                <w:sz w:val="20"/>
                <w:szCs w:val="20"/>
                <w:color w:val="auto"/>
              </w:rPr>
            </w:pPr>
            <w:r>
              <w:rPr>
                <w:rFonts w:ascii="Arial" w:cs="Arial" w:eastAsia="Arial" w:hAnsi="Arial"/>
                <w:sz w:val="14"/>
                <w:szCs w:val="14"/>
                <w:b w:val="1"/>
                <w:bCs w:val="1"/>
                <w:color w:val="FFFFFF"/>
              </w:rPr>
              <w:t>Former PEO</w:t>
            </w:r>
          </w:p>
        </w:tc>
        <w:tc>
          <w:tcPr>
            <w:tcW w:w="1420" w:type="dxa"/>
            <w:vAlign w:val="bottom"/>
            <w:tcBorders>
              <w:right w:val="single" w:sz="8" w:color="001C71"/>
            </w:tcBorders>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Average Non-PEO</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80" w:type="dxa"/>
            <w:vAlign w:val="bottom"/>
            <w:shd w:val="clear" w:color="auto" w:fill="001C71"/>
          </w:tcPr>
          <w:p>
            <w:pPr>
              <w:spacing w:after="0"/>
              <w:rPr>
                <w:sz w:val="14"/>
                <w:szCs w:val="14"/>
                <w:color w:val="auto"/>
              </w:rPr>
            </w:pPr>
          </w:p>
        </w:tc>
        <w:tc>
          <w:tcPr>
            <w:tcW w:w="2360" w:type="dxa"/>
            <w:vAlign w:val="bottom"/>
            <w:shd w:val="clear" w:color="auto" w:fill="001C71"/>
          </w:tcPr>
          <w:p>
            <w:pPr>
              <w:spacing w:after="0"/>
              <w:rPr>
                <w:sz w:val="14"/>
                <w:szCs w:val="14"/>
                <w:color w:val="auto"/>
              </w:rPr>
            </w:pPr>
          </w:p>
        </w:tc>
        <w:tc>
          <w:tcPr>
            <w:tcW w:w="4420" w:type="dxa"/>
            <w:vAlign w:val="bottom"/>
            <w:tcBorders>
              <w:right w:val="single" w:sz="8" w:color="001C71"/>
            </w:tcBorders>
            <w:shd w:val="clear" w:color="auto" w:fill="001C71"/>
          </w:tcPr>
          <w:p>
            <w:pPr>
              <w:spacing w:after="0"/>
              <w:rPr>
                <w:sz w:val="14"/>
                <w:szCs w:val="14"/>
                <w:color w:val="auto"/>
              </w:rPr>
            </w:pPr>
          </w:p>
        </w:tc>
        <w:tc>
          <w:tcPr>
            <w:tcW w:w="1200" w:type="dxa"/>
            <w:vAlign w:val="bottom"/>
            <w:vMerge w:val="continue"/>
            <w:shd w:val="clear" w:color="auto" w:fill="001C71"/>
          </w:tcPr>
          <w:p>
            <w:pPr>
              <w:spacing w:after="0"/>
              <w:rPr>
                <w:sz w:val="14"/>
                <w:szCs w:val="14"/>
                <w:color w:val="auto"/>
              </w:rPr>
            </w:pPr>
          </w:p>
        </w:tc>
        <w:tc>
          <w:tcPr>
            <w:tcW w:w="1040" w:type="dxa"/>
            <w:vAlign w:val="bottom"/>
            <w:vMerge w:val="continue"/>
            <w:shd w:val="clear" w:color="auto" w:fill="001C71"/>
          </w:tcPr>
          <w:p>
            <w:pPr>
              <w:spacing w:after="0"/>
              <w:rPr>
                <w:sz w:val="14"/>
                <w:szCs w:val="14"/>
                <w:color w:val="auto"/>
              </w:rPr>
            </w:pPr>
          </w:p>
        </w:tc>
        <w:tc>
          <w:tcPr>
            <w:tcW w:w="1420" w:type="dxa"/>
            <w:vAlign w:val="bottom"/>
            <w:tcBorders>
              <w:right w:val="single" w:sz="8" w:color="001C71"/>
            </w:tcBorders>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NEOs</w:t>
            </w:r>
          </w:p>
        </w:tc>
        <w:tc>
          <w:tcPr>
            <w:tcW w:w="0" w:type="dxa"/>
            <w:vAlign w:val="bottom"/>
          </w:tcPr>
          <w:p>
            <w:pPr>
              <w:spacing w:after="0"/>
              <w:rPr>
                <w:sz w:val="1"/>
                <w:szCs w:val="1"/>
                <w:color w:val="auto"/>
              </w:rPr>
            </w:pPr>
          </w:p>
        </w:tc>
      </w:tr>
      <w:tr>
        <w:trPr>
          <w:trHeight w:val="246"/>
        </w:trPr>
        <w:tc>
          <w:tcPr>
            <w:tcW w:w="340" w:type="dxa"/>
            <w:vAlign w:val="bottom"/>
          </w:tcPr>
          <w:p>
            <w:pPr>
              <w:spacing w:after="0"/>
              <w:rPr>
                <w:sz w:val="21"/>
                <w:szCs w:val="21"/>
                <w:color w:val="auto"/>
              </w:rPr>
            </w:pPr>
          </w:p>
        </w:tc>
        <w:tc>
          <w:tcPr>
            <w:tcW w:w="80" w:type="dxa"/>
            <w:vAlign w:val="bottom"/>
            <w:tcBorders>
              <w:bottom w:val="single" w:sz="8" w:color="001C71"/>
            </w:tcBorders>
            <w:shd w:val="clear" w:color="auto" w:fill="001C71"/>
          </w:tcPr>
          <w:p>
            <w:pPr>
              <w:spacing w:after="0"/>
              <w:rPr>
                <w:sz w:val="21"/>
                <w:szCs w:val="21"/>
                <w:color w:val="auto"/>
              </w:rPr>
            </w:pPr>
          </w:p>
        </w:tc>
        <w:tc>
          <w:tcPr>
            <w:tcW w:w="6780" w:type="dxa"/>
            <w:vAlign w:val="bottom"/>
            <w:tcBorders>
              <w:bottom w:val="single" w:sz="8" w:color="001C71"/>
              <w:right w:val="single" w:sz="8" w:color="001C71"/>
            </w:tcBorders>
            <w:gridSpan w:val="2"/>
            <w:shd w:val="clear" w:color="auto" w:fill="001C71"/>
          </w:tcPr>
          <w:p>
            <w:pPr>
              <w:ind w:left="20"/>
              <w:spacing w:after="0"/>
              <w:rPr>
                <w:sz w:val="20"/>
                <w:szCs w:val="20"/>
                <w:color w:val="auto"/>
              </w:rPr>
            </w:pPr>
            <w:r>
              <w:rPr>
                <w:rFonts w:ascii="Arial" w:cs="Arial" w:eastAsia="Arial" w:hAnsi="Arial"/>
                <w:sz w:val="14"/>
                <w:szCs w:val="14"/>
                <w:b w:val="1"/>
                <w:bCs w:val="1"/>
                <w:color w:val="FFFFFF"/>
              </w:rPr>
              <w:t>Adjustments</w:t>
            </w:r>
          </w:p>
        </w:tc>
        <w:tc>
          <w:tcPr>
            <w:tcW w:w="1200" w:type="dxa"/>
            <w:vAlign w:val="bottom"/>
            <w:tcBorders>
              <w:bottom w:val="single" w:sz="8" w:color="001C71"/>
            </w:tcBorders>
            <w:shd w:val="clear" w:color="auto" w:fill="001C71"/>
          </w:tcPr>
          <w:p>
            <w:pPr>
              <w:jc w:val="right"/>
              <w:ind w:right="68"/>
              <w:spacing w:after="0"/>
              <w:rPr>
                <w:sz w:val="20"/>
                <w:szCs w:val="20"/>
                <w:color w:val="auto"/>
              </w:rPr>
            </w:pPr>
            <w:r>
              <w:rPr>
                <w:rFonts w:ascii="Arial" w:cs="Arial" w:eastAsia="Arial" w:hAnsi="Arial"/>
                <w:sz w:val="14"/>
                <w:szCs w:val="14"/>
                <w:b w:val="1"/>
                <w:bCs w:val="1"/>
                <w:color w:val="FFFFFF"/>
              </w:rPr>
              <w:t>($)</w:t>
            </w:r>
          </w:p>
        </w:tc>
        <w:tc>
          <w:tcPr>
            <w:tcW w:w="1040" w:type="dxa"/>
            <w:vAlign w:val="bottom"/>
            <w:tcBorders>
              <w:bottom w:val="single" w:sz="8" w:color="001C71"/>
            </w:tcBorders>
            <w:shd w:val="clear" w:color="auto" w:fill="001C71"/>
          </w:tcPr>
          <w:p>
            <w:pPr>
              <w:jc w:val="right"/>
              <w:spacing w:after="0"/>
              <w:rPr>
                <w:sz w:val="20"/>
                <w:szCs w:val="20"/>
                <w:color w:val="auto"/>
              </w:rPr>
            </w:pPr>
            <w:r>
              <w:rPr>
                <w:rFonts w:ascii="Arial" w:cs="Arial" w:eastAsia="Arial" w:hAnsi="Arial"/>
                <w:sz w:val="14"/>
                <w:szCs w:val="14"/>
                <w:b w:val="1"/>
                <w:bCs w:val="1"/>
                <w:color w:val="FFFFFF"/>
              </w:rPr>
              <w:t>($)</w:t>
            </w:r>
          </w:p>
        </w:tc>
        <w:tc>
          <w:tcPr>
            <w:tcW w:w="1420" w:type="dxa"/>
            <w:vAlign w:val="bottom"/>
            <w:tcBorders>
              <w:bottom w:val="single" w:sz="8" w:color="001C71"/>
              <w:right w:val="single" w:sz="8" w:color="001C71"/>
            </w:tcBorders>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80" w:type="dxa"/>
            <w:vAlign w:val="bottom"/>
            <w:gridSpan w:val="2"/>
          </w:tcPr>
          <w:p>
            <w:pPr>
              <w:ind w:left="20"/>
              <w:spacing w:after="0"/>
              <w:rPr>
                <w:sz w:val="20"/>
                <w:szCs w:val="20"/>
                <w:color w:val="auto"/>
              </w:rPr>
            </w:pPr>
            <w:r>
              <w:rPr>
                <w:rFonts w:ascii="Arial" w:cs="Arial" w:eastAsia="Arial" w:hAnsi="Arial"/>
                <w:sz w:val="14"/>
                <w:szCs w:val="14"/>
                <w:color w:val="auto"/>
              </w:rPr>
              <w:t>Total compensation as reported in the Summary Compensation Table</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19,151,558</w:t>
            </w:r>
          </w:p>
        </w:tc>
        <w:tc>
          <w:tcPr>
            <w:tcW w:w="1040" w:type="dxa"/>
            <w:vAlign w:val="bottom"/>
          </w:tcPr>
          <w:p>
            <w:pPr>
              <w:jc w:val="right"/>
              <w:spacing w:after="0"/>
              <w:rPr>
                <w:sz w:val="20"/>
                <w:szCs w:val="20"/>
                <w:color w:val="auto"/>
              </w:rPr>
            </w:pPr>
            <w:r>
              <w:rPr>
                <w:rFonts w:ascii="Arial" w:cs="Arial" w:eastAsia="Arial" w:hAnsi="Arial"/>
                <w:sz w:val="14"/>
                <w:szCs w:val="14"/>
                <w:color w:val="auto"/>
              </w:rPr>
              <w:t>18,834,836</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7,132,974</w:t>
            </w: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80" w:type="dxa"/>
            <w:vAlign w:val="bottom"/>
            <w:tcBorders>
              <w:bottom w:val="single" w:sz="8" w:color="5673B8"/>
            </w:tcBorders>
          </w:tcPr>
          <w:p>
            <w:pPr>
              <w:spacing w:after="0" w:line="20" w:lineRule="exact"/>
              <w:rPr>
                <w:sz w:val="1"/>
                <w:szCs w:val="1"/>
                <w:color w:val="auto"/>
              </w:rPr>
            </w:pPr>
          </w:p>
        </w:tc>
        <w:tc>
          <w:tcPr>
            <w:tcW w:w="6780" w:type="dxa"/>
            <w:vAlign w:val="bottom"/>
            <w:tcBorders>
              <w:bottom w:val="single" w:sz="8" w:color="5673B8"/>
            </w:tcBorders>
            <w:gridSpan w:val="2"/>
          </w:tcPr>
          <w:p>
            <w:pPr>
              <w:spacing w:after="0" w:line="20" w:lineRule="exact"/>
              <w:rPr>
                <w:sz w:val="1"/>
                <w:szCs w:val="1"/>
                <w:color w:val="auto"/>
              </w:rPr>
            </w:pPr>
          </w:p>
        </w:tc>
        <w:tc>
          <w:tcPr>
            <w:tcW w:w="1200" w:type="dxa"/>
            <w:vAlign w:val="bottom"/>
            <w:tcBorders>
              <w:bottom w:val="single" w:sz="8" w:color="5673B8"/>
            </w:tcBorders>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14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780" w:type="dxa"/>
            <w:vAlign w:val="bottom"/>
            <w:gridSpan w:val="2"/>
          </w:tcPr>
          <w:p>
            <w:pPr>
              <w:ind w:left="20"/>
              <w:spacing w:after="0"/>
              <w:rPr>
                <w:sz w:val="20"/>
                <w:szCs w:val="20"/>
                <w:color w:val="auto"/>
              </w:rPr>
            </w:pPr>
            <w:r>
              <w:rPr>
                <w:rFonts w:ascii="Arial" w:cs="Arial" w:eastAsia="Arial" w:hAnsi="Arial"/>
                <w:sz w:val="14"/>
                <w:szCs w:val="14"/>
                <w:color w:val="auto"/>
              </w:rPr>
              <w:t>(Deduct): Grant date fair value of awards as reported in the Stock Awards column in the Summary</w:t>
            </w: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color w:val="auto"/>
              </w:rPr>
              <w:t>(16,138,433)</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(16,896,512)</w:t>
            </w: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(5,625,973)</w:t>
            </w:r>
          </w:p>
        </w:tc>
        <w:tc>
          <w:tcPr>
            <w:tcW w:w="0" w:type="dxa"/>
            <w:vAlign w:val="bottom"/>
          </w:tcPr>
          <w:p>
            <w:pPr>
              <w:spacing w:after="0"/>
              <w:rPr>
                <w:sz w:val="1"/>
                <w:szCs w:val="1"/>
                <w:color w:val="auto"/>
              </w:rPr>
            </w:pPr>
          </w:p>
        </w:tc>
      </w:tr>
      <w:tr>
        <w:trPr>
          <w:trHeight w:val="96"/>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780" w:type="dxa"/>
            <w:vAlign w:val="bottom"/>
            <w:gridSpan w:val="2"/>
            <w:vMerge w:val="restart"/>
          </w:tcPr>
          <w:p>
            <w:pPr>
              <w:ind w:left="20"/>
              <w:spacing w:after="0"/>
              <w:rPr>
                <w:sz w:val="20"/>
                <w:szCs w:val="20"/>
                <w:color w:val="auto"/>
              </w:rPr>
            </w:pPr>
            <w:r>
              <w:rPr>
                <w:rFonts w:ascii="Arial" w:cs="Arial" w:eastAsia="Arial" w:hAnsi="Arial"/>
                <w:sz w:val="14"/>
                <w:szCs w:val="14"/>
                <w:color w:val="auto"/>
              </w:rPr>
              <w:t>Compensation Table for applicable fiscal year</w:t>
            </w:r>
          </w:p>
        </w:tc>
        <w:tc>
          <w:tcPr>
            <w:tcW w:w="12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78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80" w:type="dxa"/>
            <w:vAlign w:val="bottom"/>
            <w:tcBorders>
              <w:bottom w:val="single" w:sz="8" w:color="5673B8"/>
            </w:tcBorders>
          </w:tcPr>
          <w:p>
            <w:pPr>
              <w:spacing w:after="0" w:line="20" w:lineRule="exact"/>
              <w:rPr>
                <w:sz w:val="1"/>
                <w:szCs w:val="1"/>
                <w:color w:val="auto"/>
              </w:rPr>
            </w:pPr>
          </w:p>
        </w:tc>
        <w:tc>
          <w:tcPr>
            <w:tcW w:w="6780" w:type="dxa"/>
            <w:vAlign w:val="bottom"/>
            <w:tcBorders>
              <w:bottom w:val="single" w:sz="8" w:color="5673B8"/>
            </w:tcBorders>
            <w:gridSpan w:val="2"/>
          </w:tcPr>
          <w:p>
            <w:pPr>
              <w:spacing w:after="0" w:line="20" w:lineRule="exact"/>
              <w:rPr>
                <w:sz w:val="1"/>
                <w:szCs w:val="1"/>
                <w:color w:val="auto"/>
              </w:rPr>
            </w:pPr>
          </w:p>
        </w:tc>
        <w:tc>
          <w:tcPr>
            <w:tcW w:w="1200" w:type="dxa"/>
            <w:vAlign w:val="bottom"/>
            <w:tcBorders>
              <w:bottom w:val="single" w:sz="8" w:color="5673B8"/>
            </w:tcBorders>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14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780" w:type="dxa"/>
            <w:vAlign w:val="bottom"/>
            <w:gridSpan w:val="2"/>
          </w:tcPr>
          <w:p>
            <w:pPr>
              <w:ind w:left="20"/>
              <w:spacing w:after="0"/>
              <w:rPr>
                <w:sz w:val="20"/>
                <w:szCs w:val="20"/>
                <w:color w:val="auto"/>
              </w:rPr>
            </w:pPr>
            <w:r>
              <w:rPr>
                <w:rFonts w:ascii="Arial" w:cs="Arial" w:eastAsia="Arial" w:hAnsi="Arial"/>
                <w:sz w:val="14"/>
                <w:szCs w:val="14"/>
                <w:color w:val="auto"/>
              </w:rPr>
              <w:t>Add: ASC 718 fair value of awards granted during applicable fiscal year that remain unvested as of</w:t>
            </w: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color w:val="auto"/>
              </w:rPr>
              <w:t>23,034,474</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5,664,400</w:t>
            </w: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6,917,245</w:t>
            </w:r>
          </w:p>
        </w:tc>
        <w:tc>
          <w:tcPr>
            <w:tcW w:w="0" w:type="dxa"/>
            <w:vAlign w:val="bottom"/>
          </w:tcPr>
          <w:p>
            <w:pPr>
              <w:spacing w:after="0"/>
              <w:rPr>
                <w:sz w:val="1"/>
                <w:szCs w:val="1"/>
                <w:color w:val="auto"/>
              </w:rPr>
            </w:pPr>
          </w:p>
        </w:tc>
      </w:tr>
      <w:tr>
        <w:trPr>
          <w:trHeight w:val="96"/>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780" w:type="dxa"/>
            <w:vAlign w:val="bottom"/>
            <w:gridSpan w:val="2"/>
            <w:vMerge w:val="restart"/>
          </w:tcPr>
          <w:p>
            <w:pPr>
              <w:ind w:left="20"/>
              <w:spacing w:after="0"/>
              <w:rPr>
                <w:sz w:val="20"/>
                <w:szCs w:val="20"/>
                <w:color w:val="auto"/>
              </w:rPr>
            </w:pPr>
            <w:r>
              <w:rPr>
                <w:rFonts w:ascii="Arial" w:cs="Arial" w:eastAsia="Arial" w:hAnsi="Arial"/>
                <w:sz w:val="14"/>
                <w:szCs w:val="14"/>
                <w:color w:val="auto"/>
              </w:rPr>
              <w:t>current fiscal year-end, determined as of applicable fiscal year-end</w:t>
            </w:r>
          </w:p>
        </w:tc>
        <w:tc>
          <w:tcPr>
            <w:tcW w:w="12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78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80" w:type="dxa"/>
            <w:vAlign w:val="bottom"/>
            <w:tcBorders>
              <w:bottom w:val="single" w:sz="8" w:color="5673B8"/>
            </w:tcBorders>
          </w:tcPr>
          <w:p>
            <w:pPr>
              <w:spacing w:after="0" w:line="20" w:lineRule="exact"/>
              <w:rPr>
                <w:sz w:val="1"/>
                <w:szCs w:val="1"/>
                <w:color w:val="auto"/>
              </w:rPr>
            </w:pPr>
          </w:p>
        </w:tc>
        <w:tc>
          <w:tcPr>
            <w:tcW w:w="6780" w:type="dxa"/>
            <w:vAlign w:val="bottom"/>
            <w:tcBorders>
              <w:bottom w:val="single" w:sz="8" w:color="5673B8"/>
            </w:tcBorders>
            <w:gridSpan w:val="2"/>
          </w:tcPr>
          <w:p>
            <w:pPr>
              <w:spacing w:after="0" w:line="20" w:lineRule="exact"/>
              <w:rPr>
                <w:sz w:val="1"/>
                <w:szCs w:val="1"/>
                <w:color w:val="auto"/>
              </w:rPr>
            </w:pPr>
          </w:p>
        </w:tc>
        <w:tc>
          <w:tcPr>
            <w:tcW w:w="1200" w:type="dxa"/>
            <w:vAlign w:val="bottom"/>
            <w:tcBorders>
              <w:bottom w:val="single" w:sz="8" w:color="5673B8"/>
            </w:tcBorders>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14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780" w:type="dxa"/>
            <w:vAlign w:val="bottom"/>
            <w:gridSpan w:val="2"/>
          </w:tcPr>
          <w:p>
            <w:pPr>
              <w:ind w:left="20"/>
              <w:spacing w:after="0"/>
              <w:rPr>
                <w:sz w:val="20"/>
                <w:szCs w:val="20"/>
                <w:color w:val="auto"/>
              </w:rPr>
            </w:pPr>
            <w:r>
              <w:rPr>
                <w:rFonts w:ascii="Arial" w:cs="Arial" w:eastAsia="Arial" w:hAnsi="Arial"/>
                <w:sz w:val="14"/>
                <w:szCs w:val="14"/>
                <w:color w:val="auto"/>
              </w:rPr>
              <w:t>Add: Change in ASC 718 fair value from prior fiscal year-end to applicable fiscal year-end of awards</w:t>
            </w: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color w:val="auto"/>
              </w:rPr>
              <w:t>3,503,890</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7,806,656</w:t>
            </w: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2,208,177</w:t>
            </w:r>
          </w:p>
        </w:tc>
        <w:tc>
          <w:tcPr>
            <w:tcW w:w="0" w:type="dxa"/>
            <w:vAlign w:val="bottom"/>
          </w:tcPr>
          <w:p>
            <w:pPr>
              <w:spacing w:after="0"/>
              <w:rPr>
                <w:sz w:val="1"/>
                <w:szCs w:val="1"/>
                <w:color w:val="auto"/>
              </w:rPr>
            </w:pPr>
          </w:p>
        </w:tc>
      </w:tr>
      <w:tr>
        <w:trPr>
          <w:trHeight w:val="96"/>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780" w:type="dxa"/>
            <w:vAlign w:val="bottom"/>
            <w:gridSpan w:val="2"/>
            <w:vMerge w:val="restart"/>
          </w:tcPr>
          <w:p>
            <w:pPr>
              <w:ind w:left="20"/>
              <w:spacing w:after="0"/>
              <w:rPr>
                <w:sz w:val="20"/>
                <w:szCs w:val="20"/>
                <w:color w:val="auto"/>
              </w:rPr>
            </w:pPr>
            <w:r>
              <w:rPr>
                <w:rFonts w:ascii="Arial" w:cs="Arial" w:eastAsia="Arial" w:hAnsi="Arial"/>
                <w:sz w:val="14"/>
                <w:szCs w:val="14"/>
                <w:color w:val="auto"/>
              </w:rPr>
              <w:t>granted during prior fiscal years that were outstanding and unvested as of applicable fiscal year-end</w:t>
            </w:r>
          </w:p>
        </w:tc>
        <w:tc>
          <w:tcPr>
            <w:tcW w:w="12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78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80" w:type="dxa"/>
            <w:vAlign w:val="bottom"/>
            <w:tcBorders>
              <w:bottom w:val="single" w:sz="8" w:color="5673B8"/>
            </w:tcBorders>
          </w:tcPr>
          <w:p>
            <w:pPr>
              <w:spacing w:after="0" w:line="20" w:lineRule="exact"/>
              <w:rPr>
                <w:sz w:val="1"/>
                <w:szCs w:val="1"/>
                <w:color w:val="auto"/>
              </w:rPr>
            </w:pPr>
          </w:p>
        </w:tc>
        <w:tc>
          <w:tcPr>
            <w:tcW w:w="6780" w:type="dxa"/>
            <w:vAlign w:val="bottom"/>
            <w:tcBorders>
              <w:bottom w:val="single" w:sz="8" w:color="5673B8"/>
            </w:tcBorders>
            <w:gridSpan w:val="2"/>
          </w:tcPr>
          <w:p>
            <w:pPr>
              <w:spacing w:after="0" w:line="20" w:lineRule="exact"/>
              <w:rPr>
                <w:sz w:val="1"/>
                <w:szCs w:val="1"/>
                <w:color w:val="auto"/>
              </w:rPr>
            </w:pPr>
          </w:p>
        </w:tc>
        <w:tc>
          <w:tcPr>
            <w:tcW w:w="1200" w:type="dxa"/>
            <w:vAlign w:val="bottom"/>
            <w:tcBorders>
              <w:bottom w:val="single" w:sz="8" w:color="5673B8"/>
            </w:tcBorders>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14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780" w:type="dxa"/>
            <w:vAlign w:val="bottom"/>
            <w:gridSpan w:val="2"/>
          </w:tcPr>
          <w:p>
            <w:pPr>
              <w:ind w:left="20"/>
              <w:spacing w:after="0"/>
              <w:rPr>
                <w:sz w:val="20"/>
                <w:szCs w:val="20"/>
                <w:color w:val="auto"/>
              </w:rPr>
            </w:pPr>
            <w:r>
              <w:rPr>
                <w:rFonts w:ascii="Arial" w:cs="Arial" w:eastAsia="Arial" w:hAnsi="Arial"/>
                <w:sz w:val="14"/>
                <w:szCs w:val="14"/>
                <w:color w:val="auto"/>
              </w:rPr>
              <w:t>Add: Change in ASC 718 fair value from prior fiscal year-end to vesting date of awards granted during</w:t>
            </w: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color w:val="auto"/>
              </w:rPr>
              <w:t>226,618</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12,731,635</w:t>
            </w: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114,925</w:t>
            </w:r>
          </w:p>
        </w:tc>
        <w:tc>
          <w:tcPr>
            <w:tcW w:w="0" w:type="dxa"/>
            <w:vAlign w:val="bottom"/>
          </w:tcPr>
          <w:p>
            <w:pPr>
              <w:spacing w:after="0"/>
              <w:rPr>
                <w:sz w:val="1"/>
                <w:szCs w:val="1"/>
                <w:color w:val="auto"/>
              </w:rPr>
            </w:pPr>
          </w:p>
        </w:tc>
      </w:tr>
      <w:tr>
        <w:trPr>
          <w:trHeight w:val="96"/>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780" w:type="dxa"/>
            <w:vAlign w:val="bottom"/>
            <w:gridSpan w:val="2"/>
            <w:vMerge w:val="restart"/>
          </w:tcPr>
          <w:p>
            <w:pPr>
              <w:ind w:left="20"/>
              <w:spacing w:after="0"/>
              <w:rPr>
                <w:sz w:val="20"/>
                <w:szCs w:val="20"/>
                <w:color w:val="auto"/>
              </w:rPr>
            </w:pPr>
            <w:r>
              <w:rPr>
                <w:rFonts w:ascii="Arial" w:cs="Arial" w:eastAsia="Arial" w:hAnsi="Arial"/>
                <w:sz w:val="14"/>
                <w:szCs w:val="14"/>
                <w:color w:val="auto"/>
              </w:rPr>
              <w:t>prior fiscal years that vested during applicable fiscal year</w:t>
            </w:r>
          </w:p>
        </w:tc>
        <w:tc>
          <w:tcPr>
            <w:tcW w:w="12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78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80" w:type="dxa"/>
            <w:vAlign w:val="bottom"/>
            <w:tcBorders>
              <w:bottom w:val="single" w:sz="8" w:color="5673B8"/>
            </w:tcBorders>
          </w:tcPr>
          <w:p>
            <w:pPr>
              <w:spacing w:after="0" w:line="20" w:lineRule="exact"/>
              <w:rPr>
                <w:sz w:val="1"/>
                <w:szCs w:val="1"/>
                <w:color w:val="auto"/>
              </w:rPr>
            </w:pPr>
          </w:p>
        </w:tc>
        <w:tc>
          <w:tcPr>
            <w:tcW w:w="6780" w:type="dxa"/>
            <w:vAlign w:val="bottom"/>
            <w:tcBorders>
              <w:bottom w:val="single" w:sz="8" w:color="5673B8"/>
            </w:tcBorders>
            <w:gridSpan w:val="2"/>
          </w:tcPr>
          <w:p>
            <w:pPr>
              <w:spacing w:after="0" w:line="20" w:lineRule="exact"/>
              <w:rPr>
                <w:sz w:val="1"/>
                <w:szCs w:val="1"/>
                <w:color w:val="auto"/>
              </w:rPr>
            </w:pPr>
          </w:p>
        </w:tc>
        <w:tc>
          <w:tcPr>
            <w:tcW w:w="1200" w:type="dxa"/>
            <w:vAlign w:val="bottom"/>
            <w:tcBorders>
              <w:bottom w:val="single" w:sz="8" w:color="5673B8"/>
            </w:tcBorders>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14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780" w:type="dxa"/>
            <w:vAlign w:val="bottom"/>
            <w:gridSpan w:val="2"/>
          </w:tcPr>
          <w:p>
            <w:pPr>
              <w:ind w:left="20"/>
              <w:spacing w:after="0"/>
              <w:rPr>
                <w:sz w:val="20"/>
                <w:szCs w:val="20"/>
                <w:color w:val="auto"/>
              </w:rPr>
            </w:pPr>
            <w:r>
              <w:rPr>
                <w:rFonts w:ascii="Arial" w:cs="Arial" w:eastAsia="Arial" w:hAnsi="Arial"/>
                <w:sz w:val="14"/>
                <w:szCs w:val="14"/>
                <w:color w:val="auto"/>
              </w:rPr>
              <w:t>(Deduct): Fair value as of the prior fiscal year-end of equity awards granted in prior fiscal year that failed</w:t>
            </w: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(4,014,964)</w:t>
            </w: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6"/>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780" w:type="dxa"/>
            <w:vAlign w:val="bottom"/>
            <w:gridSpan w:val="2"/>
            <w:vMerge w:val="restart"/>
          </w:tcPr>
          <w:p>
            <w:pPr>
              <w:ind w:left="20"/>
              <w:spacing w:after="0"/>
              <w:rPr>
                <w:sz w:val="20"/>
                <w:szCs w:val="20"/>
                <w:color w:val="auto"/>
              </w:rPr>
            </w:pPr>
            <w:r>
              <w:rPr>
                <w:rFonts w:ascii="Arial" w:cs="Arial" w:eastAsia="Arial" w:hAnsi="Arial"/>
                <w:sz w:val="14"/>
                <w:szCs w:val="14"/>
                <w:color w:val="auto"/>
              </w:rPr>
              <w:t>to meet vesting conditions in the applicable fiscal year</w:t>
            </w:r>
          </w:p>
        </w:tc>
        <w:tc>
          <w:tcPr>
            <w:tcW w:w="12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78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80" w:type="dxa"/>
            <w:vAlign w:val="bottom"/>
            <w:tcBorders>
              <w:bottom w:val="single" w:sz="8" w:color="5673B8"/>
            </w:tcBorders>
          </w:tcPr>
          <w:p>
            <w:pPr>
              <w:spacing w:after="0" w:line="20" w:lineRule="exact"/>
              <w:rPr>
                <w:sz w:val="1"/>
                <w:szCs w:val="1"/>
                <w:color w:val="auto"/>
              </w:rPr>
            </w:pPr>
          </w:p>
        </w:tc>
        <w:tc>
          <w:tcPr>
            <w:tcW w:w="6780" w:type="dxa"/>
            <w:vAlign w:val="bottom"/>
            <w:tcBorders>
              <w:bottom w:val="single" w:sz="8" w:color="5673B8"/>
            </w:tcBorders>
            <w:gridSpan w:val="2"/>
          </w:tcPr>
          <w:p>
            <w:pPr>
              <w:spacing w:after="0" w:line="20" w:lineRule="exact"/>
              <w:rPr>
                <w:sz w:val="1"/>
                <w:szCs w:val="1"/>
                <w:color w:val="auto"/>
              </w:rPr>
            </w:pPr>
          </w:p>
        </w:tc>
        <w:tc>
          <w:tcPr>
            <w:tcW w:w="1200" w:type="dxa"/>
            <w:vAlign w:val="bottom"/>
            <w:tcBorders>
              <w:bottom w:val="single" w:sz="8" w:color="5673B8"/>
            </w:tcBorders>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1420" w:type="dxa"/>
            <w:vAlign w:val="bottom"/>
            <w:tcBorders>
              <w:bottom w:val="single" w:sz="8" w:color="5673B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80" w:type="dxa"/>
            <w:vAlign w:val="bottom"/>
            <w:tcBorders>
              <w:bottom w:val="single" w:sz="8" w:color="852166"/>
            </w:tcBorders>
          </w:tcPr>
          <w:p>
            <w:pPr>
              <w:spacing w:after="0"/>
              <w:rPr>
                <w:sz w:val="18"/>
                <w:szCs w:val="18"/>
                <w:color w:val="auto"/>
              </w:rPr>
            </w:pPr>
          </w:p>
        </w:tc>
        <w:tc>
          <w:tcPr>
            <w:tcW w:w="6780" w:type="dxa"/>
            <w:vAlign w:val="bottom"/>
            <w:tcBorders>
              <w:bottom w:val="single" w:sz="8" w:color="852166"/>
            </w:tcBorders>
            <w:gridSpan w:val="2"/>
          </w:tcPr>
          <w:p>
            <w:pPr>
              <w:ind w:left="20"/>
              <w:spacing w:after="0"/>
              <w:rPr>
                <w:sz w:val="20"/>
                <w:szCs w:val="20"/>
                <w:color w:val="auto"/>
              </w:rPr>
            </w:pPr>
            <w:r>
              <w:rPr>
                <w:rFonts w:ascii="Arial" w:cs="Arial" w:eastAsia="Arial" w:hAnsi="Arial"/>
                <w:sz w:val="14"/>
                <w:szCs w:val="14"/>
                <w:b w:val="1"/>
                <w:bCs w:val="1"/>
                <w:color w:val="001C71"/>
              </w:rPr>
              <w:t>Total Adjustments</w:t>
            </w:r>
          </w:p>
        </w:tc>
        <w:tc>
          <w:tcPr>
            <w:tcW w:w="1200" w:type="dxa"/>
            <w:vAlign w:val="bottom"/>
            <w:tcBorders>
              <w:bottom w:val="single" w:sz="8" w:color="852166"/>
            </w:tcBorders>
          </w:tcPr>
          <w:p>
            <w:pPr>
              <w:jc w:val="right"/>
              <w:ind w:right="68"/>
              <w:spacing w:after="0"/>
              <w:rPr>
                <w:sz w:val="20"/>
                <w:szCs w:val="20"/>
                <w:color w:val="auto"/>
              </w:rPr>
            </w:pPr>
            <w:r>
              <w:rPr>
                <w:rFonts w:ascii="Arial" w:cs="Arial" w:eastAsia="Arial" w:hAnsi="Arial"/>
                <w:sz w:val="14"/>
                <w:szCs w:val="14"/>
                <w:b w:val="1"/>
                <w:bCs w:val="1"/>
                <w:color w:val="001C71"/>
              </w:rPr>
              <w:t>10,626,549</w:t>
            </w:r>
          </w:p>
        </w:tc>
        <w:tc>
          <w:tcPr>
            <w:tcW w:w="1040" w:type="dxa"/>
            <w:vAlign w:val="bottom"/>
            <w:tcBorders>
              <w:bottom w:val="single" w:sz="8" w:color="852166"/>
            </w:tcBorders>
          </w:tcPr>
          <w:p>
            <w:pPr>
              <w:jc w:val="right"/>
              <w:spacing w:after="0"/>
              <w:rPr>
                <w:sz w:val="20"/>
                <w:szCs w:val="20"/>
                <w:color w:val="auto"/>
              </w:rPr>
            </w:pPr>
            <w:r>
              <w:rPr>
                <w:rFonts w:ascii="Arial" w:cs="Arial" w:eastAsia="Arial" w:hAnsi="Arial"/>
                <w:sz w:val="14"/>
                <w:szCs w:val="14"/>
                <w:b w:val="1"/>
                <w:bCs w:val="1"/>
                <w:color w:val="001C71"/>
              </w:rPr>
              <w:t>5,291,215</w:t>
            </w:r>
          </w:p>
        </w:tc>
        <w:tc>
          <w:tcPr>
            <w:tcW w:w="142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001C71"/>
              </w:rPr>
              <w:t>3,614,374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0" w:type="dxa"/>
            <w:vAlign w:val="bottom"/>
            <w:tcBorders>
              <w:bottom w:val="single" w:sz="8" w:color="852166"/>
            </w:tcBorders>
          </w:tcPr>
          <w:p>
            <w:pPr>
              <w:spacing w:after="0"/>
              <w:rPr>
                <w:sz w:val="19"/>
                <w:szCs w:val="19"/>
                <w:color w:val="auto"/>
              </w:rPr>
            </w:pPr>
          </w:p>
        </w:tc>
        <w:tc>
          <w:tcPr>
            <w:tcW w:w="6780" w:type="dxa"/>
            <w:vAlign w:val="bottom"/>
            <w:tcBorders>
              <w:bottom w:val="single" w:sz="8" w:color="852166"/>
            </w:tcBorders>
            <w:gridSpan w:val="2"/>
          </w:tcPr>
          <w:p>
            <w:pPr>
              <w:ind w:left="20"/>
              <w:spacing w:after="0"/>
              <w:rPr>
                <w:sz w:val="20"/>
                <w:szCs w:val="20"/>
                <w:color w:val="auto"/>
              </w:rPr>
            </w:pPr>
            <w:r>
              <w:rPr>
                <w:rFonts w:ascii="Arial" w:cs="Arial" w:eastAsia="Arial" w:hAnsi="Arial"/>
                <w:sz w:val="14"/>
                <w:szCs w:val="14"/>
                <w:b w:val="1"/>
                <w:bCs w:val="1"/>
                <w:color w:val="852166"/>
              </w:rPr>
              <w:t>Compensation Actually Paid</w:t>
            </w:r>
          </w:p>
        </w:tc>
        <w:tc>
          <w:tcPr>
            <w:tcW w:w="1200" w:type="dxa"/>
            <w:vAlign w:val="bottom"/>
            <w:tcBorders>
              <w:bottom w:val="single" w:sz="8" w:color="852166"/>
            </w:tcBorders>
          </w:tcPr>
          <w:p>
            <w:pPr>
              <w:jc w:val="right"/>
              <w:ind w:right="68"/>
              <w:spacing w:after="0"/>
              <w:rPr>
                <w:sz w:val="20"/>
                <w:szCs w:val="20"/>
                <w:color w:val="auto"/>
              </w:rPr>
            </w:pPr>
            <w:r>
              <w:rPr>
                <w:rFonts w:ascii="Arial" w:cs="Arial" w:eastAsia="Arial" w:hAnsi="Arial"/>
                <w:sz w:val="14"/>
                <w:szCs w:val="14"/>
                <w:b w:val="1"/>
                <w:bCs w:val="1"/>
                <w:color w:val="852166"/>
              </w:rPr>
              <w:t>29,778,107</w:t>
            </w:r>
          </w:p>
        </w:tc>
        <w:tc>
          <w:tcPr>
            <w:tcW w:w="1040" w:type="dxa"/>
            <w:vAlign w:val="bottom"/>
            <w:tcBorders>
              <w:bottom w:val="single" w:sz="8" w:color="852166"/>
            </w:tcBorders>
          </w:tcPr>
          <w:p>
            <w:pPr>
              <w:jc w:val="right"/>
              <w:spacing w:after="0"/>
              <w:rPr>
                <w:sz w:val="20"/>
                <w:szCs w:val="20"/>
                <w:color w:val="auto"/>
              </w:rPr>
            </w:pPr>
            <w:r>
              <w:rPr>
                <w:rFonts w:ascii="Arial" w:cs="Arial" w:eastAsia="Arial" w:hAnsi="Arial"/>
                <w:sz w:val="14"/>
                <w:szCs w:val="14"/>
                <w:b w:val="1"/>
                <w:bCs w:val="1"/>
                <w:color w:val="852166"/>
              </w:rPr>
              <w:t>24,126,051</w:t>
            </w:r>
          </w:p>
        </w:tc>
        <w:tc>
          <w:tcPr>
            <w:tcW w:w="142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852166"/>
              </w:rPr>
              <w:t>10,747,348</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520" w:hanging="332"/>
        <w:spacing w:after="0" w:line="285" w:lineRule="auto"/>
        <w:tabs>
          <w:tab w:leader="none" w:pos="327" w:val="left"/>
        </w:tabs>
        <w:numPr>
          <w:ilvl w:val="0"/>
          <w:numId w:val="94"/>
        </w:numPr>
        <w:rPr>
          <w:rFonts w:ascii="Arial" w:cs="Arial" w:eastAsia="Arial" w:hAnsi="Arial"/>
          <w:sz w:val="14"/>
          <w:szCs w:val="14"/>
          <w:color w:val="auto"/>
        </w:rPr>
      </w:pPr>
      <w:r>
        <w:rPr>
          <w:rFonts w:ascii="Arial" w:cs="Arial" w:eastAsia="Arial" w:hAnsi="Arial"/>
          <w:sz w:val="14"/>
          <w:szCs w:val="14"/>
          <w:color w:val="auto"/>
        </w:rPr>
        <w:t>For the relevant fiscal year, represents the cumulative TSR of our ordinary shares and the Nasdaq Biotechnology Index at the end of each fiscal year. In each case, assume an initial investment of $100 on December 31, 2020, and reinvestment of dividends, if any.</w:t>
      </w:r>
    </w:p>
    <w:p>
      <w:pPr>
        <w:spacing w:after="0" w:line="36" w:lineRule="exact"/>
        <w:rPr>
          <w:rFonts w:ascii="Arial" w:cs="Arial" w:eastAsia="Arial" w:hAnsi="Arial"/>
          <w:sz w:val="14"/>
          <w:szCs w:val="14"/>
          <w:color w:val="auto"/>
        </w:rPr>
      </w:pPr>
    </w:p>
    <w:p>
      <w:pPr>
        <w:ind w:left="320" w:hanging="312"/>
        <w:spacing w:after="0"/>
        <w:tabs>
          <w:tab w:leader="none" w:pos="3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amounts represent the net income (loss) as reported in our audited financial statements for the applicable fiscal year.</w:t>
      </w:r>
    </w:p>
    <w:p>
      <w:pPr>
        <w:spacing w:after="0" w:line="95" w:lineRule="exact"/>
        <w:rPr>
          <w:rFonts w:ascii="Arial" w:cs="Arial" w:eastAsia="Arial" w:hAnsi="Arial"/>
          <w:sz w:val="14"/>
          <w:szCs w:val="14"/>
          <w:color w:val="auto"/>
        </w:rPr>
      </w:pPr>
    </w:p>
    <w:p>
      <w:pPr>
        <w:ind w:left="340" w:hanging="332"/>
        <w:spacing w:after="0" w:line="305" w:lineRule="auto"/>
        <w:tabs>
          <w:tab w:leader="none" w:pos="327" w:val="left"/>
        </w:tabs>
        <w:numPr>
          <w:ilvl w:val="0"/>
          <w:numId w:val="94"/>
        </w:numPr>
        <w:rPr>
          <w:rFonts w:ascii="Arial" w:cs="Arial" w:eastAsia="Arial" w:hAnsi="Arial"/>
          <w:sz w:val="14"/>
          <w:szCs w:val="14"/>
          <w:color w:val="auto"/>
        </w:rPr>
      </w:pPr>
      <w:r>
        <w:rPr>
          <w:rFonts w:ascii="Arial" w:cs="Arial" w:eastAsia="Arial" w:hAnsi="Arial"/>
          <w:sz w:val="14"/>
          <w:szCs w:val="14"/>
          <w:color w:val="auto"/>
        </w:rPr>
        <w:t>As required by Item 402(v) of Regulation S-K, we have determined that the Company-Selected Measure is total revenues as reported in our audited financial statements for the applicable fiscal year.</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Required Tabular Disclosure of Most Important Measures</w:t>
      </w:r>
    </w:p>
    <w:p>
      <w:pPr>
        <w:spacing w:after="0" w:line="17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most important financial and non-financial performance measures used by us to link compensation actually paid to our NEOs for the most recently completed fiscal year to our performance are set forth below. For further information regarding these performance metrics and their function in our executive compensation program, please see “</w:t>
      </w:r>
      <w:r>
        <w:rPr>
          <w:rFonts w:ascii="Arial" w:cs="Arial" w:eastAsia="Arial" w:hAnsi="Arial"/>
          <w:sz w:val="16"/>
          <w:szCs w:val="16"/>
          <w:i w:val="1"/>
          <w:iCs w:val="1"/>
          <w:color w:val="auto"/>
        </w:rPr>
        <w:t>Executive Compensation—Compensation Discussion and Analysis</w:t>
      </w:r>
      <w:r>
        <w:rPr>
          <w:rFonts w:ascii="Arial" w:cs="Arial" w:eastAsia="Arial" w:hAnsi="Arial"/>
          <w:sz w:val="16"/>
          <w:szCs w:val="16"/>
          <w:color w:val="auto"/>
        </w:rPr>
        <w:t>” above.</w:t>
      </w:r>
    </w:p>
    <w:p>
      <w:pPr>
        <w:spacing w:after="0" w:line="118" w:lineRule="exact"/>
        <w:rPr>
          <w:sz w:val="20"/>
          <w:szCs w:val="20"/>
          <w:color w:val="auto"/>
        </w:rPr>
      </w:pPr>
    </w:p>
    <w:p>
      <w:pPr>
        <w:ind w:left="320" w:hanging="231"/>
        <w:spacing w:after="0"/>
        <w:tabs>
          <w:tab w:leader="none" w:pos="320" w:val="left"/>
        </w:tabs>
        <w:numPr>
          <w:ilvl w:val="0"/>
          <w:numId w:val="95"/>
        </w:numPr>
        <w:rPr>
          <w:rFonts w:ascii="Arial" w:cs="Arial" w:eastAsia="Arial" w:hAnsi="Arial"/>
          <w:sz w:val="16"/>
          <w:szCs w:val="16"/>
          <w:b w:val="1"/>
          <w:bCs w:val="1"/>
          <w:color w:val="001C71"/>
        </w:rPr>
      </w:pPr>
      <w:r>
        <w:rPr>
          <w:rFonts w:ascii="Arial" w:cs="Arial" w:eastAsia="Arial" w:hAnsi="Arial"/>
          <w:sz w:val="16"/>
          <w:szCs w:val="16"/>
          <w:color w:val="auto"/>
        </w:rPr>
        <w:t>Total Revenues</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95"/>
        </w:numPr>
        <w:rPr>
          <w:rFonts w:ascii="Arial" w:cs="Arial" w:eastAsia="Arial" w:hAnsi="Arial"/>
          <w:sz w:val="16"/>
          <w:szCs w:val="16"/>
          <w:b w:val="1"/>
          <w:bCs w:val="1"/>
          <w:color w:val="001C71"/>
        </w:rPr>
      </w:pPr>
      <w:r>
        <w:rPr>
          <w:rFonts w:ascii="Arial" w:cs="Arial" w:eastAsia="Arial" w:hAnsi="Arial"/>
          <w:sz w:val="16"/>
          <w:szCs w:val="16"/>
          <w:color w:val="auto"/>
        </w:rPr>
        <w:t>Revenue (product- / therapeutic area-specific)</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95"/>
        </w:numPr>
        <w:rPr>
          <w:rFonts w:ascii="Arial" w:cs="Arial" w:eastAsia="Arial" w:hAnsi="Arial"/>
          <w:sz w:val="16"/>
          <w:szCs w:val="16"/>
          <w:b w:val="1"/>
          <w:bCs w:val="1"/>
          <w:color w:val="001C71"/>
        </w:rPr>
      </w:pPr>
      <w:r>
        <w:rPr>
          <w:rFonts w:ascii="Arial" w:cs="Arial" w:eastAsia="Arial" w:hAnsi="Arial"/>
          <w:sz w:val="16"/>
          <w:szCs w:val="16"/>
          <w:color w:val="auto"/>
        </w:rPr>
        <w:t>Non-GAAP Adjusted Operating Margin</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95"/>
        </w:numPr>
        <w:rPr>
          <w:rFonts w:ascii="Arial" w:cs="Arial" w:eastAsia="Arial" w:hAnsi="Arial"/>
          <w:sz w:val="16"/>
          <w:szCs w:val="16"/>
          <w:b w:val="1"/>
          <w:bCs w:val="1"/>
          <w:color w:val="001C71"/>
        </w:rPr>
      </w:pPr>
      <w:r>
        <w:rPr>
          <w:rFonts w:ascii="Arial" w:cs="Arial" w:eastAsia="Arial" w:hAnsi="Arial"/>
          <w:sz w:val="16"/>
          <w:szCs w:val="16"/>
          <w:color w:val="auto"/>
        </w:rPr>
        <w:t>Relative TSR</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95"/>
        </w:numPr>
        <w:rPr>
          <w:rFonts w:ascii="Arial" w:cs="Arial" w:eastAsia="Arial" w:hAnsi="Arial"/>
          <w:sz w:val="16"/>
          <w:szCs w:val="16"/>
          <w:b w:val="1"/>
          <w:bCs w:val="1"/>
          <w:color w:val="001C71"/>
        </w:rPr>
      </w:pPr>
      <w:r>
        <w:rPr>
          <w:rFonts w:ascii="Arial" w:cs="Arial" w:eastAsia="Arial" w:hAnsi="Arial"/>
          <w:sz w:val="16"/>
          <w:szCs w:val="16"/>
          <w:color w:val="auto"/>
        </w:rPr>
        <w:t>Pipeline Progression</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95"/>
        </w:numPr>
        <w:rPr>
          <w:rFonts w:ascii="Arial" w:cs="Arial" w:eastAsia="Arial" w:hAnsi="Arial"/>
          <w:sz w:val="16"/>
          <w:szCs w:val="16"/>
          <w:b w:val="1"/>
          <w:bCs w:val="1"/>
          <w:color w:val="001C71"/>
        </w:rPr>
      </w:pPr>
      <w:r>
        <w:rPr>
          <w:rFonts w:ascii="Arial" w:cs="Arial" w:eastAsia="Arial" w:hAnsi="Arial"/>
          <w:sz w:val="16"/>
          <w:szCs w:val="16"/>
          <w:color w:val="auto"/>
        </w:rPr>
        <w:t>Regulatory Advancement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509270</wp:posOffset>
            </wp:positionV>
            <wp:extent cx="1242695" cy="2057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94</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02" w:name="page103"/>
    <w:bookmarkEnd w:id="102"/>
    <w:p>
      <w:pPr>
        <w:ind w:left="9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5574665</wp:posOffset>
            </wp:positionH>
            <wp:positionV relativeFrom="page">
              <wp:posOffset>208915</wp:posOffset>
            </wp:positionV>
            <wp:extent cx="1765935" cy="3003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Disclosure of the Relationship between Compensation Actually Paid and Financial Performance Measures</w:t>
      </w:r>
    </w:p>
    <w:p>
      <w:pPr>
        <w:spacing w:after="0" w:line="18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required by Item 402(v) of Regulation S-K, we are providing the following graphs to illustrate the relationship between the pay and performance figures that are included in the pay versus performance tabular disclosure above. In addition, the first graph below further illustrates the relationship between company TSR and that of the Nasdaq Biotechnology Index. As noted above, compensation actually paid for purposes of the tabular disclosure and the following graphs were calculated in accordance with SEC rules and do not fully represent the actual final amount of compensation earned by or actually paid to our NEOs during the applicable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244475</wp:posOffset>
            </wp:positionV>
            <wp:extent cx="6026150" cy="67208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026150" cy="672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95</w:t>
            </w:r>
          </w:p>
        </w:tc>
      </w:tr>
      <w:tr>
        <w:trPr>
          <w:trHeight w:val="494"/>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3" w:name="page104"/>
    <w:bookmarkEnd w:id="103"/>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65935" cy="3003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765935" cy="30035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375285</wp:posOffset>
            </wp:positionV>
            <wp:extent cx="4937760" cy="288036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493776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i w:val="1"/>
          <w:iCs w:val="1"/>
          <w:color w:val="auto"/>
        </w:rPr>
        <w:t>All information provided above under the “Item 402(v) Pay Versus Performance” heading will not be deemed to be incorporated by reference into any filing by us under the Securities Act, or the Exchange Act, whether made before or after the date hereof and irrespective of any general incorporation language in any such filing, except to the extent we specifically incorporate such information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852166"/>
        </w:rPr>
        <w:t>Compensation Consultant Fees</w:t>
      </w:r>
    </w:p>
    <w:p>
      <w:pPr>
        <w:spacing w:after="0" w:line="184"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Since 2010, Aon has been engaged by our Compensation Committee each year to provide peer company and industry compensation data and provide our Compensation Committee with advice regarding executive officers’ compensation, including base salaries, performance-based bonuses and long-term equity incentives, advice regarding directors’ compensation as well as other matters under our Compensation Committee’s charter. In 2025, the cost of Aon’s consulting services directly related to our Compensation Committee support was approximately $338,684.</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Management also engaged with Aon for various insurance-related products and services, covering director and officer liability insurance, health and benefits, pension-related services, other insurance brokerage services and risk services to the business. The aggregate Aon revenue from these additional services in 2025 (not related to Aon’s compensation committee consulting services) was approximately $1,235,865. Although our Compensation Committee was aware of the nature of the services performed by Aon affiliates and the non-executive employee compensation survey data provided by Aon, our Compensation Committee did not review and approve such services, surveys and insurance premiums and policies, as those were reviewed and approved by management in the ordinary course of business.</w:t>
      </w:r>
    </w:p>
    <w:p>
      <w:pPr>
        <w:spacing w:after="0" w:line="12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Aon maintains certain policies and practices to protect the independence of the executive compensation consultants engaged by our Compensation Committee. In particular, Aon provides an annual update to our Compensation Committee on the financial relationship between Aon and our Company, and provides written assurances that, within Aon, the Aon consultants who perform executive compensation services for our Compensation Committee have compensation determined separately from Aon’s other lines of business and from the other services it provides to our Company. These safeguards were designed to help ensure that our Compensation Committee’s executive compensation consultants continued to fulfill their role in providing independent, objective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339725</wp:posOffset>
            </wp:positionV>
            <wp:extent cx="1242695" cy="2057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96</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b w:val="1"/>
          <w:bCs w:val="1"/>
          <w:color w:val="636466"/>
        </w:rPr>
        <w:t>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1088390" cy="342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80"/>
        <w:spacing w:after="0" w:line="299" w:lineRule="auto"/>
        <w:rPr>
          <w:sz w:val="20"/>
          <w:szCs w:val="20"/>
          <w:color w:val="auto"/>
        </w:rPr>
      </w:pPr>
      <w:r>
        <w:rPr>
          <w:rFonts w:ascii="Arial" w:cs="Arial" w:eastAsia="Arial" w:hAnsi="Arial"/>
          <w:sz w:val="54"/>
          <w:szCs w:val="54"/>
          <w:b w:val="1"/>
          <w:bCs w:val="1"/>
          <w:color w:val="001C71"/>
        </w:rPr>
        <w:t>Board Authority to Allot and Issue Ordinary Shares</w:t>
      </w:r>
    </w:p>
    <w:p>
      <w:pPr>
        <w:sectPr>
          <w:pgSz w:w="11900" w:h="16838" w:orient="portrait"/>
          <w:cols w:equalWidth="0" w:num="1">
            <w:col w:w="11240"/>
          </w:cols>
          <w:pgMar w:left="320" w:top="1097" w:right="3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29"/>
          <w:szCs w:val="29"/>
          <w:color w:val="852166"/>
        </w:rPr>
        <w:t>Renewal Request</w:t>
      </w:r>
    </w:p>
    <w:p>
      <w:pPr>
        <w:spacing w:after="0" w:line="184"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We are asking for your approval to renew our Board’s authority to allot and issue ordinary shares up to a maximum of our currently authorized but unissued share capital, which we call the share allotment and issuance authority. Our Board unanimously recommends voting for Proposal 4 for the reasons set out below, including the following:</w:t>
      </w:r>
    </w:p>
    <w:p>
      <w:pPr>
        <w:spacing w:after="0" w:line="121" w:lineRule="exact"/>
        <w:rPr>
          <w:sz w:val="20"/>
          <w:szCs w:val="20"/>
          <w:color w:val="auto"/>
        </w:rPr>
      </w:pPr>
    </w:p>
    <w:p>
      <w:pPr>
        <w:jc w:val="both"/>
        <w:ind w:left="340" w:right="660" w:hanging="251"/>
        <w:spacing w:after="0" w:line="301" w:lineRule="auto"/>
        <w:tabs>
          <w:tab w:leader="none" w:pos="329" w:val="left"/>
        </w:tabs>
        <w:numPr>
          <w:ilvl w:val="0"/>
          <w:numId w:val="96"/>
        </w:numPr>
        <w:rPr>
          <w:rFonts w:ascii="Arial" w:cs="Arial" w:eastAsia="Arial" w:hAnsi="Arial"/>
          <w:sz w:val="16"/>
          <w:szCs w:val="16"/>
          <w:b w:val="1"/>
          <w:bCs w:val="1"/>
          <w:color w:val="001C71"/>
        </w:rPr>
      </w:pPr>
      <w:r>
        <w:rPr>
          <w:rFonts w:ascii="Arial" w:cs="Arial" w:eastAsia="Arial" w:hAnsi="Arial"/>
          <w:sz w:val="16"/>
          <w:szCs w:val="16"/>
          <w:color w:val="auto"/>
        </w:rPr>
        <w:t>Our current share allotment and issuance authority, which was last approved by our shareholders at our 2021 AGM, will expire on July 29, 2026 unless renewed by our shareholders at the 2026 AGM.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636466"/>
        </w:rPr>
        <w:t>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-633095</wp:posOffset>
            </wp:positionV>
            <wp:extent cx="1645920" cy="127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645920" cy="127762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636466"/>
        </w:rPr>
        <w:t>RECOMMENDS A VOTE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 xml:space="preserve">“FOR” </w:t>
      </w:r>
      <w:r>
        <w:rPr>
          <w:rFonts w:ascii="Arial" w:cs="Arial" w:eastAsia="Arial" w:hAnsi="Arial"/>
          <w:sz w:val="18"/>
          <w:szCs w:val="18"/>
          <w:b w:val="1"/>
          <w:bCs w:val="1"/>
          <w:color w:val="636466"/>
        </w:rPr>
        <w:t>PROPOSAL 4.</w:t>
      </w:r>
    </w:p>
    <w:p>
      <w:pPr>
        <w:spacing w:after="0" w:line="352" w:lineRule="exact"/>
        <w:rPr>
          <w:sz w:val="20"/>
          <w:szCs w:val="20"/>
          <w:color w:val="auto"/>
        </w:rPr>
      </w:pPr>
    </w:p>
    <w:p>
      <w:pPr>
        <w:sectPr>
          <w:pgSz w:w="11900" w:h="16838" w:orient="portrait"/>
          <w:cols w:equalWidth="0" w:num="2">
            <w:col w:w="6960" w:space="720"/>
            <w:col w:w="3560"/>
          </w:cols>
          <w:pgMar w:left="320" w:top="1097" w:right="339" w:bottom="1440" w:gutter="0" w:footer="0" w:header="0"/>
          <w:type w:val="continuous"/>
        </w:sectPr>
      </w:pPr>
    </w:p>
    <w:p>
      <w:pPr>
        <w:spacing w:after="0" w:line="377" w:lineRule="exact"/>
        <w:rPr>
          <w:sz w:val="20"/>
          <w:szCs w:val="20"/>
          <w:color w:val="auto"/>
        </w:rPr>
      </w:pPr>
    </w:p>
    <w:p>
      <w:pPr>
        <w:ind w:left="340" w:right="80" w:hanging="251"/>
        <w:spacing w:after="0" w:line="295" w:lineRule="auto"/>
        <w:tabs>
          <w:tab w:leader="none" w:pos="329" w:val="left"/>
        </w:tabs>
        <w:numPr>
          <w:ilvl w:val="0"/>
          <w:numId w:val="97"/>
        </w:numPr>
        <w:rPr>
          <w:rFonts w:ascii="Arial" w:cs="Arial" w:eastAsia="Arial" w:hAnsi="Arial"/>
          <w:sz w:val="16"/>
          <w:szCs w:val="16"/>
          <w:b w:val="1"/>
          <w:bCs w:val="1"/>
          <w:color w:val="001C71"/>
        </w:rPr>
      </w:pPr>
      <w:r>
        <w:rPr>
          <w:rFonts w:ascii="Arial" w:cs="Arial" w:eastAsia="Arial" w:hAnsi="Arial"/>
          <w:sz w:val="16"/>
          <w:szCs w:val="16"/>
          <w:color w:val="auto"/>
        </w:rPr>
        <w:t>The renewal by our shareholders of our share allotment and issuance authority is vital to our strategy for growth which is rooted in part on effectively deploying capital to strengthen the prospects of achieving our short- and long-term goals through strategic corporate development. Our management and Board rely on having the flexibility that the renewal of this authority would provide by enabling us to continue to allot and issue shares in connection with strategic opportunities, including potential acquisitions and other capital-intensive transactions that we believe would increase shareholder value.</w:t>
      </w:r>
    </w:p>
    <w:p>
      <w:pPr>
        <w:spacing w:after="0" w:line="67" w:lineRule="exact"/>
        <w:rPr>
          <w:rFonts w:ascii="Arial" w:cs="Arial" w:eastAsia="Arial" w:hAnsi="Arial"/>
          <w:sz w:val="16"/>
          <w:szCs w:val="16"/>
          <w:b w:val="1"/>
          <w:bCs w:val="1"/>
          <w:color w:val="001C71"/>
        </w:rPr>
      </w:pPr>
    </w:p>
    <w:p>
      <w:pPr>
        <w:ind w:left="340" w:right="240" w:hanging="251"/>
        <w:spacing w:after="0" w:line="295" w:lineRule="auto"/>
        <w:tabs>
          <w:tab w:leader="none" w:pos="329" w:val="left"/>
        </w:tabs>
        <w:numPr>
          <w:ilvl w:val="0"/>
          <w:numId w:val="97"/>
        </w:numPr>
        <w:rPr>
          <w:rFonts w:ascii="Arial" w:cs="Arial" w:eastAsia="Arial" w:hAnsi="Arial"/>
          <w:sz w:val="16"/>
          <w:szCs w:val="16"/>
          <w:b w:val="1"/>
          <w:bCs w:val="1"/>
          <w:color w:val="001C71"/>
        </w:rPr>
      </w:pPr>
      <w:r>
        <w:rPr>
          <w:rFonts w:ascii="Arial" w:cs="Arial" w:eastAsia="Arial" w:hAnsi="Arial"/>
          <w:sz w:val="16"/>
          <w:szCs w:val="16"/>
          <w:color w:val="auto"/>
        </w:rPr>
        <w:t>Shareholder approval of this Proposal 4 would not mean that we would have no limits on future share issuances. To the contrary, the governance and share issuance requirements and restrictions to which all U.S. incorporated, Nasdaq-listed companies are subject will continue to apply to us in all respects, and we will remain subject to the pre-emption right restrictions that apply to us under Irish law in relation to issuances of shares for cash (unlike our U.S.-based peer companies who are generally not subject to similar pre-emption right restrictions).</w:t>
      </w:r>
    </w:p>
    <w:p>
      <w:pPr>
        <w:spacing w:after="0" w:line="67" w:lineRule="exact"/>
        <w:rPr>
          <w:rFonts w:ascii="Arial" w:cs="Arial" w:eastAsia="Arial" w:hAnsi="Arial"/>
          <w:sz w:val="16"/>
          <w:szCs w:val="16"/>
          <w:b w:val="1"/>
          <w:bCs w:val="1"/>
          <w:color w:val="001C71"/>
        </w:rPr>
      </w:pPr>
    </w:p>
    <w:p>
      <w:pPr>
        <w:ind w:left="340" w:right="100" w:hanging="251"/>
        <w:spacing w:after="0" w:line="288" w:lineRule="auto"/>
        <w:tabs>
          <w:tab w:leader="none" w:pos="329" w:val="left"/>
        </w:tabs>
        <w:numPr>
          <w:ilvl w:val="0"/>
          <w:numId w:val="97"/>
        </w:numPr>
        <w:rPr>
          <w:rFonts w:ascii="Arial" w:cs="Arial" w:eastAsia="Arial" w:hAnsi="Arial"/>
          <w:sz w:val="16"/>
          <w:szCs w:val="16"/>
          <w:b w:val="1"/>
          <w:bCs w:val="1"/>
          <w:color w:val="001C71"/>
        </w:rPr>
      </w:pPr>
      <w:r>
        <w:rPr>
          <w:rFonts w:ascii="Arial" w:cs="Arial" w:eastAsia="Arial" w:hAnsi="Arial"/>
          <w:sz w:val="16"/>
          <w:szCs w:val="16"/>
          <w:color w:val="auto"/>
        </w:rPr>
        <w:t>While granting to a company’s board of directors general authority to allot and issue shares is a routine matter for public companies incorporated in Ireland, our peer companies that are incorporated and listed in the U.S. are not subject to similar share allotment restrictions. If this Proposal 4 is not approved, and, as a result, our current share allotment and issuance authority expires, we will generally not be able to allot and issue any shares (other than to employees pursuant to our employee equity plans or pursuant to pre-existing contractual obligations) without first seeking and obtaining shareholder approval for each such issuance, which could put us at a distinct disadvantage vis-à-vis many of our U.S.-based peer companies in competing for acquisitions and similar transactions, and might make it difficult for us to complete such transactions in a timely manner or at all, thus potentially limiting our ability to further our strategy for growth.</w:t>
      </w:r>
    </w:p>
    <w:p>
      <w:pPr>
        <w:spacing w:after="0" w:line="74" w:lineRule="exact"/>
        <w:rPr>
          <w:rFonts w:ascii="Arial" w:cs="Arial" w:eastAsia="Arial" w:hAnsi="Arial"/>
          <w:sz w:val="16"/>
          <w:szCs w:val="16"/>
          <w:b w:val="1"/>
          <w:bCs w:val="1"/>
          <w:color w:val="001C71"/>
        </w:rPr>
      </w:pPr>
    </w:p>
    <w:p>
      <w:pPr>
        <w:ind w:left="340" w:right="40" w:hanging="251"/>
        <w:spacing w:after="0" w:line="295" w:lineRule="auto"/>
        <w:tabs>
          <w:tab w:leader="none" w:pos="329" w:val="left"/>
        </w:tabs>
        <w:numPr>
          <w:ilvl w:val="0"/>
          <w:numId w:val="97"/>
        </w:numPr>
        <w:rPr>
          <w:rFonts w:ascii="Arial" w:cs="Arial" w:eastAsia="Arial" w:hAnsi="Arial"/>
          <w:sz w:val="16"/>
          <w:szCs w:val="16"/>
          <w:b w:val="1"/>
          <w:bCs w:val="1"/>
          <w:color w:val="001C71"/>
        </w:rPr>
      </w:pPr>
      <w:r>
        <w:rPr>
          <w:rFonts w:ascii="Arial" w:cs="Arial" w:eastAsia="Arial" w:hAnsi="Arial"/>
          <w:sz w:val="16"/>
          <w:szCs w:val="16"/>
          <w:color w:val="auto"/>
        </w:rPr>
        <w:t>Approval of Proposal 4 would extend, but would not in any way expand, the current share allotment and issuance authority, which is being sought on the same terms as was approved by our shareholders at the 2016 AGM and then again at the 2021 AGM. Since the Azur Merger in 2012, we have demonstrated that we are committed to disciplined capital stewardship and the responsible exercise of the share allotment and issuance authority entrusted to us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462915</wp:posOffset>
            </wp:positionV>
            <wp:extent cx="1242695" cy="20574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97</w:t>
            </w:r>
          </w:p>
        </w:tc>
      </w:tr>
      <w:tr>
        <w:trPr>
          <w:trHeight w:val="494"/>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05" w:name="page106"/>
    <w:bookmarkEnd w:id="105"/>
    <w:p>
      <w:pPr>
        <w:ind w:left="3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891540" cy="3003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91540" cy="300355"/>
                    </a:xfrm>
                    <a:prstGeom prst="rect">
                      <a:avLst/>
                    </a:prstGeom>
                    <a:noFill/>
                  </pic:spPr>
                </pic:pic>
              </a:graphicData>
            </a:graphic>
          </wp:anchor>
        </w:drawing>
        <w:t>PROPOSAL 4</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Why We Are Submitting Proposal 4 for Shareholder Approval</w:t>
      </w:r>
    </w:p>
    <w:p>
      <w:pPr>
        <w:spacing w:after="0" w:line="198" w:lineRule="exact"/>
        <w:rPr>
          <w:sz w:val="20"/>
          <w:szCs w:val="20"/>
          <w:color w:val="auto"/>
        </w:rPr>
      </w:pPr>
    </w:p>
    <w:p>
      <w:pPr>
        <w:jc w:val="both"/>
        <w:ind w:right="100"/>
        <w:spacing w:after="0" w:line="292" w:lineRule="auto"/>
        <w:rPr>
          <w:sz w:val="20"/>
          <w:szCs w:val="20"/>
          <w:color w:val="auto"/>
        </w:rPr>
      </w:pPr>
      <w:r>
        <w:rPr>
          <w:rFonts w:ascii="Arial" w:cs="Arial" w:eastAsia="Arial" w:hAnsi="Arial"/>
          <w:sz w:val="16"/>
          <w:szCs w:val="16"/>
          <w:color w:val="auto"/>
        </w:rPr>
        <w:t>We are listed in the U.S. and incorporated in Ireland. As a result of the Azur Merger, we re-domiciled in Ireland. As a public limited company incorporated in Ireland, we follow the corporate legal requirements of Ireland. Our Board is and will remain subject to fiduciary duties to our Company and our shareholders under Irish law, including in respect of share issuances.</w:t>
      </w:r>
    </w:p>
    <w:p>
      <w:pPr>
        <w:spacing w:after="0" w:line="206"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As a matter of Irish law, directors of an Irish public limited company must have specific authority from shareholders to allot and issue any of the company's ordinary shares (other than pursuant to employee equity plans). As a matter of Irish law, this approval is required only once every five years and there is no limit under Irish law on the amount of shares that this approval may cover (apart from the company's then-authorized but unissued share capital). Companies incorporated in the U.S. are not subject to similar share allotment and issuance restrictions.</w:t>
      </w:r>
    </w:p>
    <w:p>
      <w:pPr>
        <w:spacing w:after="0" w:line="18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While granting to a company’s board of directors general authority to allot and issue shares is a routine matter for public companies incorporated in Ireland, our ordinary shares are listed </w:t>
      </w:r>
      <w:r>
        <w:rPr>
          <w:rFonts w:ascii="Arial" w:cs="Arial" w:eastAsia="Arial" w:hAnsi="Arial"/>
          <w:sz w:val="16"/>
          <w:szCs w:val="16"/>
          <w:i w:val="1"/>
          <w:iCs w:val="1"/>
          <w:color w:val="auto"/>
        </w:rPr>
        <w:t>exclusively</w:t>
      </w:r>
      <w:r>
        <w:rPr>
          <w:rFonts w:ascii="Arial" w:cs="Arial" w:eastAsia="Arial" w:hAnsi="Arial"/>
          <w:sz w:val="16"/>
          <w:szCs w:val="16"/>
          <w:color w:val="auto"/>
        </w:rPr>
        <w:t xml:space="preserve"> on the Nasdaq Global Select Market. Because our ordinary shares are listed exclusively in the U.S. and the U.S. capital markets are the sole capital markets for our ordinary shares, we follow the rules and regulations of the SEC and the Nasdaq rules and listing standards. We are and will continue to be subject to the same governance and share issuance requirements and restrictions as all U.S.-incorporated companies listed on Nasdaq.</w:t>
      </w:r>
    </w:p>
    <w:p>
      <w:pPr>
        <w:spacing w:after="0" w:line="127"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The current share allotment and issuance authority, the renewal of which was last approved by our shareholders at our 2021 AGM, will expire on July 29, 2026 unless renewed by our shareholders at the 2026 AGM. If Proposal 4 is not approved, we will not be able to issue any shares after July 29, 2026, including pursuant to any pre-emption authority approved by our shareholders.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852166"/>
        </w:rPr>
        <w:t>Why Our Shareholders Should Approve this Proposal 4</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Furthering our Strategy for Growth</w:t>
      </w:r>
    </w:p>
    <w:p>
      <w:pPr>
        <w:spacing w:after="0" w:line="144"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The renewal of our share allotment and issuance authority is vital to advancing our business and driving shareholder value, including, if applicable, in connection with potential capital raising and corporate development transactions. Our strategy for growth is rooted in executing commercial launches and ongoing commercialization initiatives, advancing robust R&amp;D programs and delivering impactful clinical results, effectively deploying capital to strengthen the prospects of achieving our short- and long-term goals through strategic corporate development, and delivering strong financial performance.</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management and Board rely on having the flexibility that the renewal of our share allotment and issuance authority would provide by enabling us to continue to allot and issue shares in connection with strategic opportunities in furtherance of our strategy for growth, including potential acquisitions and other capital-intensive transactions that we believe would increase shareholder value. Many of these opportunities are highly competitive, with multiple parties often offering comparable or even the same economics. If this Proposal 4 is not approved, and, as a result, our current share allotment and issuance authority expires, we will generally not be able to allot and issue any shares (other than to employees pursuant to our employee equity plans or pursuant to pre-existing contractual obligations) without first seeking and obtaining shareholder approval for each such issuance. Accordingly, if this Proposal 4 is not approved, we would be required to obtain shareholder approval prior to issuing any shares in connection with new strategic opportunities after July 29, 2026, even if we would not otherwise be required to obtain shareholder approval for such issuances under applicable Nasdaq rules, which could put us at a distinct disadvantage vis-à-vis many of our U.S.-based peer companies in competing for acquisitions and similar transactions, and might make it difficult for us to complete such transactions in a timely manner or at all, thus potentially limiting our ability to further our strategy for growth.</w:t>
      </w:r>
    </w:p>
    <w:p>
      <w:pPr>
        <w:spacing w:after="0" w:line="130"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Although we would still have the ability to seek shareholder approval in connection with a specific issuance of shares if this Proposal 4 is not approved, we do not believe that our ability to convene an extraordinary general meeting of shareholders to approve each specific share issuance that we would seek to undertake in furtherance of future strategic transactions is a workable alternative to obtaining approval of Proposal 4. The uncertainty of whether we could obtain shareholder approval for a specific issuance in the context of any transaction, as well as the delays we would experience in seeking and obtaining such approval, could make any transaction bid that we submit less attractive, even if our bid was on economically better terms than competitive bids submitted by U.S. listed companies not subject to similar share issuance restrictions. In addition, the case-by-case approval approach ignores market window and other deal timing, confidentiality and competitive realities.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186690</wp:posOffset>
            </wp:positionV>
            <wp:extent cx="1242695" cy="2057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98</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106" w:name="page107"/>
    <w:bookmarkEnd w:id="106"/>
    <w:p>
      <w:pPr>
        <w:ind w:left="102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6449060</wp:posOffset>
            </wp:positionH>
            <wp:positionV relativeFrom="page">
              <wp:posOffset>208915</wp:posOffset>
            </wp:positionV>
            <wp:extent cx="891540" cy="3003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91540" cy="300355"/>
                    </a:xfrm>
                    <a:prstGeom prst="rect">
                      <a:avLst/>
                    </a:prstGeom>
                    <a:noFill/>
                  </pic:spPr>
                </pic:pic>
              </a:graphicData>
            </a:graphic>
          </wp:anchor>
        </w:drawing>
        <w:t>PROPOSAL 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We Will Remain Subject to All Nasdaq Requirements, SEC Rules and Irish Law</w:t>
      </w:r>
    </w:p>
    <w:p>
      <w:pPr>
        <w:spacing w:after="0" w:line="14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will remain subject to all Nasdaq requirements, SEC rules and Irish law. In this regard, shareholder approval of Proposal 4 will not in any way impact our existing obligations under SEC rules and regulations and the Nasdaq rules and listing standards. Likewise, our Board is and will remain subject to fiduciary duties to our Company and our shareholders under Irish law, including in respect of share issuances. Moreover, we will remain subject to the pre-emption right restrictions that apply to us under Irish law in relation to issuances of shares for cash (unlike our U.S.-based peer companies who are generally not subject to similar pre-emption right restrictions).</w:t>
      </w:r>
    </w:p>
    <w:p>
      <w:pPr>
        <w:spacing w:after="0" w:line="20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To be clear, shareholder approval of Proposal 4 would not mean that we would have no limits on future share issuances. To the contrary, we are considered to be a U.S. domestic reporting company under SEC rules and are subject to the same governance and share issuance requirements as U.S. incorporated companies listed on Nasdaq. For example, Nasdaq rules generally require shareholder approval prior to our issuing shares in connection with acquisitions, other than in public offerings for cash, when the number of shares to be issued in respect of that transaction is or will be equal to or in excess of 20% of the number of our ordinary shares outstanding before the issuance. With limited exceptions, we must also seek shareholder approval of our equity compensation plans, including material revisions of such plans. In addition, our shareholders will also continue to benefit from our directors' duties under Irish law, including their principal fiduciary duties to act in good faith and in the best interests of our Company, and the protections afforded to shareholders under the Irish takeover rules.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001C71"/>
        </w:rPr>
        <w:t>Our Disciplined Use of Equity</w:t>
      </w:r>
    </w:p>
    <w:p>
      <w:pPr>
        <w:spacing w:after="0" w:line="171"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Our track record demonstrates disciplined use of equity. During our more than 14 years as an Irish-incorporated company, our shareholders have entrusted us to be disciplined stewards of our share allotment and issuance authority. In turn, our actions during that time demonstrate our deliberately disciplined use of equity in furtherance of our growth strategy. We have been engaged in targeted corporate development, applying a disciplined approach to allocating our resources between investments in our current commercial and development portfolio and the acquisition or in-licensing of new assets. Since the Azur Merger, we have completed company and asset acquisitions or in-licensing transactions of significant aggregate value, including by adding key growth drivers such as Epidiolex, Ziihera and Modeyso. Notably, these corporate development transactions have been funded predominantly with cash on hand and/or through debt financings, with any equity component representing only a small portion of overall consideration. In addition, other than in connection with our offerings of exchangeable senior notes, we have not utilized the share allotment and issuance authority to issue shares or equity-linked securities for capital-raising purposes. We also believe that we have appropriately balanced investment in our growth with managing dilution through our share repurchase programs. We believe this track record evidences our commitment to disciplined capital stewardship and the responsible exercise of the share allotment and issuance authority entrusted to us by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29"/>
          <w:szCs w:val="29"/>
          <w:color w:val="852166"/>
        </w:rPr>
        <w:t>Risks if Proposal 4 is not Approved</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all of the reasons described above, we believe that if our share allotment and issuance authority is not renewed on the terms set forth in this Proposal 4, our ability to compete for, and complete, strategic corporate development transactions designed to advance our business and increase shareholder value would be negatively impacted thus potentially limiting our ability to further our strategy for growth. In addition, we operate in a highly competitive industry, and we believe that the failure to approve the share allotment and issuance authority on the terms set forth in Proposal 4 would put us at a distinct competitive disadvantage vis-à-vis many of our U.S.-based peer companies.</w:t>
      </w:r>
    </w:p>
    <w:p>
      <w:pPr>
        <w:spacing w:after="0" w:line="163" w:lineRule="exact"/>
        <w:rPr>
          <w:sz w:val="20"/>
          <w:szCs w:val="20"/>
          <w:color w:val="auto"/>
        </w:rPr>
      </w:pPr>
    </w:p>
    <w:p>
      <w:pPr>
        <w:spacing w:after="0"/>
        <w:rPr>
          <w:sz w:val="20"/>
          <w:szCs w:val="20"/>
          <w:color w:val="auto"/>
        </w:rPr>
      </w:pPr>
      <w:r>
        <w:rPr>
          <w:rFonts w:ascii="Arial" w:cs="Arial" w:eastAsia="Arial" w:hAnsi="Arial"/>
          <w:sz w:val="29"/>
          <w:szCs w:val="29"/>
          <w:color w:val="852166"/>
        </w:rPr>
        <w:t>Effect on Authorized Share Capital</w:t>
      </w:r>
    </w:p>
    <w:p>
      <w:pPr>
        <w:spacing w:after="0" w:line="198"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Renewal of the current share allotment and issuance authority will not increase our authorized share capital or otherwise provide greater authority than the share allotment and issuance authority entrusted to us by our shareholders since 2016. Except for issuances pursuant to our shareholder-approved equity plans or pursuant to pre-existing contractual obligations, such as our exchange obligations under our existing exchangeable senior notes, our Board currently has no definitive immediate plans, arrangements or understandings with respect to any share issuances, including issuances for which renewal of the share allotment and issuance authority is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476250</wp:posOffset>
            </wp:positionV>
            <wp:extent cx="1242695" cy="2057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852166"/>
              </w:rPr>
              <w:t>99</w:t>
            </w:r>
          </w:p>
        </w:tc>
      </w:tr>
      <w:tr>
        <w:trPr>
          <w:trHeight w:val="48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7" w:name="page108"/>
    <w:bookmarkEnd w:id="107"/>
    <w:p>
      <w:pPr>
        <w:ind w:left="3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891540" cy="3003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91540" cy="300355"/>
                    </a:xfrm>
                    <a:prstGeom prst="rect">
                      <a:avLst/>
                    </a:prstGeom>
                    <a:noFill/>
                  </pic:spPr>
                </pic:pic>
              </a:graphicData>
            </a:graphic>
          </wp:anchor>
        </w:drawing>
        <w:t>PROPOSAL 4</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Summary</w:t>
      </w:r>
    </w:p>
    <w:p>
      <w:pPr>
        <w:spacing w:after="0" w:line="198"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Proposal 4, if approved, will maintain the status quo, allowing our Board continued flexibility to allot and issue shares that are already within our authorized share capital, subject to the shareholder approval and other requirements of Nasdaq and the SEC as well as the pre-emption rights that apply to us under Irish law in relation to share issuances for cash. The renewal of the share allotment and issuance authority, as proposed:</w:t>
      </w:r>
    </w:p>
    <w:p>
      <w:pPr>
        <w:spacing w:after="0" w:line="104" w:lineRule="exact"/>
        <w:rPr>
          <w:sz w:val="20"/>
          <w:szCs w:val="20"/>
          <w:color w:val="auto"/>
        </w:rPr>
      </w:pPr>
    </w:p>
    <w:p>
      <w:pPr>
        <w:ind w:left="340" w:hanging="251"/>
        <w:spacing w:after="0" w:line="321" w:lineRule="auto"/>
        <w:tabs>
          <w:tab w:leader="none" w:pos="329" w:val="left"/>
        </w:tabs>
        <w:numPr>
          <w:ilvl w:val="0"/>
          <w:numId w:val="98"/>
        </w:numPr>
        <w:rPr>
          <w:rFonts w:ascii="Arial" w:cs="Arial" w:eastAsia="Arial" w:hAnsi="Arial"/>
          <w:sz w:val="16"/>
          <w:szCs w:val="16"/>
          <w:b w:val="1"/>
          <w:bCs w:val="1"/>
          <w:color w:val="001C71"/>
        </w:rPr>
      </w:pPr>
      <w:r>
        <w:rPr>
          <w:rFonts w:ascii="Arial" w:cs="Arial" w:eastAsia="Arial" w:hAnsi="Arial"/>
          <w:sz w:val="16"/>
          <w:szCs w:val="16"/>
          <w:color w:val="auto"/>
        </w:rPr>
        <w:t>will enable us to continue to allot and issue shares in connection with strategic opportunities in furtherance of our strategy for growth, including potential acquisitions and other capital-intensive transactions that we believe would increase shareholder value;</w:t>
      </w:r>
    </w:p>
    <w:p>
      <w:pPr>
        <w:spacing w:after="0" w:line="47" w:lineRule="exact"/>
        <w:rPr>
          <w:rFonts w:ascii="Arial" w:cs="Arial" w:eastAsia="Arial" w:hAnsi="Arial"/>
          <w:sz w:val="16"/>
          <w:szCs w:val="16"/>
          <w:b w:val="1"/>
          <w:bCs w:val="1"/>
          <w:color w:val="001C71"/>
        </w:rPr>
      </w:pPr>
    </w:p>
    <w:p>
      <w:pPr>
        <w:ind w:left="340" w:right="440" w:hanging="251"/>
        <w:spacing w:after="0" w:line="321" w:lineRule="auto"/>
        <w:tabs>
          <w:tab w:leader="none" w:pos="329" w:val="left"/>
        </w:tabs>
        <w:numPr>
          <w:ilvl w:val="0"/>
          <w:numId w:val="98"/>
        </w:numPr>
        <w:rPr>
          <w:rFonts w:ascii="Arial" w:cs="Arial" w:eastAsia="Arial" w:hAnsi="Arial"/>
          <w:sz w:val="16"/>
          <w:szCs w:val="16"/>
          <w:b w:val="1"/>
          <w:bCs w:val="1"/>
          <w:color w:val="001C71"/>
        </w:rPr>
      </w:pPr>
      <w:r>
        <w:rPr>
          <w:rFonts w:ascii="Arial" w:cs="Arial" w:eastAsia="Arial" w:hAnsi="Arial"/>
          <w:sz w:val="16"/>
          <w:szCs w:val="16"/>
          <w:color w:val="auto"/>
        </w:rPr>
        <w:t>will not exempt us from any Nasdaq corporate governance or other requirements, including those requiring shareholder approval for certain share issuances;</w:t>
      </w:r>
    </w:p>
    <w:p>
      <w:pPr>
        <w:spacing w:after="0" w:line="47" w:lineRule="exact"/>
        <w:rPr>
          <w:rFonts w:ascii="Arial" w:cs="Arial" w:eastAsia="Arial" w:hAnsi="Arial"/>
          <w:sz w:val="16"/>
          <w:szCs w:val="16"/>
          <w:b w:val="1"/>
          <w:bCs w:val="1"/>
          <w:color w:val="001C71"/>
        </w:rPr>
      </w:pPr>
    </w:p>
    <w:p>
      <w:pPr>
        <w:ind w:left="320" w:hanging="231"/>
        <w:spacing w:after="0"/>
        <w:tabs>
          <w:tab w:leader="none" w:pos="320" w:val="left"/>
        </w:tabs>
        <w:numPr>
          <w:ilvl w:val="0"/>
          <w:numId w:val="98"/>
        </w:numPr>
        <w:rPr>
          <w:rFonts w:ascii="Arial" w:cs="Arial" w:eastAsia="Arial" w:hAnsi="Arial"/>
          <w:sz w:val="16"/>
          <w:szCs w:val="16"/>
          <w:b w:val="1"/>
          <w:bCs w:val="1"/>
          <w:color w:val="001C71"/>
        </w:rPr>
      </w:pPr>
      <w:r>
        <w:rPr>
          <w:rFonts w:ascii="Arial" w:cs="Arial" w:eastAsia="Arial" w:hAnsi="Arial"/>
          <w:sz w:val="16"/>
          <w:szCs w:val="16"/>
          <w:color w:val="auto"/>
        </w:rPr>
        <w:t>will not exempt us from the pre-emption rights that apply to us under Irish law in relation to issuances for cash;</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98"/>
        </w:numPr>
        <w:rPr>
          <w:rFonts w:ascii="Arial" w:cs="Arial" w:eastAsia="Arial" w:hAnsi="Arial"/>
          <w:sz w:val="16"/>
          <w:szCs w:val="16"/>
          <w:b w:val="1"/>
          <w:bCs w:val="1"/>
          <w:color w:val="001C71"/>
        </w:rPr>
      </w:pPr>
      <w:r>
        <w:rPr>
          <w:rFonts w:ascii="Arial" w:cs="Arial" w:eastAsia="Arial" w:hAnsi="Arial"/>
          <w:sz w:val="16"/>
          <w:szCs w:val="16"/>
          <w:color w:val="auto"/>
        </w:rPr>
        <w:t>is fully consistent with U.S. corporate governance standards; and</w:t>
      </w:r>
    </w:p>
    <w:p>
      <w:pPr>
        <w:spacing w:after="0" w:line="140" w:lineRule="exact"/>
        <w:rPr>
          <w:rFonts w:ascii="Arial" w:cs="Arial" w:eastAsia="Arial" w:hAnsi="Arial"/>
          <w:sz w:val="16"/>
          <w:szCs w:val="16"/>
          <w:b w:val="1"/>
          <w:bCs w:val="1"/>
          <w:color w:val="001C71"/>
        </w:rPr>
      </w:pPr>
    </w:p>
    <w:p>
      <w:pPr>
        <w:ind w:left="320" w:hanging="231"/>
        <w:spacing w:after="0"/>
        <w:tabs>
          <w:tab w:leader="none" w:pos="320" w:val="left"/>
        </w:tabs>
        <w:numPr>
          <w:ilvl w:val="0"/>
          <w:numId w:val="98"/>
        </w:numPr>
        <w:rPr>
          <w:rFonts w:ascii="Arial" w:cs="Arial" w:eastAsia="Arial" w:hAnsi="Arial"/>
          <w:sz w:val="16"/>
          <w:szCs w:val="16"/>
          <w:b w:val="1"/>
          <w:bCs w:val="1"/>
          <w:color w:val="001C71"/>
        </w:rPr>
      </w:pPr>
      <w:r>
        <w:rPr>
          <w:rFonts w:ascii="Arial" w:cs="Arial" w:eastAsia="Arial" w:hAnsi="Arial"/>
          <w:sz w:val="16"/>
          <w:szCs w:val="16"/>
          <w:color w:val="auto"/>
        </w:rPr>
        <w:t>will not increase our authorized share capital.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Our Board is asking our shareholders to vote “FOR” the following ordinary resolution:</w:t>
      </w:r>
    </w:p>
    <w:p>
      <w:pPr>
        <w:spacing w:after="0" w:line="194" w:lineRule="exact"/>
        <w:rPr>
          <w:sz w:val="20"/>
          <w:szCs w:val="20"/>
          <w:color w:val="auto"/>
        </w:rPr>
      </w:pPr>
    </w:p>
    <w:p>
      <w:pPr>
        <w:ind w:left="420" w:right="20"/>
        <w:spacing w:after="0" w:line="289" w:lineRule="auto"/>
        <w:rPr>
          <w:sz w:val="20"/>
          <w:szCs w:val="20"/>
          <w:color w:val="auto"/>
        </w:rPr>
      </w:pPr>
      <w:r>
        <w:rPr>
          <w:rFonts w:ascii="Arial" w:cs="Arial" w:eastAsia="Arial" w:hAnsi="Arial"/>
          <w:sz w:val="16"/>
          <w:szCs w:val="16"/>
          <w:b w:val="1"/>
          <w:bCs w:val="1"/>
          <w:color w:val="001C71"/>
        </w:rPr>
        <w:t xml:space="preserve">“RESOLVED, </w:t>
      </w:r>
      <w:r>
        <w:rPr>
          <w:rFonts w:ascii="Arial" w:cs="Arial" w:eastAsia="Arial" w:hAnsi="Arial"/>
          <w:sz w:val="16"/>
          <w:szCs w:val="16"/>
          <w:color w:val="000000"/>
        </w:rPr>
        <w:t>that the directors of Jazz Pharmaceuticals be and they are hereby generally and unconditionally authorized pursuant to section 1021(1)</w:t>
      </w:r>
      <w:r>
        <w:rPr>
          <w:rFonts w:ascii="Arial" w:cs="Arial" w:eastAsia="Arial" w:hAnsi="Arial"/>
          <w:sz w:val="16"/>
          <w:szCs w:val="16"/>
          <w:b w:val="1"/>
          <w:bCs w:val="1"/>
          <w:color w:val="001C71"/>
        </w:rPr>
        <w:t xml:space="preserve"> </w:t>
      </w:r>
      <w:r>
        <w:rPr>
          <w:rFonts w:ascii="Arial" w:cs="Arial" w:eastAsia="Arial" w:hAnsi="Arial"/>
          <w:sz w:val="16"/>
          <w:szCs w:val="16"/>
          <w:color w:val="000000"/>
        </w:rPr>
        <w:t>of the Companies Act 2014 of Ireland (the 2014 Act) to exercise all powers of Jazz Pharmaceuticals to allot relevant securities (within the meaning of section 1021(12) of the 2014 Act up to the amount of Jazz Pharmaceuticals’ authorized but unissued share capital as at the date of this resolution, provided that this authority shall expire five years from the date of passing of this resolution and provided that Jazz Pharmaceuticals may before such expiry make an offer or agreement which would or might require relevant securities to be allotted after such expiry and the directors may allot relevant securities in pursuance of such an offer or agreement as if the authority conferred by this resolution had not expired.”</w:t>
      </w:r>
    </w:p>
    <w:p>
      <w:pPr>
        <w:spacing w:after="0" w:line="129"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Proposal 4 is an ordinary resolution and must receive the affirmative vote of a majority of the votes cast in person or by proxy at our 2026 AGM (including any adjournment thereof) in order to be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60833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636466"/>
        </w:rPr>
        <w:t xml:space="preserve">OUR BOARD RECOMMENDS A VOTE </w:t>
      </w:r>
      <w:r>
        <w:rPr>
          <w:rFonts w:ascii="Arial" w:cs="Arial" w:eastAsia="Arial" w:hAnsi="Arial"/>
          <w:sz w:val="18"/>
          <w:szCs w:val="18"/>
          <w:b w:val="1"/>
          <w:bCs w:val="1"/>
          <w:color w:val="852166"/>
        </w:rPr>
        <w:t>“FOR”</w:t>
      </w:r>
      <w:r>
        <w:rPr>
          <w:rFonts w:ascii="Arial" w:cs="Arial" w:eastAsia="Arial" w:hAnsi="Arial"/>
          <w:sz w:val="18"/>
          <w:szCs w:val="18"/>
          <w:b w:val="1"/>
          <w:bCs w:val="1"/>
          <w:color w:val="636466"/>
        </w:rPr>
        <w:t xml:space="preserve">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394970</wp:posOffset>
            </wp:positionV>
            <wp:extent cx="1242695" cy="2057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100</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22" w:right="41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b w:val="1"/>
          <w:bCs w:val="1"/>
          <w:color w:val="636466"/>
        </w:rPr>
        <w:t>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1088390" cy="342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both"/>
        <w:ind w:right="640"/>
        <w:spacing w:after="0" w:line="274" w:lineRule="auto"/>
        <w:rPr>
          <w:sz w:val="20"/>
          <w:szCs w:val="20"/>
          <w:color w:val="auto"/>
        </w:rPr>
      </w:pPr>
      <w:r>
        <w:rPr>
          <w:rFonts w:ascii="Arial" w:cs="Arial" w:eastAsia="Arial" w:hAnsi="Arial"/>
          <w:sz w:val="54"/>
          <w:szCs w:val="54"/>
          <w:b w:val="1"/>
          <w:bCs w:val="1"/>
          <w:color w:val="001C71"/>
        </w:rPr>
        <w:t>Board Authority to Issue Shares for Cash Without First Offering Shares to Existing Shareholders</w:t>
      </w:r>
    </w:p>
    <w:p>
      <w:pPr>
        <w:sectPr>
          <w:pgSz w:w="11900" w:h="16838" w:orient="portrait"/>
          <w:cols w:equalWidth="0" w:num="1">
            <w:col w:w="11240"/>
          </w:cols>
          <w:pgMar w:left="320" w:top="1083" w:right="33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29"/>
          <w:szCs w:val="29"/>
          <w:color w:val="852166"/>
        </w:rPr>
        <w:t>Renewal Request</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Irish law, when an Irish public limited company issues shares for cash (including rights to subscribe for, convert into or otherwise acquire any shares), unless otherwise authorized by shareholders, it is required first to offer those shares on the same or more favorable terms to our existing shareholders on a pro-rata basis (commonly referred to as the pre-emption right). The statutory pre-emption rights do not apply where shares are issued for non-cash consideration or pursuant to employee equity plans. Under Irish law, the authority to opt-out of the pre-emption right, which we call the pre-emption opt-out authority, can be granted by shareholders covering up to the maximum of a company’s authorized but unissued ordinary share capital for a maximum period of five years, at which point it lapses unless renewed by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636466"/>
        </w:rPr>
        <w:t>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-633095</wp:posOffset>
            </wp:positionV>
            <wp:extent cx="1645920" cy="12769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645920" cy="127698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636466"/>
        </w:rPr>
        <w:t>RECOMMENDS A VOTE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852166"/>
        </w:rPr>
        <w:t xml:space="preserve">“FOR” </w:t>
      </w:r>
      <w:r>
        <w:rPr>
          <w:rFonts w:ascii="Arial" w:cs="Arial" w:eastAsia="Arial" w:hAnsi="Arial"/>
          <w:sz w:val="18"/>
          <w:szCs w:val="18"/>
          <w:b w:val="1"/>
          <w:bCs w:val="1"/>
          <w:color w:val="636466"/>
        </w:rPr>
        <w:t>PROPOSAL 5.</w:t>
      </w:r>
    </w:p>
    <w:p>
      <w:pPr>
        <w:spacing w:after="0" w:line="607" w:lineRule="exact"/>
        <w:rPr>
          <w:sz w:val="20"/>
          <w:szCs w:val="20"/>
          <w:color w:val="auto"/>
        </w:rPr>
      </w:pPr>
    </w:p>
    <w:p>
      <w:pPr>
        <w:sectPr>
          <w:pgSz w:w="11900" w:h="16838" w:orient="portrait"/>
          <w:cols w:equalWidth="0" w:num="2">
            <w:col w:w="7120" w:space="560"/>
            <w:col w:w="3560"/>
          </w:cols>
          <w:pgMar w:left="320" w:top="1083" w:right="339" w:bottom="1440" w:gutter="0" w:footer="0" w:header="0"/>
          <w:type w:val="continuous"/>
        </w:sectPr>
      </w:pPr>
    </w:p>
    <w:p>
      <w:pPr>
        <w:spacing w:after="0" w:line="12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At our 2025 AGM, our shareholders approved our Board’s authority to opt out of the pre-emption rights provision in the event of an issuance of ordinary shares for cash, up to the amount of 20% of our issued ordinary share capital in the aggregate, for a period of 18 months from the date of the 2025 AGM. Pursuant to this Proposal 5, we are seeking a renewal of our existing authority to opt out of the pre-emption rights provision in the event of an issuance of ordinary shares for cash, if the issuances are limited to up to 20% of our issued ordinary share capital in the aggregate, for a period expiring on the date being 18 months from the passing of the below resolution, unless otherwise varied, renewed or revoked. Accordingly, Proposal 5 is much more limited than Irish law maximally allows for in terms of both amount and duration as it relates to pre-emption opt-out authorities. We expect to next propose renewal of our Board’s pre-emption opt-out authority at our 2027 AGM.</w:t>
      </w:r>
    </w:p>
    <w:p>
      <w:pPr>
        <w:spacing w:after="0" w:line="129"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We are not asking you to approve an increase in our authorized share capital or to approve a specific issuance of shares. Rather, approval of this Proposal 5 will simply provide our Board with certain continued flexibility to issue shares (subject to our Board’s authority to allot and issue such shares) that are already within our authorized share capital for cash on a non-pre-emptive basis, in accordance with the terms described herein.</w:t>
      </w:r>
    </w:p>
    <w:p>
      <w:pPr>
        <w:spacing w:after="0" w:line="118"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If Proposal 5 is approved, our current pre-emption opt-out authority approved at the 2025 AGM will be revoked effective upon the passing of the resolution set out below. If Proposal 5 is not approved, our current pre-emption opt-out authority approved at the 2025 AGM will continue to apply until it expires in accordance with its terms unless otherwise varied, renewed or revoked.</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852166"/>
        </w:rPr>
        <w:t>Why Our Shareholders Should Approve this Proposal 5</w:t>
      </w:r>
    </w:p>
    <w:p>
      <w:pPr>
        <w:spacing w:after="0" w:line="18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Granting our Board the pre-emption opt-out authority on the terms set forth in this Proposal 5 is vital to advancing our business and driving shareholder value, including, if applicable, in connection with potential capital raising and corporate development transactions. Our strategy for growth is rooted in executing commercial launches and ongoing commercialization initiatives, advancing robust R&amp;D programs and delivering impactful clinical results, effectively deploying capital to strengthen the prospects of achieving our short- and long-term goals through strategic corporate development, and delivering strong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175260</wp:posOffset>
            </wp:positionV>
            <wp:extent cx="1242695" cy="20574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76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852166"/>
              </w:rPr>
              <w:t>101</w:t>
            </w:r>
          </w:p>
        </w:tc>
      </w:tr>
      <w:tr>
        <w:trPr>
          <w:trHeight w:val="494"/>
        </w:trPr>
        <w:tc>
          <w:tcPr>
            <w:tcW w:w="10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type w:val="continuous"/>
        </w:sectPr>
      </w:pPr>
    </w:p>
    <w:bookmarkStart w:id="109" w:name="page110"/>
    <w:bookmarkEnd w:id="109"/>
    <w:p>
      <w:pPr>
        <w:ind w:left="3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891540" cy="3003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91540" cy="300355"/>
                    </a:xfrm>
                    <a:prstGeom prst="rect">
                      <a:avLst/>
                    </a:prstGeom>
                    <a:noFill/>
                  </pic:spPr>
                </pic:pic>
              </a:graphicData>
            </a:graphic>
          </wp:anchor>
        </w:drawing>
        <w:t>PROPOSAL 5</w:t>
      </w:r>
    </w:p>
    <w:p>
      <w:pPr>
        <w:spacing w:after="0" w:line="200" w:lineRule="exact"/>
        <w:rPr>
          <w:sz w:val="20"/>
          <w:szCs w:val="20"/>
          <w:color w:val="auto"/>
        </w:rPr>
      </w:pPr>
    </w:p>
    <w:p>
      <w:pPr>
        <w:spacing w:after="0" w:line="37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Our strategy for growth depends in part on our ability to quickly take advantage of strategic opportunities, including potential acquisitions and other capital-intensive transactions that we believe would increase shareholder value. Many of these opportunities are highly competitive, with multiple parties often offering comparable or even the same economics.</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Proposal 5 is not approved, in each case where we propose to issue shares for cash consideration after expiry of our current pre-emption opt-out authority, we would first have to offer those shares on the same or more favorable terms to our existing shareholders pro-rata to their existing shareholdings following a specific Irish statutory procedure and timeline. This could put us at a distinct disadvantage vis-à-vis many of our peers in competing for acquisitions and similar transactions (particularly since many of the companies with which we compete strategically are listed and incorporated in the U.S. and are not subject to similar pre-emption right restrictions), and might make it difficult for us to complete such transactions in a timely manner or at all, thus potentially limiting our ability to further our strategy for growth by deploying capital to meet strategic goals that are in the best interests of our shareholders.</w:t>
      </w:r>
    </w:p>
    <w:p>
      <w:pPr>
        <w:spacing w:after="0" w:line="163" w:lineRule="exact"/>
        <w:rPr>
          <w:sz w:val="20"/>
          <w:szCs w:val="20"/>
          <w:color w:val="auto"/>
        </w:rPr>
      </w:pPr>
    </w:p>
    <w:p>
      <w:pPr>
        <w:spacing w:after="0"/>
        <w:rPr>
          <w:sz w:val="20"/>
          <w:szCs w:val="20"/>
          <w:color w:val="auto"/>
        </w:rPr>
      </w:pPr>
      <w:r>
        <w:rPr>
          <w:rFonts w:ascii="Arial" w:cs="Arial" w:eastAsia="Arial" w:hAnsi="Arial"/>
          <w:sz w:val="29"/>
          <w:szCs w:val="29"/>
          <w:b w:val="1"/>
          <w:bCs w:val="1"/>
          <w:color w:val="852166"/>
        </w:rPr>
        <w:t>Supermajority Vote Standard; Special Resolution</w:t>
      </w:r>
    </w:p>
    <w:p>
      <w:pPr>
        <w:spacing w:after="0" w:line="186"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As required under Irish law, Proposal 5 is a special resolution that requires the affirmative vote of at least 75% of the votes cast in person or by proxy at our 2026 AGM (including any adjournment thereof) in order to be approved.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Our Board is asking our shareholders to vote “FOR” the following special resolution:</w:t>
      </w:r>
    </w:p>
    <w:p>
      <w:pPr>
        <w:spacing w:after="0" w:line="194" w:lineRule="exact"/>
        <w:rPr>
          <w:sz w:val="20"/>
          <w:szCs w:val="20"/>
          <w:color w:val="auto"/>
        </w:rPr>
      </w:pPr>
    </w:p>
    <w:p>
      <w:pPr>
        <w:ind w:left="420" w:right="40"/>
        <w:spacing w:after="0" w:line="286" w:lineRule="auto"/>
        <w:rPr>
          <w:sz w:val="20"/>
          <w:szCs w:val="20"/>
          <w:color w:val="auto"/>
        </w:rPr>
      </w:pPr>
      <w:r>
        <w:rPr>
          <w:rFonts w:ascii="Arial" w:cs="Arial" w:eastAsia="Arial" w:hAnsi="Arial"/>
          <w:sz w:val="16"/>
          <w:szCs w:val="16"/>
          <w:b w:val="1"/>
          <w:bCs w:val="1"/>
          <w:color w:val="001C71"/>
        </w:rPr>
        <w:t xml:space="preserve">“RESOLVED, </w:t>
      </w:r>
      <w:r>
        <w:rPr>
          <w:rFonts w:ascii="Arial" w:cs="Arial" w:eastAsia="Arial" w:hAnsi="Arial"/>
          <w:sz w:val="16"/>
          <w:szCs w:val="16"/>
          <w:color w:val="000000"/>
        </w:rPr>
        <w:t>that the directors be and are hereby empowered pursuant to section 1023 of the 2014 Act to allot equity securities (as defined in section</w:t>
      </w:r>
      <w:r>
        <w:rPr>
          <w:rFonts w:ascii="Arial" w:cs="Arial" w:eastAsia="Arial" w:hAnsi="Arial"/>
          <w:sz w:val="16"/>
          <w:szCs w:val="16"/>
          <w:b w:val="1"/>
          <w:bCs w:val="1"/>
          <w:color w:val="001C71"/>
        </w:rPr>
        <w:t xml:space="preserve"> </w:t>
      </w:r>
      <w:r>
        <w:rPr>
          <w:rFonts w:ascii="Arial" w:cs="Arial" w:eastAsia="Arial" w:hAnsi="Arial"/>
          <w:sz w:val="16"/>
          <w:szCs w:val="16"/>
          <w:color w:val="000000"/>
        </w:rPr>
        <w:t>1023 of the 2014 Act) for cash, subject to and pursuant to the authority conferred by shareholders in accordance with section 1021 of the 2014 Act, as if sub-section (1) of section 1022 of the 2014 Act did not apply to any such allotment, provided that this power shall be limited to the allotment of equity securities up to an aggregate nominal value of US$1,256.20 (12,561,966 shares) (being equivalent to approximately 20% of the aggregate nominal value of Jazz Pharmaceuticals’ issued ordinary share capital as at the last practicable date prior to the issue of the notice of this meeting), and the authority conferred by this resolution shall expire 18 months from the date of passing of this resolution, unless previously renewed, varied or revoked; provided that Jazz Pharmaceuticals may make an offer or agreement before the expiry of such authority which would or might require any such securities to be allotted after this authority has expired and, in that case, the directors may allot equity securities in pursuance of any such offer or agreement as if the authority conferred hereby had not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60833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636466"/>
        </w:rPr>
        <w:t xml:space="preserve">OUR BOARD RECOMMENDS A VOTE </w:t>
      </w:r>
      <w:r>
        <w:rPr>
          <w:rFonts w:ascii="Arial" w:cs="Arial" w:eastAsia="Arial" w:hAnsi="Arial"/>
          <w:sz w:val="18"/>
          <w:szCs w:val="18"/>
          <w:b w:val="1"/>
          <w:bCs w:val="1"/>
          <w:color w:val="852166"/>
        </w:rPr>
        <w:t>“FOR”</w:t>
      </w:r>
      <w:r>
        <w:rPr>
          <w:rFonts w:ascii="Arial" w:cs="Arial" w:eastAsia="Arial" w:hAnsi="Arial"/>
          <w:sz w:val="18"/>
          <w:szCs w:val="18"/>
          <w:b w:val="1"/>
          <w:bCs w:val="1"/>
          <w:color w:val="636466"/>
        </w:rPr>
        <w:t xml:space="preserve">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394970</wp:posOffset>
            </wp:positionV>
            <wp:extent cx="1242695" cy="2057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102</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b w:val="1"/>
          <w:bCs w:val="1"/>
          <w:color w:val="636466"/>
        </w:rPr>
        <w:t>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1088390" cy="342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54"/>
          <w:szCs w:val="54"/>
          <w:b w:val="1"/>
          <w:bCs w:val="1"/>
          <w:color w:val="001C71"/>
        </w:rPr>
        <w:t>Adjournment Proposal</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You are being asked to consider and vote upon an adjournment proposal.</w:t>
      </w:r>
    </w:p>
    <w:p>
      <w:pPr>
        <w:spacing w:after="0" w:line="194"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This resolution proposes to approve any motion to adjourn the AGM, or any adjournments thereof, to another time and place to solicit additional proxies if there are insufficient votes at the time of the AGM to approve either Proposal 4 or Proposal 5.</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Our board is asking our shareholders to vote “FOR” the following ordinary resolution:</w:t>
      </w:r>
    </w:p>
    <w:p>
      <w:pPr>
        <w:spacing w:after="0" w:line="194" w:lineRule="exact"/>
        <w:rPr>
          <w:sz w:val="20"/>
          <w:szCs w:val="20"/>
          <w:color w:val="auto"/>
        </w:rPr>
      </w:pPr>
    </w:p>
    <w:p>
      <w:pPr>
        <w:ind w:left="420" w:right="20"/>
        <w:spacing w:after="0" w:line="295" w:lineRule="auto"/>
        <w:rPr>
          <w:sz w:val="20"/>
          <w:szCs w:val="20"/>
          <w:color w:val="auto"/>
        </w:rPr>
      </w:pPr>
      <w:r>
        <w:rPr>
          <w:rFonts w:ascii="Arial" w:cs="Arial" w:eastAsia="Arial" w:hAnsi="Arial"/>
          <w:sz w:val="16"/>
          <w:szCs w:val="16"/>
          <w:b w:val="1"/>
          <w:bCs w:val="1"/>
          <w:color w:val="001C71"/>
        </w:rPr>
        <w:t xml:space="preserve">“RESOLVED, </w:t>
      </w:r>
      <w:r>
        <w:rPr>
          <w:rFonts w:ascii="Arial" w:cs="Arial" w:eastAsia="Arial" w:hAnsi="Arial"/>
          <w:sz w:val="16"/>
          <w:szCs w:val="16"/>
          <w:color w:val="000000"/>
        </w:rPr>
        <w:t>that any motion to adjourn the annual meeting, or any adjournments thereof, to</w:t>
      </w:r>
      <w:r>
        <w:rPr>
          <w:rFonts w:ascii="Arial" w:cs="Arial" w:eastAsia="Arial" w:hAnsi="Arial"/>
          <w:sz w:val="16"/>
          <w:szCs w:val="16"/>
          <w:b w:val="1"/>
          <w:bCs w:val="1"/>
          <w:color w:val="001C71"/>
        </w:rPr>
        <w:t xml:space="preserve"> </w:t>
      </w:r>
      <w:r>
        <w:rPr>
          <w:rFonts w:ascii="Arial" w:cs="Arial" w:eastAsia="Arial" w:hAnsi="Arial"/>
          <w:sz w:val="16"/>
          <w:szCs w:val="16"/>
          <w:color w:val="000000"/>
        </w:rPr>
        <w:t>another time and place to solicit additional proxies if there are insufficient votes at the time of the annual meeting to approve either Proposal 4 or Proposal 5 set forth in this proxy statement, be approved.”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520"/>
        <w:spacing w:after="0" w:line="346" w:lineRule="auto"/>
        <w:rPr>
          <w:sz w:val="20"/>
          <w:szCs w:val="20"/>
          <w:color w:val="auto"/>
        </w:rPr>
      </w:pPr>
      <w:r>
        <w:rPr>
          <w:rFonts w:ascii="Arial" w:cs="Arial" w:eastAsia="Arial" w:hAnsi="Arial"/>
          <w:sz w:val="17"/>
          <w:szCs w:val="17"/>
          <w:b w:val="1"/>
          <w:bCs w:val="1"/>
          <w:color w:val="636466"/>
        </w:rPr>
        <w:t xml:space="preserve">OUR BOARD RECOMMENDS A VOTE </w:t>
      </w:r>
      <w:r>
        <w:rPr>
          <w:rFonts w:ascii="Arial" w:cs="Arial" w:eastAsia="Arial" w:hAnsi="Arial"/>
          <w:sz w:val="17"/>
          <w:szCs w:val="17"/>
          <w:b w:val="1"/>
          <w:bCs w:val="1"/>
          <w:color w:val="852166"/>
        </w:rPr>
        <w:t xml:space="preserve">“FOR” </w:t>
      </w:r>
      <w:r>
        <w:rPr>
          <w:rFonts w:ascii="Arial" w:cs="Arial" w:eastAsia="Arial" w:hAnsi="Arial"/>
          <w:sz w:val="17"/>
          <w:szCs w:val="17"/>
          <w:b w:val="1"/>
          <w:bCs w:val="1"/>
          <w:color w:val="636466"/>
        </w:rPr>
        <w:t>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-1038860</wp:posOffset>
            </wp:positionV>
            <wp:extent cx="1645920" cy="127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645920" cy="1277620"/>
                    </a:xfrm>
                    <a:prstGeom prst="rect">
                      <a:avLst/>
                    </a:prstGeom>
                    <a:noFill/>
                  </pic:spPr>
                </pic:pic>
              </a:graphicData>
            </a:graphic>
          </wp:anchor>
        </w:drawing>
      </w:r>
    </w:p>
    <w:p>
      <w:pPr>
        <w:spacing w:after="0" w:line="914" w:lineRule="exact"/>
        <w:rPr>
          <w:sz w:val="20"/>
          <w:szCs w:val="20"/>
          <w:color w:val="auto"/>
        </w:rPr>
      </w:pPr>
    </w:p>
    <w:p>
      <w:pPr>
        <w:sectPr>
          <w:pgSz w:w="11900" w:h="16838" w:orient="portrait"/>
          <w:cols w:equalWidth="0" w:num="2">
            <w:col w:w="7320" w:space="360"/>
            <w:col w:w="3560"/>
          </w:cols>
          <w:pgMar w:left="320" w:top="1083" w:right="339" w:bottom="1440" w:gutter="0" w:footer="0" w:header="0"/>
        </w:sectPr>
      </w:pPr>
    </w:p>
    <w:p>
      <w:pPr>
        <w:ind w:right="280"/>
        <w:spacing w:after="0" w:line="321" w:lineRule="auto"/>
        <w:rPr>
          <w:sz w:val="20"/>
          <w:szCs w:val="20"/>
          <w:color w:val="auto"/>
        </w:rPr>
      </w:pPr>
      <w:r>
        <w:rPr>
          <w:rFonts w:ascii="Arial" w:cs="Arial" w:eastAsia="Arial" w:hAnsi="Arial"/>
          <w:sz w:val="16"/>
          <w:szCs w:val="16"/>
          <w:color w:val="auto"/>
        </w:rPr>
        <w:t>Proposal 6 is an ordinary resolution and must receive the affirmative vote of a majority of the votes cast in person or by proxy at our 2026 AGM (including any adjournment thereof) in order to be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60833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636466"/>
        </w:rPr>
        <w:t xml:space="preserve">OUR BOARD RECOMMENDS A VOTE </w:t>
      </w:r>
      <w:r>
        <w:rPr>
          <w:rFonts w:ascii="Arial" w:cs="Arial" w:eastAsia="Arial" w:hAnsi="Arial"/>
          <w:sz w:val="18"/>
          <w:szCs w:val="18"/>
          <w:b w:val="1"/>
          <w:bCs w:val="1"/>
          <w:color w:val="852166"/>
        </w:rPr>
        <w:t>“FOR”</w:t>
      </w:r>
      <w:r>
        <w:rPr>
          <w:rFonts w:ascii="Arial" w:cs="Arial" w:eastAsia="Arial" w:hAnsi="Arial"/>
          <w:sz w:val="18"/>
          <w:szCs w:val="18"/>
          <w:b w:val="1"/>
          <w:bCs w:val="1"/>
          <w:color w:val="636466"/>
        </w:rPr>
        <w:t xml:space="preserve"> 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394970</wp:posOffset>
            </wp:positionV>
            <wp:extent cx="1242695" cy="20574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76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852166"/>
              </w:rPr>
              <w:t>103</w:t>
            </w:r>
          </w:p>
        </w:tc>
      </w:tr>
      <w:tr>
        <w:trPr>
          <w:trHeight w:val="495"/>
        </w:trPr>
        <w:tc>
          <w:tcPr>
            <w:tcW w:w="10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type w:val="continuous"/>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1088390" cy="342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10" w:lineRule="exact"/>
        <w:rPr>
          <w:sz w:val="20"/>
          <w:szCs w:val="20"/>
          <w:color w:val="auto"/>
        </w:rPr>
      </w:pPr>
    </w:p>
    <w:p>
      <w:pPr>
        <w:ind w:right="720"/>
        <w:spacing w:after="0" w:line="299" w:lineRule="auto"/>
        <w:rPr>
          <w:sz w:val="20"/>
          <w:szCs w:val="20"/>
          <w:color w:val="auto"/>
        </w:rPr>
      </w:pPr>
      <w:r>
        <w:rPr>
          <w:rFonts w:ascii="Arial" w:cs="Arial" w:eastAsia="Arial" w:hAnsi="Arial"/>
          <w:sz w:val="54"/>
          <w:szCs w:val="54"/>
          <w:b w:val="1"/>
          <w:bCs w:val="1"/>
          <w:color w:val="001C71"/>
        </w:rPr>
        <w:t>Security Ownership of Certain Beneficial Owners &amp; Management</w:t>
      </w:r>
    </w:p>
    <w:p>
      <w:pPr>
        <w:spacing w:after="0" w:line="19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following table sets forth certain information regarding the ownership of our ordinary shares as of May 25, 2026 (except as noted) by: (i) each director and director nominee; (ii) each of our NEOs; (iii) all of our current executive officers, directors and director nominees as a group; and (iv) all those known by us to be beneficial owners of more than five percent of our ordinary shares.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20" w:type="dxa"/>
            <w:vAlign w:val="bottom"/>
            <w:tcBorders>
              <w:right w:val="single" w:sz="8" w:color="001C71"/>
            </w:tcBorders>
          </w:tcPr>
          <w:p>
            <w:pPr>
              <w:spacing w:after="0"/>
              <w:rPr>
                <w:sz w:val="21"/>
                <w:szCs w:val="21"/>
                <w:color w:val="auto"/>
              </w:rPr>
            </w:pPr>
          </w:p>
        </w:tc>
        <w:tc>
          <w:tcPr>
            <w:tcW w:w="2960" w:type="dxa"/>
            <w:vAlign w:val="bottom"/>
            <w:tcBorders>
              <w:top w:val="single" w:sz="8" w:color="001C71"/>
            </w:tcBorders>
          </w:tcPr>
          <w:p>
            <w:pPr>
              <w:jc w:val="right"/>
              <w:spacing w:after="0"/>
              <w:rPr>
                <w:sz w:val="20"/>
                <w:szCs w:val="20"/>
                <w:color w:val="auto"/>
              </w:rPr>
            </w:pPr>
            <w:r>
              <w:rPr>
                <w:rFonts w:ascii="Arial" w:cs="Arial" w:eastAsia="Arial" w:hAnsi="Arial"/>
                <w:sz w:val="14"/>
                <w:szCs w:val="14"/>
                <w:b w:val="1"/>
                <w:bCs w:val="1"/>
                <w:color w:val="001C71"/>
              </w:rPr>
              <w:t>Beneficial Ownership</w:t>
            </w:r>
            <w:r>
              <w:rPr>
                <w:rFonts w:ascii="Arial" w:cs="Arial" w:eastAsia="Arial" w:hAnsi="Arial"/>
                <w:sz w:val="18"/>
                <w:szCs w:val="18"/>
                <w:b w:val="1"/>
                <w:bCs w:val="1"/>
                <w:color w:val="001C71"/>
                <w:vertAlign w:val="superscript"/>
              </w:rPr>
              <w:t>(2)</w:t>
            </w:r>
          </w:p>
        </w:tc>
        <w:tc>
          <w:tcPr>
            <w:tcW w:w="1500" w:type="dxa"/>
            <w:vAlign w:val="bottom"/>
            <w:tcBorders>
              <w:top w:val="single" w:sz="8" w:color="001C71"/>
            </w:tcBorders>
          </w:tcPr>
          <w:p>
            <w:pPr>
              <w:spacing w:after="0"/>
              <w:rPr>
                <w:sz w:val="21"/>
                <w:szCs w:val="21"/>
                <w:color w:val="auto"/>
              </w:rPr>
            </w:pPr>
          </w:p>
        </w:tc>
        <w:tc>
          <w:tcPr>
            <w:tcW w:w="20" w:type="dxa"/>
            <w:vAlign w:val="bottom"/>
            <w:tcBorders>
              <w:top w:val="single" w:sz="8" w:color="001C71"/>
            </w:tcBorders>
            <w:shd w:val="clear" w:color="auto" w:fill="001C71"/>
          </w:tcPr>
          <w:p>
            <w:pPr>
              <w:spacing w:after="0"/>
              <w:rPr>
                <w:sz w:val="21"/>
                <w:szCs w:val="21"/>
                <w:color w:val="auto"/>
              </w:rPr>
            </w:pPr>
          </w:p>
        </w:tc>
      </w:tr>
      <w:tr>
        <w:trPr>
          <w:trHeight w:val="180"/>
        </w:trPr>
        <w:tc>
          <w:tcPr>
            <w:tcW w:w="6720" w:type="dxa"/>
            <w:vAlign w:val="bottom"/>
            <w:tcBorders>
              <w:right w:val="single" w:sz="8" w:color="001C71"/>
            </w:tcBorders>
            <w:shd w:val="clear" w:color="auto" w:fill="001C71"/>
          </w:tcPr>
          <w:p>
            <w:pPr>
              <w:spacing w:after="0"/>
              <w:rPr>
                <w:sz w:val="15"/>
                <w:szCs w:val="15"/>
                <w:color w:val="auto"/>
              </w:rPr>
            </w:pPr>
          </w:p>
        </w:tc>
        <w:tc>
          <w:tcPr>
            <w:tcW w:w="2960" w:type="dxa"/>
            <w:vAlign w:val="bottom"/>
            <w:shd w:val="clear" w:color="auto" w:fill="001C71"/>
          </w:tcPr>
          <w:p>
            <w:pPr>
              <w:jc w:val="right"/>
              <w:ind w:right="688"/>
              <w:spacing w:after="0"/>
              <w:rPr>
                <w:sz w:val="20"/>
                <w:szCs w:val="20"/>
                <w:color w:val="auto"/>
              </w:rPr>
            </w:pPr>
            <w:r>
              <w:rPr>
                <w:rFonts w:ascii="Arial" w:cs="Arial" w:eastAsia="Arial" w:hAnsi="Arial"/>
                <w:sz w:val="14"/>
                <w:szCs w:val="14"/>
                <w:b w:val="1"/>
                <w:bCs w:val="1"/>
                <w:color w:val="FFFFFF"/>
              </w:rPr>
              <w:t>Number of Shares</w:t>
            </w:r>
          </w:p>
        </w:tc>
        <w:tc>
          <w:tcPr>
            <w:tcW w:w="1500" w:type="dxa"/>
            <w:vAlign w:val="bottom"/>
            <w:shd w:val="clear" w:color="auto" w:fill="001C71"/>
          </w:tcPr>
          <w:p>
            <w:pPr>
              <w:jc w:val="right"/>
              <w:ind w:right="88"/>
              <w:spacing w:after="0"/>
              <w:rPr>
                <w:sz w:val="20"/>
                <w:szCs w:val="20"/>
                <w:color w:val="auto"/>
              </w:rPr>
            </w:pPr>
            <w:r>
              <w:rPr>
                <w:rFonts w:ascii="Arial" w:cs="Arial" w:eastAsia="Arial" w:hAnsi="Arial"/>
                <w:sz w:val="14"/>
                <w:szCs w:val="14"/>
                <w:b w:val="1"/>
                <w:bCs w:val="1"/>
                <w:color w:val="FFFFFF"/>
              </w:rPr>
              <w:t>Percentage of Total</w:t>
            </w:r>
          </w:p>
        </w:tc>
        <w:tc>
          <w:tcPr>
            <w:tcW w:w="20" w:type="dxa"/>
            <w:vAlign w:val="bottom"/>
            <w:shd w:val="clear" w:color="auto" w:fill="001C71"/>
          </w:tcPr>
          <w:p>
            <w:pPr>
              <w:spacing w:after="0"/>
              <w:rPr>
                <w:sz w:val="15"/>
                <w:szCs w:val="15"/>
                <w:color w:val="auto"/>
              </w:rPr>
            </w:pPr>
          </w:p>
        </w:tc>
      </w:tr>
      <w:tr>
        <w:trPr>
          <w:trHeight w:val="259"/>
        </w:trPr>
        <w:tc>
          <w:tcPr>
            <w:tcW w:w="6720" w:type="dxa"/>
            <w:vAlign w:val="bottom"/>
            <w:tcBorders>
              <w:bottom w:val="single" w:sz="8" w:color="001C71"/>
              <w:right w:val="single" w:sz="8" w:color="001C71"/>
            </w:tcBorders>
            <w:shd w:val="clear" w:color="auto" w:fill="001C71"/>
          </w:tcPr>
          <w:p>
            <w:pPr>
              <w:ind w:left="100"/>
              <w:spacing w:after="0"/>
              <w:rPr>
                <w:sz w:val="20"/>
                <w:szCs w:val="20"/>
                <w:color w:val="auto"/>
              </w:rPr>
            </w:pPr>
            <w:r>
              <w:rPr>
                <w:rFonts w:ascii="Arial" w:cs="Arial" w:eastAsia="Arial" w:hAnsi="Arial"/>
                <w:sz w:val="14"/>
                <w:szCs w:val="14"/>
                <w:b w:val="1"/>
                <w:bCs w:val="1"/>
                <w:color w:val="FFFFFF"/>
              </w:rPr>
              <w:t>Name and Address of Beneficial Owner</w:t>
            </w:r>
            <w:r>
              <w:rPr>
                <w:rFonts w:ascii="Arial" w:cs="Arial" w:eastAsia="Arial" w:hAnsi="Arial"/>
                <w:sz w:val="18"/>
                <w:szCs w:val="18"/>
                <w:b w:val="1"/>
                <w:bCs w:val="1"/>
                <w:color w:val="FFFFFF"/>
                <w:vertAlign w:val="superscript"/>
              </w:rPr>
              <w:t>(1)</w:t>
            </w:r>
          </w:p>
        </w:tc>
        <w:tc>
          <w:tcPr>
            <w:tcW w:w="2960" w:type="dxa"/>
            <w:vAlign w:val="bottom"/>
            <w:tcBorders>
              <w:bottom w:val="single" w:sz="8" w:color="001C71"/>
            </w:tcBorders>
            <w:shd w:val="clear" w:color="auto" w:fill="001C71"/>
          </w:tcPr>
          <w:p>
            <w:pPr>
              <w:jc w:val="right"/>
              <w:ind w:right="688"/>
              <w:spacing w:after="0"/>
              <w:rPr>
                <w:sz w:val="20"/>
                <w:szCs w:val="20"/>
                <w:color w:val="auto"/>
              </w:rPr>
            </w:pPr>
            <w:r>
              <w:rPr>
                <w:rFonts w:ascii="Arial" w:cs="Arial" w:eastAsia="Arial" w:hAnsi="Arial"/>
                <w:sz w:val="14"/>
                <w:szCs w:val="14"/>
                <w:b w:val="1"/>
                <w:bCs w:val="1"/>
                <w:color w:val="FFFFFF"/>
              </w:rPr>
              <w:t>(#)</w:t>
            </w:r>
          </w:p>
        </w:tc>
        <w:tc>
          <w:tcPr>
            <w:tcW w:w="1500" w:type="dxa"/>
            <w:vAlign w:val="bottom"/>
            <w:tcBorders>
              <w:bottom w:val="single" w:sz="8" w:color="001C71"/>
            </w:tcBorders>
            <w:shd w:val="clear" w:color="auto" w:fill="001C71"/>
          </w:tcPr>
          <w:p>
            <w:pPr>
              <w:jc w:val="right"/>
              <w:ind w:right="48"/>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001C71"/>
            </w:tcBorders>
            <w:shd w:val="clear" w:color="auto" w:fill="001C71"/>
          </w:tcPr>
          <w:p>
            <w:pPr>
              <w:spacing w:after="0"/>
              <w:rPr>
                <w:sz w:val="22"/>
                <w:szCs w:val="22"/>
                <w:color w:val="auto"/>
              </w:rPr>
            </w:pPr>
          </w:p>
        </w:tc>
      </w:tr>
      <w:tr>
        <w:trPr>
          <w:trHeight w:val="230"/>
        </w:trPr>
        <w:tc>
          <w:tcPr>
            <w:tcW w:w="6720" w:type="dxa"/>
            <w:vAlign w:val="bottom"/>
            <w:tcBorders>
              <w:right w:val="single" w:sz="8" w:color="F0F0F0"/>
            </w:tcBorders>
            <w:shd w:val="clear" w:color="auto" w:fill="F0F0F0"/>
          </w:tcPr>
          <w:p>
            <w:pPr>
              <w:ind w:left="100"/>
              <w:spacing w:after="0"/>
              <w:rPr>
                <w:sz w:val="20"/>
                <w:szCs w:val="20"/>
                <w:color w:val="auto"/>
              </w:rPr>
            </w:pPr>
            <w:r>
              <w:rPr>
                <w:rFonts w:ascii="Arial" w:cs="Arial" w:eastAsia="Arial" w:hAnsi="Arial"/>
                <w:sz w:val="14"/>
                <w:szCs w:val="14"/>
                <w:b w:val="1"/>
                <w:bCs w:val="1"/>
                <w:color w:val="5673B8"/>
              </w:rPr>
              <w:t>5% SHAREHOLDERS</w:t>
            </w:r>
          </w:p>
        </w:tc>
        <w:tc>
          <w:tcPr>
            <w:tcW w:w="2960" w:type="dxa"/>
            <w:vAlign w:val="bottom"/>
            <w:shd w:val="clear" w:color="auto" w:fill="F0F0F0"/>
          </w:tcPr>
          <w:p>
            <w:pPr>
              <w:spacing w:after="0"/>
              <w:rPr>
                <w:sz w:val="19"/>
                <w:szCs w:val="19"/>
                <w:color w:val="auto"/>
              </w:rPr>
            </w:pPr>
          </w:p>
        </w:tc>
        <w:tc>
          <w:tcPr>
            <w:tcW w:w="1500" w:type="dxa"/>
            <w:vAlign w:val="bottom"/>
            <w:shd w:val="clear" w:color="auto" w:fill="F0F0F0"/>
          </w:tcPr>
          <w:p>
            <w:pPr>
              <w:spacing w:after="0"/>
              <w:rPr>
                <w:sz w:val="19"/>
                <w:szCs w:val="19"/>
                <w:color w:val="auto"/>
              </w:rPr>
            </w:pPr>
          </w:p>
        </w:tc>
        <w:tc>
          <w:tcPr>
            <w:tcW w:w="20" w:type="dxa"/>
            <w:vAlign w:val="bottom"/>
          </w:tcPr>
          <w:p>
            <w:pPr>
              <w:spacing w:after="0"/>
              <w:rPr>
                <w:sz w:val="19"/>
                <w:szCs w:val="19"/>
                <w:color w:val="auto"/>
              </w:rPr>
            </w:pPr>
          </w:p>
        </w:tc>
      </w:tr>
      <w:tr>
        <w:trPr>
          <w:trHeight w:val="180"/>
        </w:trPr>
        <w:tc>
          <w:tcPr>
            <w:tcW w:w="6720" w:type="dxa"/>
            <w:vAlign w:val="bottom"/>
          </w:tcPr>
          <w:p>
            <w:pPr>
              <w:ind w:left="100"/>
              <w:spacing w:after="0" w:line="180" w:lineRule="exact"/>
              <w:rPr>
                <w:sz w:val="20"/>
                <w:szCs w:val="20"/>
                <w:color w:val="auto"/>
              </w:rPr>
            </w:pPr>
            <w:r>
              <w:rPr>
                <w:rFonts w:ascii="Arial" w:cs="Arial" w:eastAsia="Arial" w:hAnsi="Arial"/>
                <w:sz w:val="14"/>
                <w:szCs w:val="14"/>
                <w:color w:val="auto"/>
              </w:rPr>
              <w:t>BlackRock, Inc.</w:t>
            </w:r>
            <w:r>
              <w:rPr>
                <w:rFonts w:ascii="Arial" w:cs="Arial" w:eastAsia="Arial" w:hAnsi="Arial"/>
                <w:sz w:val="18"/>
                <w:szCs w:val="18"/>
                <w:color w:val="auto"/>
                <w:vertAlign w:val="superscript"/>
              </w:rPr>
              <w:t>(3)</w:t>
            </w:r>
          </w:p>
        </w:tc>
        <w:tc>
          <w:tcPr>
            <w:tcW w:w="29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720" w:type="dxa"/>
            <w:vAlign w:val="bottom"/>
          </w:tcPr>
          <w:p>
            <w:pPr>
              <w:ind w:left="100"/>
              <w:spacing w:after="0"/>
              <w:rPr>
                <w:sz w:val="20"/>
                <w:szCs w:val="20"/>
                <w:color w:val="auto"/>
              </w:rPr>
            </w:pPr>
            <w:r>
              <w:rPr>
                <w:rFonts w:ascii="Arial" w:cs="Arial" w:eastAsia="Arial" w:hAnsi="Arial"/>
                <w:sz w:val="14"/>
                <w:szCs w:val="14"/>
                <w:color w:val="auto"/>
              </w:rPr>
              <w:t>50 Hudson Yards</w:t>
            </w:r>
          </w:p>
        </w:tc>
        <w:tc>
          <w:tcPr>
            <w:tcW w:w="2960" w:type="dxa"/>
            <w:vAlign w:val="bottom"/>
          </w:tcPr>
          <w:p>
            <w:pPr>
              <w:jc w:val="right"/>
              <w:ind w:right="728"/>
              <w:spacing w:after="0"/>
              <w:rPr>
                <w:sz w:val="20"/>
                <w:szCs w:val="20"/>
                <w:color w:val="auto"/>
              </w:rPr>
            </w:pPr>
            <w:r>
              <w:rPr>
                <w:rFonts w:ascii="Arial" w:cs="Arial" w:eastAsia="Arial" w:hAnsi="Arial"/>
                <w:sz w:val="14"/>
                <w:szCs w:val="14"/>
                <w:color w:val="auto"/>
              </w:rPr>
              <w:t>5,872,123</w:t>
            </w: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9.3</w:t>
            </w:r>
          </w:p>
        </w:tc>
        <w:tc>
          <w:tcPr>
            <w:tcW w:w="20" w:type="dxa"/>
            <w:vAlign w:val="bottom"/>
          </w:tcPr>
          <w:p>
            <w:pPr>
              <w:spacing w:after="0"/>
              <w:rPr>
                <w:sz w:val="15"/>
                <w:szCs w:val="15"/>
                <w:color w:val="auto"/>
              </w:rPr>
            </w:pPr>
          </w:p>
        </w:tc>
      </w:tr>
      <w:tr>
        <w:trPr>
          <w:trHeight w:val="190"/>
        </w:trPr>
        <w:tc>
          <w:tcPr>
            <w:tcW w:w="6720" w:type="dxa"/>
            <w:vAlign w:val="bottom"/>
          </w:tcPr>
          <w:p>
            <w:pPr>
              <w:ind w:left="100"/>
              <w:spacing w:after="0"/>
              <w:rPr>
                <w:sz w:val="20"/>
                <w:szCs w:val="20"/>
                <w:color w:val="auto"/>
              </w:rPr>
            </w:pPr>
            <w:r>
              <w:rPr>
                <w:rFonts w:ascii="Arial" w:cs="Arial" w:eastAsia="Arial" w:hAnsi="Arial"/>
                <w:sz w:val="14"/>
                <w:szCs w:val="14"/>
                <w:color w:val="auto"/>
              </w:rPr>
              <w:t>New York, NY 10001</w:t>
            </w:r>
          </w:p>
        </w:tc>
        <w:tc>
          <w:tcPr>
            <w:tcW w:w="2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
        </w:trPr>
        <w:tc>
          <w:tcPr>
            <w:tcW w:w="6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6720" w:type="dxa"/>
            <w:vAlign w:val="bottom"/>
            <w:tcBorders>
              <w:right w:val="single" w:sz="8" w:color="F0F0F0"/>
            </w:tcBorders>
            <w:shd w:val="clear" w:color="auto" w:fill="F0F0F0"/>
          </w:tcPr>
          <w:p>
            <w:pPr>
              <w:ind w:left="100"/>
              <w:spacing w:after="0"/>
              <w:rPr>
                <w:sz w:val="20"/>
                <w:szCs w:val="20"/>
                <w:color w:val="auto"/>
              </w:rPr>
            </w:pPr>
            <w:r>
              <w:rPr>
                <w:rFonts w:ascii="Arial" w:cs="Arial" w:eastAsia="Arial" w:hAnsi="Arial"/>
                <w:sz w:val="14"/>
                <w:szCs w:val="14"/>
                <w:b w:val="1"/>
                <w:bCs w:val="1"/>
                <w:color w:val="5673B8"/>
              </w:rPr>
              <w:t>NEOs AND DIRECTORS</w:t>
            </w:r>
          </w:p>
        </w:tc>
        <w:tc>
          <w:tcPr>
            <w:tcW w:w="2960" w:type="dxa"/>
            <w:vAlign w:val="bottom"/>
            <w:shd w:val="clear" w:color="auto" w:fill="F0F0F0"/>
          </w:tcPr>
          <w:p>
            <w:pPr>
              <w:spacing w:after="0"/>
              <w:rPr>
                <w:sz w:val="19"/>
                <w:szCs w:val="19"/>
                <w:color w:val="auto"/>
              </w:rPr>
            </w:pPr>
          </w:p>
        </w:tc>
        <w:tc>
          <w:tcPr>
            <w:tcW w:w="1500" w:type="dxa"/>
            <w:vAlign w:val="bottom"/>
            <w:shd w:val="clear" w:color="auto" w:fill="F0F0F0"/>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720" w:type="dxa"/>
            <w:vAlign w:val="bottom"/>
            <w:tcBorders>
              <w:bottom w:val="single" w:sz="8" w:color="567388"/>
            </w:tcBorders>
          </w:tcPr>
          <w:p>
            <w:pPr>
              <w:ind w:left="100"/>
              <w:spacing w:after="0"/>
              <w:rPr>
                <w:sz w:val="20"/>
                <w:szCs w:val="20"/>
                <w:color w:val="auto"/>
              </w:rPr>
            </w:pPr>
            <w:r>
              <w:rPr>
                <w:rFonts w:ascii="Arial" w:cs="Arial" w:eastAsia="Arial" w:hAnsi="Arial"/>
                <w:sz w:val="14"/>
                <w:szCs w:val="14"/>
                <w:color w:val="auto"/>
              </w:rPr>
              <w:t>Renee D. Gala</w:t>
            </w:r>
            <w:r>
              <w:rPr>
                <w:rFonts w:ascii="Arial" w:cs="Arial" w:eastAsia="Arial" w:hAnsi="Arial"/>
                <w:sz w:val="18"/>
                <w:szCs w:val="18"/>
                <w:color w:val="auto"/>
                <w:vertAlign w:val="superscript"/>
              </w:rPr>
              <w:t>(4)</w:t>
            </w:r>
          </w:p>
        </w:tc>
        <w:tc>
          <w:tcPr>
            <w:tcW w:w="2960" w:type="dxa"/>
            <w:vAlign w:val="bottom"/>
            <w:tcBorders>
              <w:bottom w:val="single" w:sz="8" w:color="567388"/>
            </w:tcBorders>
          </w:tcPr>
          <w:p>
            <w:pPr>
              <w:jc w:val="right"/>
              <w:ind w:right="728"/>
              <w:spacing w:after="0"/>
              <w:rPr>
                <w:sz w:val="20"/>
                <w:szCs w:val="20"/>
                <w:color w:val="auto"/>
              </w:rPr>
            </w:pPr>
            <w:r>
              <w:rPr>
                <w:rFonts w:ascii="Arial" w:cs="Arial" w:eastAsia="Arial" w:hAnsi="Arial"/>
                <w:sz w:val="14"/>
                <w:szCs w:val="14"/>
                <w:color w:val="auto"/>
              </w:rPr>
              <w:t>99,984</w:t>
            </w:r>
          </w:p>
        </w:tc>
        <w:tc>
          <w:tcPr>
            <w:tcW w:w="1500" w:type="dxa"/>
            <w:vAlign w:val="bottom"/>
            <w:tcBorders>
              <w:bottom w:val="single" w:sz="8" w:color="56738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Philip L. Johnson</w:t>
            </w:r>
            <w:r>
              <w:rPr>
                <w:rFonts w:ascii="Arial" w:cs="Arial" w:eastAsia="Arial" w:hAnsi="Arial"/>
                <w:sz w:val="18"/>
                <w:szCs w:val="18"/>
                <w:color w:val="auto"/>
                <w:vertAlign w:val="superscript"/>
              </w:rPr>
              <w:t>(5)</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28,230</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Bruce C. Cozadd</w:t>
            </w:r>
            <w:r>
              <w:rPr>
                <w:rFonts w:ascii="Arial" w:cs="Arial" w:eastAsia="Arial" w:hAnsi="Arial"/>
                <w:sz w:val="18"/>
                <w:szCs w:val="18"/>
                <w:color w:val="auto"/>
                <w:vertAlign w:val="superscript"/>
              </w:rPr>
              <w:t>(6)</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773,799</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Robert Iannone, M.D., M.S.C.E</w:t>
            </w:r>
            <w:r>
              <w:rPr>
                <w:rFonts w:ascii="Arial" w:cs="Arial" w:eastAsia="Arial" w:hAnsi="Arial"/>
                <w:sz w:val="18"/>
                <w:szCs w:val="18"/>
                <w:color w:val="auto"/>
                <w:vertAlign w:val="superscript"/>
              </w:rPr>
              <w:t>(7)</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106,686</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Neena M. Patil</w:t>
            </w:r>
            <w:r>
              <w:rPr>
                <w:rFonts w:ascii="Arial" w:cs="Arial" w:eastAsia="Arial" w:hAnsi="Arial"/>
                <w:sz w:val="18"/>
                <w:szCs w:val="18"/>
                <w:color w:val="auto"/>
                <w:vertAlign w:val="superscript"/>
              </w:rPr>
              <w:t>(8)</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25,823</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Samantha Pearce</w:t>
            </w:r>
            <w:r>
              <w:rPr>
                <w:rFonts w:ascii="Arial" w:cs="Arial" w:eastAsia="Arial" w:hAnsi="Arial"/>
                <w:sz w:val="18"/>
                <w:szCs w:val="18"/>
                <w:color w:val="auto"/>
                <w:vertAlign w:val="superscript"/>
              </w:rPr>
              <w:t>(9)</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29,696</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Jennifer E. Cook</w:t>
            </w:r>
            <w:r>
              <w:rPr>
                <w:rFonts w:ascii="Arial" w:cs="Arial" w:eastAsia="Arial" w:hAnsi="Arial"/>
                <w:sz w:val="18"/>
                <w:szCs w:val="18"/>
                <w:color w:val="auto"/>
                <w:vertAlign w:val="superscript"/>
              </w:rPr>
              <w:t>(10)</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17,312</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Patrick G. Enright</w:t>
            </w:r>
            <w:r>
              <w:rPr>
                <w:rFonts w:ascii="Arial" w:cs="Arial" w:eastAsia="Arial" w:hAnsi="Arial"/>
                <w:sz w:val="18"/>
                <w:szCs w:val="18"/>
                <w:color w:val="auto"/>
                <w:vertAlign w:val="superscript"/>
              </w:rPr>
              <w:t>(11)</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36,684</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Laura J. Hamill</w:t>
            </w:r>
            <w:r>
              <w:rPr>
                <w:rFonts w:ascii="Arial" w:cs="Arial" w:eastAsia="Arial" w:hAnsi="Arial"/>
                <w:sz w:val="18"/>
                <w:szCs w:val="18"/>
                <w:color w:val="auto"/>
                <w:vertAlign w:val="superscript"/>
              </w:rPr>
              <w:t>(12)</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6,933</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88"/>
            </w:tcBorders>
          </w:tcPr>
          <w:p>
            <w:pPr>
              <w:ind w:left="100"/>
              <w:spacing w:after="0"/>
              <w:rPr>
                <w:sz w:val="20"/>
                <w:szCs w:val="20"/>
                <w:color w:val="auto"/>
              </w:rPr>
            </w:pPr>
            <w:r>
              <w:rPr>
                <w:rFonts w:ascii="Arial" w:cs="Arial" w:eastAsia="Arial" w:hAnsi="Arial"/>
                <w:sz w:val="14"/>
                <w:szCs w:val="14"/>
                <w:color w:val="auto"/>
              </w:rPr>
              <w:t>Patrick Kennedy</w:t>
            </w:r>
            <w:r>
              <w:rPr>
                <w:rFonts w:ascii="Arial" w:cs="Arial" w:eastAsia="Arial" w:hAnsi="Arial"/>
                <w:sz w:val="18"/>
                <w:szCs w:val="18"/>
                <w:color w:val="auto"/>
                <w:vertAlign w:val="superscript"/>
              </w:rPr>
              <w:t>(13)</w:t>
            </w:r>
          </w:p>
        </w:tc>
        <w:tc>
          <w:tcPr>
            <w:tcW w:w="2960" w:type="dxa"/>
            <w:vAlign w:val="bottom"/>
            <w:tcBorders>
              <w:bottom w:val="single" w:sz="8" w:color="567388"/>
            </w:tcBorders>
          </w:tcPr>
          <w:p>
            <w:pPr>
              <w:jc w:val="right"/>
              <w:ind w:right="728"/>
              <w:spacing w:after="0"/>
              <w:rPr>
                <w:sz w:val="20"/>
                <w:szCs w:val="20"/>
                <w:color w:val="auto"/>
              </w:rPr>
            </w:pPr>
            <w:r>
              <w:rPr>
                <w:rFonts w:ascii="Arial" w:cs="Arial" w:eastAsia="Arial" w:hAnsi="Arial"/>
                <w:sz w:val="14"/>
                <w:szCs w:val="14"/>
                <w:color w:val="auto"/>
              </w:rPr>
              <w:t>6,702</w:t>
            </w:r>
          </w:p>
        </w:tc>
        <w:tc>
          <w:tcPr>
            <w:tcW w:w="1500" w:type="dxa"/>
            <w:vAlign w:val="bottom"/>
            <w:tcBorders>
              <w:bottom w:val="single" w:sz="8" w:color="56738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88"/>
            </w:tcBorders>
          </w:tcPr>
          <w:p>
            <w:pPr>
              <w:ind w:left="100"/>
              <w:spacing w:after="0"/>
              <w:rPr>
                <w:sz w:val="20"/>
                <w:szCs w:val="20"/>
                <w:color w:val="auto"/>
              </w:rPr>
            </w:pPr>
            <w:r>
              <w:rPr>
                <w:rFonts w:ascii="Arial" w:cs="Arial" w:eastAsia="Arial" w:hAnsi="Arial"/>
                <w:sz w:val="14"/>
                <w:szCs w:val="14"/>
                <w:color w:val="auto"/>
              </w:rPr>
              <w:t>Ted W. Love, M.D.</w:t>
            </w:r>
            <w:r>
              <w:rPr>
                <w:rFonts w:ascii="Arial" w:cs="Arial" w:eastAsia="Arial" w:hAnsi="Arial"/>
                <w:sz w:val="18"/>
                <w:szCs w:val="18"/>
                <w:color w:val="auto"/>
                <w:vertAlign w:val="superscript"/>
              </w:rPr>
              <w:t>(14)</w:t>
            </w:r>
          </w:p>
        </w:tc>
        <w:tc>
          <w:tcPr>
            <w:tcW w:w="2960" w:type="dxa"/>
            <w:vAlign w:val="bottom"/>
            <w:tcBorders>
              <w:bottom w:val="single" w:sz="8" w:color="567388"/>
            </w:tcBorders>
          </w:tcPr>
          <w:p>
            <w:pPr>
              <w:jc w:val="right"/>
              <w:ind w:right="728"/>
              <w:spacing w:after="0"/>
              <w:rPr>
                <w:sz w:val="20"/>
                <w:szCs w:val="20"/>
                <w:color w:val="auto"/>
              </w:rPr>
            </w:pPr>
            <w:r>
              <w:rPr>
                <w:rFonts w:ascii="Arial" w:cs="Arial" w:eastAsia="Arial" w:hAnsi="Arial"/>
                <w:sz w:val="14"/>
                <w:szCs w:val="14"/>
                <w:color w:val="auto"/>
              </w:rPr>
              <w:t>1,527</w:t>
            </w:r>
          </w:p>
        </w:tc>
        <w:tc>
          <w:tcPr>
            <w:tcW w:w="1500" w:type="dxa"/>
            <w:vAlign w:val="bottom"/>
            <w:tcBorders>
              <w:bottom w:val="single" w:sz="8" w:color="56738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Heather Ann McSharry</w:t>
            </w:r>
            <w:r>
              <w:rPr>
                <w:rFonts w:ascii="Arial" w:cs="Arial" w:eastAsia="Arial" w:hAnsi="Arial"/>
                <w:sz w:val="18"/>
                <w:szCs w:val="18"/>
                <w:color w:val="auto"/>
                <w:vertAlign w:val="superscript"/>
              </w:rPr>
              <w:t>(15)</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37,169</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Seamus C. Mulligan</w:t>
            </w:r>
            <w:r>
              <w:rPr>
                <w:rFonts w:ascii="Arial" w:cs="Arial" w:eastAsia="Arial" w:hAnsi="Arial"/>
                <w:sz w:val="18"/>
                <w:szCs w:val="18"/>
                <w:color w:val="auto"/>
                <w:vertAlign w:val="superscript"/>
              </w:rPr>
              <w:t>(16)</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1,303,369</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Anne O‘Riordan</w:t>
            </w:r>
            <w:r>
              <w:rPr>
                <w:rFonts w:ascii="Arial" w:cs="Arial" w:eastAsia="Arial" w:hAnsi="Arial"/>
                <w:sz w:val="18"/>
                <w:szCs w:val="18"/>
                <w:color w:val="auto"/>
                <w:vertAlign w:val="superscript"/>
              </w:rPr>
              <w:t>(17)</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35,170</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Norbert G. Riedel, Ph.D.</w:t>
            </w:r>
            <w:r>
              <w:rPr>
                <w:rFonts w:ascii="Arial" w:cs="Arial" w:eastAsia="Arial" w:hAnsi="Arial"/>
                <w:sz w:val="18"/>
                <w:szCs w:val="18"/>
                <w:color w:val="auto"/>
                <w:vertAlign w:val="superscript"/>
              </w:rPr>
              <w:t>(18)</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36,374</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B8"/>
            </w:tcBorders>
          </w:tcPr>
          <w:p>
            <w:pPr>
              <w:ind w:left="100"/>
              <w:spacing w:after="0"/>
              <w:rPr>
                <w:sz w:val="20"/>
                <w:szCs w:val="20"/>
                <w:color w:val="auto"/>
              </w:rPr>
            </w:pPr>
            <w:r>
              <w:rPr>
                <w:rFonts w:ascii="Arial" w:cs="Arial" w:eastAsia="Arial" w:hAnsi="Arial"/>
                <w:sz w:val="14"/>
                <w:szCs w:val="14"/>
                <w:color w:val="auto"/>
              </w:rPr>
              <w:t>Mark D. Smith, M.D.</w:t>
            </w:r>
            <w:r>
              <w:rPr>
                <w:rFonts w:ascii="Arial" w:cs="Arial" w:eastAsia="Arial" w:hAnsi="Arial"/>
                <w:sz w:val="18"/>
                <w:szCs w:val="18"/>
                <w:color w:val="auto"/>
                <w:vertAlign w:val="superscript"/>
              </w:rPr>
              <w:t>(19)</w:t>
            </w:r>
          </w:p>
        </w:tc>
        <w:tc>
          <w:tcPr>
            <w:tcW w:w="2960" w:type="dxa"/>
            <w:vAlign w:val="bottom"/>
            <w:tcBorders>
              <w:bottom w:val="single" w:sz="8" w:color="5673B8"/>
            </w:tcBorders>
          </w:tcPr>
          <w:p>
            <w:pPr>
              <w:jc w:val="right"/>
              <w:ind w:right="728"/>
              <w:spacing w:after="0"/>
              <w:rPr>
                <w:sz w:val="20"/>
                <w:szCs w:val="20"/>
                <w:color w:val="auto"/>
              </w:rPr>
            </w:pPr>
            <w:r>
              <w:rPr>
                <w:rFonts w:ascii="Arial" w:cs="Arial" w:eastAsia="Arial" w:hAnsi="Arial"/>
                <w:sz w:val="14"/>
                <w:szCs w:val="14"/>
                <w:color w:val="auto"/>
              </w:rPr>
              <w:t>17,312</w:t>
            </w:r>
          </w:p>
        </w:tc>
        <w:tc>
          <w:tcPr>
            <w:tcW w:w="1500" w:type="dxa"/>
            <w:vAlign w:val="bottom"/>
            <w:tcBorders>
              <w:bottom w:val="single" w:sz="8" w:color="5673B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567388"/>
            </w:tcBorders>
          </w:tcPr>
          <w:p>
            <w:pPr>
              <w:ind w:left="100"/>
              <w:spacing w:after="0"/>
              <w:rPr>
                <w:sz w:val="20"/>
                <w:szCs w:val="20"/>
                <w:color w:val="auto"/>
              </w:rPr>
            </w:pPr>
            <w:r>
              <w:rPr>
                <w:rFonts w:ascii="Arial" w:cs="Arial" w:eastAsia="Arial" w:hAnsi="Arial"/>
                <w:sz w:val="14"/>
                <w:szCs w:val="14"/>
                <w:color w:val="auto"/>
              </w:rPr>
              <w:t>Rick E Winningham</w:t>
            </w:r>
            <w:r>
              <w:rPr>
                <w:rFonts w:ascii="Arial" w:cs="Arial" w:eastAsia="Arial" w:hAnsi="Arial"/>
                <w:sz w:val="18"/>
                <w:szCs w:val="18"/>
                <w:color w:val="auto"/>
                <w:vertAlign w:val="superscript"/>
              </w:rPr>
              <w:t>(20)</w:t>
            </w:r>
          </w:p>
        </w:tc>
        <w:tc>
          <w:tcPr>
            <w:tcW w:w="2960" w:type="dxa"/>
            <w:vAlign w:val="bottom"/>
            <w:tcBorders>
              <w:bottom w:val="single" w:sz="8" w:color="567388"/>
            </w:tcBorders>
          </w:tcPr>
          <w:p>
            <w:pPr>
              <w:jc w:val="right"/>
              <w:ind w:right="728"/>
              <w:spacing w:after="0"/>
              <w:rPr>
                <w:sz w:val="20"/>
                <w:szCs w:val="20"/>
                <w:color w:val="auto"/>
              </w:rPr>
            </w:pPr>
            <w:r>
              <w:rPr>
                <w:rFonts w:ascii="Arial" w:cs="Arial" w:eastAsia="Arial" w:hAnsi="Arial"/>
                <w:sz w:val="14"/>
                <w:szCs w:val="14"/>
                <w:color w:val="auto"/>
              </w:rPr>
              <w:t>28,287</w:t>
            </w:r>
          </w:p>
        </w:tc>
        <w:tc>
          <w:tcPr>
            <w:tcW w:w="1500" w:type="dxa"/>
            <w:vAlign w:val="bottom"/>
            <w:tcBorders>
              <w:bottom w:val="single" w:sz="8" w:color="567388"/>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870064"/>
            </w:tcBorders>
          </w:tcPr>
          <w:p>
            <w:pPr>
              <w:ind w:left="100"/>
              <w:spacing w:after="0"/>
              <w:rPr>
                <w:sz w:val="20"/>
                <w:szCs w:val="20"/>
                <w:color w:val="auto"/>
              </w:rPr>
            </w:pPr>
            <w:r>
              <w:rPr>
                <w:rFonts w:ascii="Arial" w:cs="Arial" w:eastAsia="Arial" w:hAnsi="Arial"/>
                <w:sz w:val="14"/>
                <w:szCs w:val="14"/>
                <w:b w:val="1"/>
                <w:bCs w:val="1"/>
                <w:color w:val="001C71"/>
              </w:rPr>
              <w:t>All current directors and executive officers as a group (19 persons)</w:t>
            </w:r>
            <w:r>
              <w:rPr>
                <w:rFonts w:ascii="Arial" w:cs="Arial" w:eastAsia="Arial" w:hAnsi="Arial"/>
                <w:sz w:val="18"/>
                <w:szCs w:val="18"/>
                <w:b w:val="1"/>
                <w:bCs w:val="1"/>
                <w:color w:val="001C71"/>
                <w:vertAlign w:val="superscript"/>
              </w:rPr>
              <w:t>(21)</w:t>
            </w:r>
          </w:p>
        </w:tc>
        <w:tc>
          <w:tcPr>
            <w:tcW w:w="2960" w:type="dxa"/>
            <w:vAlign w:val="bottom"/>
            <w:tcBorders>
              <w:bottom w:val="single" w:sz="8" w:color="870064"/>
            </w:tcBorders>
          </w:tcPr>
          <w:p>
            <w:pPr>
              <w:jc w:val="right"/>
              <w:ind w:right="728"/>
              <w:spacing w:after="0"/>
              <w:rPr>
                <w:sz w:val="20"/>
                <w:szCs w:val="20"/>
                <w:color w:val="auto"/>
              </w:rPr>
            </w:pPr>
            <w:r>
              <w:rPr>
                <w:rFonts w:ascii="Arial" w:cs="Arial" w:eastAsia="Arial" w:hAnsi="Arial"/>
                <w:sz w:val="14"/>
                <w:szCs w:val="14"/>
                <w:b w:val="1"/>
                <w:bCs w:val="1"/>
                <w:color w:val="001C71"/>
              </w:rPr>
              <w:t>2,606,181</w:t>
            </w:r>
          </w:p>
        </w:tc>
        <w:tc>
          <w:tcPr>
            <w:tcW w:w="1500" w:type="dxa"/>
            <w:vAlign w:val="bottom"/>
            <w:tcBorders>
              <w:bottom w:val="single" w:sz="8" w:color="870064"/>
            </w:tcBorders>
          </w:tcPr>
          <w:p>
            <w:pPr>
              <w:jc w:val="right"/>
              <w:ind w:right="88"/>
              <w:spacing w:after="0"/>
              <w:rPr>
                <w:sz w:val="20"/>
                <w:szCs w:val="20"/>
                <w:color w:val="auto"/>
              </w:rPr>
            </w:pPr>
            <w:r>
              <w:rPr>
                <w:rFonts w:ascii="Arial" w:cs="Arial" w:eastAsia="Arial" w:hAnsi="Arial"/>
                <w:sz w:val="14"/>
                <w:szCs w:val="14"/>
                <w:b w:val="1"/>
                <w:bCs w:val="1"/>
                <w:color w:val="001C71"/>
              </w:rPr>
              <w:t>4.1</w:t>
            </w:r>
          </w:p>
        </w:tc>
        <w:tc>
          <w:tcPr>
            <w:tcW w:w="20" w:type="dxa"/>
            <w:vAlign w:val="bottom"/>
          </w:tcPr>
          <w:p>
            <w:pPr>
              <w:spacing w:after="0"/>
              <w:rPr>
                <w:sz w:val="19"/>
                <w:szCs w:val="19"/>
                <w:color w:val="auto"/>
              </w:rPr>
            </w:pPr>
          </w:p>
        </w:tc>
      </w:tr>
    </w:tbl>
    <w:p>
      <w:pPr>
        <w:spacing w:after="0" w:line="126"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Less than 1%.</w:t>
      </w:r>
    </w:p>
    <w:p>
      <w:pPr>
        <w:spacing w:after="0" w:line="96" w:lineRule="exact"/>
        <w:rPr>
          <w:sz w:val="20"/>
          <w:szCs w:val="20"/>
          <w:color w:val="auto"/>
        </w:rPr>
      </w:pPr>
    </w:p>
    <w:p>
      <w:pPr>
        <w:ind w:left="340" w:right="280" w:hanging="332"/>
        <w:spacing w:after="0" w:line="305" w:lineRule="auto"/>
        <w:tabs>
          <w:tab w:leader="none" w:pos="327" w:val="left"/>
        </w:tabs>
        <w:numPr>
          <w:ilvl w:val="0"/>
          <w:numId w:val="99"/>
        </w:numPr>
        <w:rPr>
          <w:rFonts w:ascii="Arial" w:cs="Arial" w:eastAsia="Arial" w:hAnsi="Arial"/>
          <w:sz w:val="14"/>
          <w:szCs w:val="14"/>
          <w:color w:val="auto"/>
        </w:rPr>
      </w:pPr>
      <w:r>
        <w:rPr>
          <w:rFonts w:ascii="Arial" w:cs="Arial" w:eastAsia="Arial" w:hAnsi="Arial"/>
          <w:sz w:val="14"/>
          <w:szCs w:val="14"/>
          <w:color w:val="auto"/>
        </w:rPr>
        <w:t>Unless otherwise provided in the table above or in the notes below, the address for each of the beneficial owners listed is c/o Fifth Floor, Waterloo Exchange, Waterloo Road, Dublin 4, Ireland.</w:t>
      </w:r>
    </w:p>
    <w:p>
      <w:pPr>
        <w:spacing w:after="0" w:line="22" w:lineRule="exact"/>
        <w:rPr>
          <w:rFonts w:ascii="Arial" w:cs="Arial" w:eastAsia="Arial" w:hAnsi="Arial"/>
          <w:sz w:val="14"/>
          <w:szCs w:val="14"/>
          <w:color w:val="auto"/>
        </w:rPr>
      </w:pPr>
    </w:p>
    <w:p>
      <w:pPr>
        <w:ind w:left="340" w:right="100" w:hanging="332"/>
        <w:spacing w:after="0" w:line="273" w:lineRule="auto"/>
        <w:tabs>
          <w:tab w:leader="none" w:pos="327"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This table is based upon information supplied by officers and directors as well as Schedules 13G or 13G/A filed with the SEC by beneficial owners of more than five percent of our ordinary shares. Unless otherwise indicated in the footnotes to this table and subject to community property laws where applicable, we believe that each of the shareholders named in this table has sole voting and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120015</wp:posOffset>
            </wp:positionV>
            <wp:extent cx="1242695" cy="20574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1"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104</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2" w:name="page113"/>
    <w:bookmarkEnd w:id="112"/>
    <w:p>
      <w:pPr>
        <w:jc w:val="right"/>
        <w:ind w:righ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4828540</wp:posOffset>
            </wp:positionH>
            <wp:positionV relativeFrom="page">
              <wp:posOffset>208915</wp:posOffset>
            </wp:positionV>
            <wp:extent cx="2511425" cy="43751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511425" cy="437515"/>
                    </a:xfrm>
                    <a:prstGeom prst="rect">
                      <a:avLst/>
                    </a:prstGeom>
                    <a:noFill/>
                  </pic:spPr>
                </pic:pic>
              </a:graphicData>
            </a:graphic>
          </wp:anchor>
        </w:drawing>
        <w:t>SECURITY OWNERSHIP OF CERTAIN BENEFICIAL</w:t>
      </w:r>
    </w:p>
    <w:p>
      <w:pPr>
        <w:spacing w:after="0" w:line="42"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FFFFFF"/>
        </w:rPr>
        <w:t>OWNERS AND MANAGEMENT</w:t>
      </w:r>
    </w:p>
    <w:p>
      <w:pPr>
        <w:spacing w:after="0" w:line="200" w:lineRule="exact"/>
        <w:rPr>
          <w:sz w:val="20"/>
          <w:szCs w:val="20"/>
          <w:color w:val="auto"/>
        </w:rPr>
      </w:pPr>
    </w:p>
    <w:p>
      <w:pPr>
        <w:spacing w:after="0" w:line="233" w:lineRule="exact"/>
        <w:rPr>
          <w:sz w:val="20"/>
          <w:szCs w:val="20"/>
          <w:color w:val="auto"/>
        </w:rPr>
      </w:pPr>
    </w:p>
    <w:p>
      <w:pPr>
        <w:ind w:left="340" w:right="40"/>
        <w:spacing w:after="0" w:line="267" w:lineRule="auto"/>
        <w:rPr>
          <w:sz w:val="20"/>
          <w:szCs w:val="20"/>
          <w:color w:val="auto"/>
        </w:rPr>
      </w:pPr>
      <w:r>
        <w:rPr>
          <w:rFonts w:ascii="Arial" w:cs="Arial" w:eastAsia="Arial" w:hAnsi="Arial"/>
          <w:sz w:val="14"/>
          <w:szCs w:val="14"/>
          <w:color w:val="auto"/>
        </w:rPr>
        <w:t>power with respect to the ordinary shares indicated as beneficially owned. Applicable percentages are based on 62,809,834 ordinary shares outstanding on May 25, 2026, adjusted as required by rules promulgated by the SEC. The number of shares beneficially owned includes ordinary shares issuable pursuant to the exercise of stock options that are exercisable and RSUs that will vest within 60 days of May 25, 2026. Shares issuable pursuant to the exercise of stock options that are exercisable and RSUs that will vest within 60 days of May 25, 2026 are deemed to be outstanding and beneficially owned by the person to whom such shares are issuable for the purpose of computing the percentage ownership of that person, but they are not treated as outstanding for the purpose of computing the percentage ownership of any other person.</w:t>
      </w:r>
    </w:p>
    <w:p>
      <w:pPr>
        <w:spacing w:after="0" w:line="49" w:lineRule="exact"/>
        <w:rPr>
          <w:sz w:val="20"/>
          <w:szCs w:val="20"/>
          <w:color w:val="auto"/>
        </w:rPr>
      </w:pPr>
    </w:p>
    <w:p>
      <w:pPr>
        <w:ind w:left="340" w:right="20" w:hanging="332"/>
        <w:spacing w:after="0" w:line="267" w:lineRule="auto"/>
        <w:tabs>
          <w:tab w:leader="none" w:pos="327"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This information is based on a Schedule 13G/A filed with the SEC on November 12, 2024 by BlackRock, Inc. According to the Schedule 13G/A, as of September 30, 2024, BlackRock, Inc. has sole power to vote or direct the vote of 5,748,437 ordinary shares and sole power to dispose or direct the disposition of 5,872,123 ordinary shares. The Schedule 13G/A also indicates that BlackRock, Inc. is acting as a parent holding company for a number of entities that beneficially owned the ordinary shares being reported. The Schedule 13G/A provides information only as of September 30, 2024 and, consequently, the beneficial ownership of the above-mentioned entity may have changed between September 30, 2024 and May 25, 2026.</w:t>
      </w:r>
    </w:p>
    <w:p>
      <w:pPr>
        <w:spacing w:after="0" w:line="49" w:lineRule="exact"/>
        <w:rPr>
          <w:rFonts w:ascii="Arial" w:cs="Arial" w:eastAsia="Arial" w:hAnsi="Arial"/>
          <w:sz w:val="14"/>
          <w:szCs w:val="14"/>
          <w:color w:val="auto"/>
        </w:rPr>
      </w:pPr>
    </w:p>
    <w:p>
      <w:pPr>
        <w:ind w:left="340" w:right="40" w:hanging="332"/>
        <w:spacing w:after="0" w:line="305" w:lineRule="auto"/>
        <w:tabs>
          <w:tab w:leader="none" w:pos="327"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41,500 ordinary shares Ms. Gala has the right to acquire pursuant to options exercisable and 11,555 RSUs scheduled to vest, in each case, within 60 days of May 25, 2026.</w:t>
      </w:r>
    </w:p>
    <w:p>
      <w:pPr>
        <w:spacing w:after="0" w:line="22" w:lineRule="exact"/>
        <w:rPr>
          <w:rFonts w:ascii="Arial" w:cs="Arial" w:eastAsia="Arial" w:hAnsi="Arial"/>
          <w:sz w:val="14"/>
          <w:szCs w:val="14"/>
          <w:color w:val="auto"/>
        </w:rPr>
      </w:pPr>
    </w:p>
    <w:p>
      <w:pPr>
        <w:ind w:left="320" w:hanging="312"/>
        <w:spacing w:after="0"/>
        <w:tabs>
          <w:tab w:leader="none" w:pos="3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7,704 RSUs scheduled to vest to Mr. Johnson within 60 days of May 25, 2026.</w:t>
      </w:r>
    </w:p>
    <w:p>
      <w:pPr>
        <w:spacing w:after="0" w:line="82" w:lineRule="exact"/>
        <w:rPr>
          <w:rFonts w:ascii="Arial" w:cs="Arial" w:eastAsia="Arial" w:hAnsi="Arial"/>
          <w:sz w:val="14"/>
          <w:szCs w:val="14"/>
          <w:color w:val="auto"/>
        </w:rPr>
      </w:pPr>
    </w:p>
    <w:p>
      <w:pPr>
        <w:ind w:left="340" w:right="180" w:hanging="332"/>
        <w:spacing w:after="0" w:line="305" w:lineRule="auto"/>
        <w:tabs>
          <w:tab w:leader="none" w:pos="327"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434,000 ordinary shares Mr. Cozadd has the right to acquire pursuant to options exercisable and 2,506 RSUs scheduled to vest, in each case, within 60 days of May 25, 2026.</w:t>
      </w:r>
    </w:p>
    <w:p>
      <w:pPr>
        <w:spacing w:after="0" w:line="22" w:lineRule="exact"/>
        <w:rPr>
          <w:rFonts w:ascii="Arial" w:cs="Arial" w:eastAsia="Arial" w:hAnsi="Arial"/>
          <w:sz w:val="14"/>
          <w:szCs w:val="14"/>
          <w:color w:val="auto"/>
        </w:rPr>
      </w:pPr>
    </w:p>
    <w:p>
      <w:pPr>
        <w:ind w:left="340" w:right="260" w:hanging="332"/>
        <w:spacing w:after="0" w:line="305" w:lineRule="auto"/>
        <w:tabs>
          <w:tab w:leader="none" w:pos="327"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57,500 ordinary shares Dr. Iannone has the right to acquire pursuant to options exercisable and 8,859 RSUs scheduled to vest, in each case, within 60 days of May 25, 2026.</w:t>
      </w:r>
    </w:p>
    <w:p>
      <w:pPr>
        <w:spacing w:after="0" w:line="22" w:lineRule="exact"/>
        <w:rPr>
          <w:rFonts w:ascii="Arial" w:cs="Arial" w:eastAsia="Arial" w:hAnsi="Arial"/>
          <w:sz w:val="14"/>
          <w:szCs w:val="14"/>
          <w:color w:val="auto"/>
        </w:rPr>
      </w:pPr>
    </w:p>
    <w:p>
      <w:pPr>
        <w:ind w:left="320" w:hanging="312"/>
        <w:spacing w:after="0"/>
        <w:tabs>
          <w:tab w:leader="none" w:pos="3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5,778 RSUs scheduled to vest to Ms. Patil within 60 days of May 25, 2026.</w:t>
      </w:r>
    </w:p>
    <w:p>
      <w:pPr>
        <w:spacing w:after="0" w:line="82" w:lineRule="exact"/>
        <w:rPr>
          <w:rFonts w:ascii="Arial" w:cs="Arial" w:eastAsia="Arial" w:hAnsi="Arial"/>
          <w:sz w:val="14"/>
          <w:szCs w:val="14"/>
          <w:color w:val="auto"/>
        </w:rPr>
      </w:pPr>
    </w:p>
    <w:p>
      <w:pPr>
        <w:ind w:left="340" w:right="40" w:hanging="332"/>
        <w:spacing w:after="0" w:line="305" w:lineRule="auto"/>
        <w:tabs>
          <w:tab w:leader="none" w:pos="327"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6,907 ordinary shares Ms. Pearce has the right to acquire pursuant to options exercisable and 5,778 RSUs scheduled to vest, in each case, within 60 days of May 25, 2026.</w:t>
      </w:r>
    </w:p>
    <w:p>
      <w:pPr>
        <w:spacing w:after="0" w:line="22" w:lineRule="exact"/>
        <w:rPr>
          <w:rFonts w:ascii="Arial" w:cs="Arial" w:eastAsia="Arial" w:hAnsi="Arial"/>
          <w:sz w:val="14"/>
          <w:szCs w:val="14"/>
          <w:color w:val="auto"/>
        </w:rPr>
      </w:pPr>
    </w:p>
    <w:p>
      <w:pPr>
        <w:ind w:left="340" w:right="160" w:hanging="332"/>
        <w:spacing w:after="0" w:line="305" w:lineRule="auto"/>
        <w:tabs>
          <w:tab w:leader="none" w:pos="339"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6,475 ordinary shares Ms. Cook has the right to acquire pursuant to options exercisable and 3,507 RSUs scheduled to vest, in each case, within 60 days of May 25, 2026.</w:t>
      </w:r>
    </w:p>
    <w:p>
      <w:pPr>
        <w:spacing w:after="0" w:line="22" w:lineRule="exact"/>
        <w:rPr>
          <w:rFonts w:ascii="Arial" w:cs="Arial" w:eastAsia="Arial" w:hAnsi="Arial"/>
          <w:sz w:val="14"/>
          <w:szCs w:val="14"/>
          <w:color w:val="auto"/>
        </w:rPr>
      </w:pPr>
    </w:p>
    <w:p>
      <w:pPr>
        <w:ind w:left="340" w:right="300" w:hanging="332"/>
        <w:spacing w:after="0" w:line="285" w:lineRule="auto"/>
        <w:tabs>
          <w:tab w:leader="none" w:pos="329"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15,305 ordinary shares Mr. Enright has the right to acquire pursuant to options exercisable and 3,507 RSUs scheduled to vest, in each case, within 60 days of May 25, 2026.</w:t>
      </w:r>
    </w:p>
    <w:p>
      <w:pPr>
        <w:spacing w:after="0" w:line="36" w:lineRule="exact"/>
        <w:rPr>
          <w:rFonts w:ascii="Arial" w:cs="Arial" w:eastAsia="Arial" w:hAnsi="Arial"/>
          <w:sz w:val="14"/>
          <w:szCs w:val="14"/>
          <w:color w:val="auto"/>
        </w:rPr>
      </w:pPr>
    </w:p>
    <w:p>
      <w:pPr>
        <w:ind w:left="340" w:hanging="332"/>
        <w:spacing w:after="0"/>
        <w:tabs>
          <w:tab w:leader="none" w:pos="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3,507 RSUs scheduled to vest to Ms. Hamill within 60 days days of May 25, 2026.</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3,507 RSUs scheduled to vest to Mr. Kennedy within 60 days days of May 25, 2026.</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Comprises 1,527 RSUs scheduled to vest to Dr. Love within 60 days days of May 25, 2026.</w:t>
      </w:r>
    </w:p>
    <w:p>
      <w:pPr>
        <w:spacing w:after="0" w:line="95" w:lineRule="exact"/>
        <w:rPr>
          <w:rFonts w:ascii="Arial" w:cs="Arial" w:eastAsia="Arial" w:hAnsi="Arial"/>
          <w:sz w:val="14"/>
          <w:szCs w:val="14"/>
          <w:color w:val="auto"/>
        </w:rPr>
      </w:pPr>
    </w:p>
    <w:p>
      <w:pPr>
        <w:ind w:left="340" w:right="100" w:hanging="332"/>
        <w:spacing w:after="0" w:line="285" w:lineRule="auto"/>
        <w:tabs>
          <w:tab w:leader="none" w:pos="339"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18,720 ordinary shares Ms. McSharry has the right to acquire pursuant to options exercisable and 3,507 RSUs scheduled to vest, in each case, within 60 days of May 25, 2026.</w:t>
      </w:r>
    </w:p>
    <w:p>
      <w:pPr>
        <w:spacing w:after="0" w:line="36" w:lineRule="exact"/>
        <w:rPr>
          <w:rFonts w:ascii="Arial" w:cs="Arial" w:eastAsia="Arial" w:hAnsi="Arial"/>
          <w:sz w:val="14"/>
          <w:szCs w:val="14"/>
          <w:color w:val="auto"/>
        </w:rPr>
      </w:pPr>
    </w:p>
    <w:p>
      <w:pPr>
        <w:ind w:left="340" w:right="80" w:hanging="332"/>
        <w:spacing w:after="0" w:line="305" w:lineRule="auto"/>
        <w:tabs>
          <w:tab w:leader="none" w:pos="339"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101,621 ordinary shares held by Nerano Pharma Limited, which Mr. Mulligan beneficially owns. Also includes 22,135 ordinary shares Mr. Mulligan has the right to acquire pursuant to options exercisable and 3,507 RSUs scheduled to vest, in each case, within 60 days of May 25, 2026.</w:t>
      </w:r>
    </w:p>
    <w:p>
      <w:pPr>
        <w:spacing w:after="0" w:line="22" w:lineRule="exact"/>
        <w:rPr>
          <w:rFonts w:ascii="Arial" w:cs="Arial" w:eastAsia="Arial" w:hAnsi="Arial"/>
          <w:sz w:val="14"/>
          <w:szCs w:val="14"/>
          <w:color w:val="auto"/>
        </w:rPr>
      </w:pPr>
    </w:p>
    <w:p>
      <w:pPr>
        <w:ind w:left="340" w:right="80" w:hanging="332"/>
        <w:spacing w:after="0" w:line="305" w:lineRule="auto"/>
        <w:tabs>
          <w:tab w:leader="none" w:pos="339"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18,670 ordinary shares Ms. O’Riordan has the right to acquire pursuant to options exercisable and 3,507 RSUs scheduled to vest, in each case, within 60 days of May 25, 2026.</w:t>
      </w:r>
    </w:p>
    <w:p>
      <w:pPr>
        <w:spacing w:after="0" w:line="9" w:lineRule="exact"/>
        <w:rPr>
          <w:rFonts w:ascii="Arial" w:cs="Arial" w:eastAsia="Arial" w:hAnsi="Arial"/>
          <w:sz w:val="14"/>
          <w:szCs w:val="14"/>
          <w:color w:val="auto"/>
        </w:rPr>
      </w:pPr>
    </w:p>
    <w:p>
      <w:pPr>
        <w:ind w:left="340" w:right="40" w:hanging="332"/>
        <w:spacing w:after="0" w:line="305" w:lineRule="auto"/>
        <w:tabs>
          <w:tab w:leader="none" w:pos="339"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18,720 ordinary shares Dr. Riedel has the right to acquire pursuant to options exercisable and 3,507 RSUs scheduled to vest, in each case, within 60 days of May 25, 2026.</w:t>
      </w:r>
    </w:p>
    <w:p>
      <w:pPr>
        <w:spacing w:after="0" w:line="22" w:lineRule="exact"/>
        <w:rPr>
          <w:rFonts w:ascii="Arial" w:cs="Arial" w:eastAsia="Arial" w:hAnsi="Arial"/>
          <w:sz w:val="14"/>
          <w:szCs w:val="14"/>
          <w:color w:val="auto"/>
        </w:rPr>
      </w:pPr>
    </w:p>
    <w:p>
      <w:pPr>
        <w:ind w:left="340" w:right="160" w:hanging="332"/>
        <w:spacing w:after="0" w:line="305" w:lineRule="auto"/>
        <w:tabs>
          <w:tab w:leader="none" w:pos="339"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6,475 ordinary shares Dr. Smith has the right to acquire pursuant to options exercisable and 3,507 RSUs scheduled to vest, in each case, within 60 days of May 25, 2026.</w:t>
      </w:r>
    </w:p>
    <w:p>
      <w:pPr>
        <w:spacing w:after="0" w:line="9" w:lineRule="exact"/>
        <w:rPr>
          <w:rFonts w:ascii="Arial" w:cs="Arial" w:eastAsia="Arial" w:hAnsi="Arial"/>
          <w:sz w:val="14"/>
          <w:szCs w:val="14"/>
          <w:color w:val="auto"/>
        </w:rPr>
      </w:pPr>
    </w:p>
    <w:p>
      <w:pPr>
        <w:ind w:left="340" w:right="120" w:hanging="332"/>
        <w:spacing w:after="0" w:line="305" w:lineRule="auto"/>
        <w:tabs>
          <w:tab w:leader="none" w:pos="339"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18,720 ordinary shares Mr. Winningham has the right to acquire pursuant to options exercisable and 3,507 RSUs scheduled to vest, in each case, within 60 days of May 25, 2026.</w:t>
      </w:r>
    </w:p>
    <w:p>
      <w:pPr>
        <w:spacing w:after="0" w:line="22" w:lineRule="exact"/>
        <w:rPr>
          <w:rFonts w:ascii="Arial" w:cs="Arial" w:eastAsia="Arial" w:hAnsi="Arial"/>
          <w:sz w:val="14"/>
          <w:szCs w:val="14"/>
          <w:color w:val="auto"/>
        </w:rPr>
      </w:pPr>
    </w:p>
    <w:p>
      <w:pPr>
        <w:ind w:left="340" w:right="500" w:hanging="332"/>
        <w:spacing w:after="0" w:line="305" w:lineRule="auto"/>
        <w:tabs>
          <w:tab w:leader="none" w:pos="339"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669,377 ordinary shares that our executive officers and non-employee directors have the right to acquire pursuant to options exercisable and 82,629 RSUs scheduled to vest for certain of our executive officers and directors, in each case, within 60 days of May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106045</wp:posOffset>
            </wp:positionV>
            <wp:extent cx="1242695" cy="20574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76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852166"/>
              </w:rPr>
              <w:t>105</w:t>
            </w:r>
          </w:p>
        </w:tc>
      </w:tr>
      <w:tr>
        <w:trPr>
          <w:trHeight w:val="495"/>
        </w:trPr>
        <w:tc>
          <w:tcPr>
            <w:tcW w:w="10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1088390" cy="342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54"/>
          <w:szCs w:val="54"/>
          <w:b w:val="1"/>
          <w:bCs w:val="1"/>
          <w:color w:val="001C71"/>
        </w:rPr>
        <w:t>Additional Information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color w:val="852166"/>
        </w:rPr>
        <w:t>Special Note Regarding Forward-Looking Statements</w:t>
      </w:r>
    </w:p>
    <w:p>
      <w:pPr>
        <w:spacing w:after="0" w:line="18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Our proxy statement contains forward-looking statements, including, but not limited to, statements related to our growth prospects and future financial and operating performance; our strategy for growth through executing commercial launches and ongoing commercialization initiatives, advancing robust research and development programs and delivering impactful clinical results, effectively deploying capital to strengthen the prospects of achieving our short- and long-term goals through strategic corporate development and delivering strong financial performance, including statements related to the potential ways in which we intend to advance our business, grow and diversify our portfolio and revenues, and increase shareholder value; the goals of our CSSI strategy, efforts and initiatives; our anticipated needs with respect to the allotment and issuance of our share capital and our ability to execute on our growth strategy; any potential future strategic opportunities, including potential acquisitions or other business development transactions; the anticipated benefits to us of our corporate development transactions and R&amp;D efforts; the goals of I-CARE, our compliance and ethics program; the goals of our executive compensation programs; and other statements that are not historical facts. These forward-looking statements are based on our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maintaining or increasing sales of, and revenue from, Xywav, Epidiolex/Epidyolex, Ziihera, Modeyso, Zepzelca and other lead marketed products; effectively launching and commercializing our other products and product candidates; the successful completion of development and regulatory activities with respect to our product candidates; obtaining and maintaining adequate coverage and reimbursement for our products; the time-consuming and uncertain regulatory approval process, including the risk that our current and/or planned regulatory submissions may not be submitted, accepted or approved by applicable regulatory authorities in a timely manner or at all; the costly and time-consuming pharmaceutical product development and the uncertainty of clinical success, including risks related to failure or delays in successfully initiating or completing clinical trials and assessing patients; global economic, financial, and healthcare system disruptions and the current and potential future negative impacts to our business operations and financial results; protecting and enhancing our intellectual property rights and our commercial success being dependent upon obtaining, maintaining and defending intellectual property protection for our products and product candidates; delays or problems in the supply or manufacture of our products and product candidates, including due to geopolitical tensions and military conflicts; complying with applicable U.S. and non-U.S. regulatory requirements, including those governing the research, development, manufacturing and distribution of controlled substances; government investigations, legal proceedings and other actions; identifying and consummating corporate development transactions, financing these transactions and successfully integrating acquired product candidates, products and businesses; our ability to realize the anticipated benefits of our business development transactions and collaborations and license agreements with third parties; the sufficiency of our cash flows and capital resources; the aspirational nature of our CSSI strategies, efforts and initiatives, which are not guarantees or promises that such goals, initiatives and objectives will be met; our ability to meet our projected long-term goals and objectives, in the time periods that we anticipate, or at all, and the inherent uncertainty and significant judgments and assumptions underlying our long-term goals and objectives; our ability to identify, compete with others for, and successfully complete any potential future business development transactions; and other risks and uncertainties affecting us, including those described from time to time under the caption “Risk Factors” and elsewhere in our SEC filings and reports, including Jazz Pharmaceuticals plc’s Annual Report on Form 10-K for the year ended December 31, 2025 and subsequent filings and reports by Jazz Pharmaceuticals plc. Other risks and uncertainties of which we are not currently aware may also affect our forward-looking statements and may cause actual results and timing of events to differ materially from those anticipated. The forward-looking statements herein are made only as of the date of our proxy statement or as of the dates indicated in the forward-looking statements, even if they are subsequently made available by us on our Website or otherwise. We undertake no obligation to update or supplement any forward-looking statements to reflect actual results, new information, future events, changes in our expectations or other circumstances that exist after the date as of which the forward-looking statements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184785</wp:posOffset>
            </wp:positionV>
            <wp:extent cx="1242695" cy="20574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03"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106</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ind w:left="91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5660390</wp:posOffset>
            </wp:positionH>
            <wp:positionV relativeFrom="page">
              <wp:posOffset>208915</wp:posOffset>
            </wp:positionV>
            <wp:extent cx="1680210" cy="3003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680210" cy="300355"/>
                    </a:xfrm>
                    <a:prstGeom prst="rect">
                      <a:avLst/>
                    </a:prstGeom>
                    <a:noFill/>
                  </pic:spPr>
                </pic:pic>
              </a:graphicData>
            </a:graphic>
          </wp:anchor>
        </w:drawing>
        <w:t>ADDITIONAL INFORMATION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852166"/>
        </w:rPr>
        <w:t>Householding of Proxy Materials</w:t>
      </w:r>
    </w:p>
    <w:p>
      <w:pPr>
        <w:spacing w:after="0" w:line="19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SEC has adopted rules that permit companies and intermediaries (such as brokers) to satisfy the delivery requirements for Notices and proxy materials with respect to two or more shareholders sharing the same address by delivering a single Notice or a single set of proxy materials, as applicable, addressed to those shareholders. This process, which is commonly referred to as “householding” potentially means extra convenience for shareholders and cost savings for companies.</w:t>
      </w:r>
    </w:p>
    <w:p>
      <w:pPr>
        <w:spacing w:after="0" w:line="12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 number of brokers with account holders who are our shareholders will be “householding” Notices and our proxy materials. A single Notice or a single set of proxy materials, as applicable, may be delivered to multiple shareholders sharing an address unless contrary instructions have been received from the affected shareholders. Once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Notice or set of proxy materials, as applicable, in the future you may: (1) notify your broker, (2) direct your written request to Jazz Pharmaceuticals plc, Attention: Investor Relations, Fifth Floor, Waterloo Exchange, Waterloo Road, Dublin 4, Ireland or (3) contact our Investor Relations department at +353.1.634.3211 (Ireland) or +1.650.496.2717 (U.S.) or by email at investorinfo@jazzpharmaceuticals.com. Shareholders who currently receive multiple copies of Notices or proxy materials at their address and would like to request “householding” of their communications should contact their broker. In addition, we will promptly deliver, upon written or oral request to the address or telephone number above, a separate copy of a Notice or set of proxy materials to a shareholder at a shared address to which a single Notice or set of proxy materials, as applicable, was delivered.</w:t>
      </w:r>
    </w:p>
    <w:p>
      <w:pPr>
        <w:spacing w:after="0" w:line="166" w:lineRule="exact"/>
        <w:rPr>
          <w:sz w:val="20"/>
          <w:szCs w:val="20"/>
          <w:color w:val="auto"/>
        </w:rPr>
      </w:pPr>
    </w:p>
    <w:p>
      <w:pPr>
        <w:spacing w:after="0"/>
        <w:rPr>
          <w:sz w:val="20"/>
          <w:szCs w:val="20"/>
          <w:color w:val="auto"/>
        </w:rPr>
      </w:pPr>
      <w:r>
        <w:rPr>
          <w:rFonts w:ascii="Arial" w:cs="Arial" w:eastAsia="Arial" w:hAnsi="Arial"/>
          <w:sz w:val="29"/>
          <w:szCs w:val="29"/>
          <w:color w:val="852166"/>
        </w:rPr>
        <w:t>Delinquent Section 16(a) Reports</w:t>
      </w:r>
    </w:p>
    <w:p>
      <w:pPr>
        <w:spacing w:after="0" w:line="19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Section 16(a) of the Exchange Act requires our directors, executive officers and persons who beneficially own more than 10% of the outstanding shares of our ordinary shares to file reports of their stock ownership and changes in their ownership of our ordinary shares with the SEC. Based solely on a review of the reports filed for fiscal year 2025 and related written representations, we believe that all Section 16(a) reports were filed on a timely basis, except for a late filing due to an inadvertent administrative error of one Form 4 to report 5,000 shares transferred in August 2025 by Patrick Enright.</w:t>
      </w:r>
    </w:p>
    <w:p>
      <w:pPr>
        <w:spacing w:after="0" w:line="162" w:lineRule="exact"/>
        <w:rPr>
          <w:sz w:val="20"/>
          <w:szCs w:val="20"/>
          <w:color w:val="auto"/>
        </w:rPr>
      </w:pPr>
    </w:p>
    <w:p>
      <w:pPr>
        <w:spacing w:after="0"/>
        <w:rPr>
          <w:sz w:val="20"/>
          <w:szCs w:val="20"/>
          <w:color w:val="auto"/>
        </w:rPr>
      </w:pPr>
      <w:r>
        <w:rPr>
          <w:rFonts w:ascii="Arial" w:cs="Arial" w:eastAsia="Arial" w:hAnsi="Arial"/>
          <w:sz w:val="29"/>
          <w:szCs w:val="29"/>
          <w:color w:val="852166"/>
        </w:rPr>
        <w:t>General</w:t>
      </w:r>
    </w:p>
    <w:p>
      <w:pPr>
        <w:spacing w:after="0" w:line="19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Your proxy is solicited on behalf of our Board. Unless otherwise directed at our 2026 AGM (or any adjournment thereof), proxies will be voted “FOR” all of the nominees listed in Proposal 1 and “FOR” Proposals 2, 3, 4, 5 and 6. If any matter other than those described in our proxy statement is properly tabled to our 2026 AGM (or any adjournment thereof), it is the intention of the persons named in the accompanying proxy to vote on such matters in accordance with their best judgment.</w:t>
      </w:r>
    </w:p>
    <w:p>
      <w:pPr>
        <w:spacing w:after="0" w:line="121"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By order of our Board,</w:t>
      </w:r>
    </w:p>
    <w:p>
      <w:pPr>
        <w:spacing w:after="0" w:line="194"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 Aislinn Doody</w:t>
      </w:r>
    </w:p>
    <w:p>
      <w:pPr>
        <w:spacing w:after="0" w:line="194" w:lineRule="exact"/>
        <w:rPr>
          <w:sz w:val="20"/>
          <w:szCs w:val="20"/>
          <w:color w:val="auto"/>
        </w:rPr>
      </w:pPr>
    </w:p>
    <w:p>
      <w:pPr>
        <w:ind w:left="6320"/>
        <w:spacing w:after="0"/>
        <w:rPr>
          <w:sz w:val="20"/>
          <w:szCs w:val="20"/>
          <w:color w:val="auto"/>
        </w:rPr>
      </w:pPr>
      <w:r>
        <w:rPr>
          <w:rFonts w:ascii="Arial" w:cs="Arial" w:eastAsia="Arial" w:hAnsi="Arial"/>
          <w:sz w:val="16"/>
          <w:szCs w:val="16"/>
          <w:b w:val="1"/>
          <w:bCs w:val="1"/>
          <w:color w:val="001C71"/>
        </w:rPr>
        <w:t>Aislinn Doody,</w:t>
      </w:r>
    </w:p>
    <w:p>
      <w:pPr>
        <w:spacing w:after="0" w:line="194"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Company Secretary</w:t>
      </w:r>
    </w:p>
    <w:p>
      <w:pPr>
        <w:spacing w:after="0" w:line="194"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Dublin, Ireland</w:t>
      </w:r>
    </w:p>
    <w:p>
      <w:pPr>
        <w:spacing w:after="0" w:line="32"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269240</wp:posOffset>
            </wp:positionV>
            <wp:extent cx="1242695" cy="20574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76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852166"/>
              </w:rPr>
              <w:t>107</w:t>
            </w:r>
          </w:p>
        </w:tc>
      </w:tr>
      <w:tr>
        <w:trPr>
          <w:trHeight w:val="495"/>
        </w:trPr>
        <w:tc>
          <w:tcPr>
            <w:tcW w:w="10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1088390" cy="342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42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54"/>
          <w:szCs w:val="54"/>
          <w:b w:val="1"/>
          <w:bCs w:val="1"/>
          <w:color w:val="001C71"/>
        </w:rPr>
        <w:t>Questions and Answers</w:t>
      </w:r>
    </w:p>
    <w:p>
      <w:pPr>
        <w:spacing w:after="0" w:line="200" w:lineRule="exact"/>
        <w:rPr>
          <w:sz w:val="20"/>
          <w:szCs w:val="20"/>
          <w:color w:val="auto"/>
        </w:rPr>
      </w:pPr>
    </w:p>
    <w:p>
      <w:pPr>
        <w:spacing w:after="0" w:line="322" w:lineRule="exact"/>
        <w:rPr>
          <w:sz w:val="20"/>
          <w:szCs w:val="20"/>
          <w:color w:val="auto"/>
        </w:rPr>
      </w:pPr>
    </w:p>
    <w:p>
      <w:pPr>
        <w:ind w:left="780" w:hanging="527"/>
        <w:spacing w:after="0"/>
        <w:tabs>
          <w:tab w:leader="none" w:pos="780" w:val="left"/>
        </w:tabs>
        <w:numPr>
          <w:ilvl w:val="0"/>
          <w:numId w:val="101"/>
        </w:numPr>
        <w:rPr>
          <w:rFonts w:ascii="Arial" w:cs="Arial" w:eastAsia="Arial" w:hAnsi="Arial"/>
          <w:sz w:val="25"/>
          <w:szCs w:val="25"/>
          <w:color w:val="852166"/>
        </w:rPr>
      </w:pPr>
      <w:r>
        <w:rPr>
          <w:rFonts w:ascii="Arial" w:cs="Arial" w:eastAsia="Arial" w:hAnsi="Arial"/>
          <w:sz w:val="25"/>
          <w:szCs w:val="25"/>
          <w:color w:val="852166"/>
        </w:rPr>
        <w:t>Why did I receive these materials?</w:t>
      </w:r>
    </w:p>
    <w:p>
      <w:pPr>
        <w:spacing w:after="0" w:line="126"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380" w:type="dxa"/>
            <w:vAlign w:val="bottom"/>
            <w:vMerge w:val="restart"/>
          </w:tcPr>
          <w:p>
            <w:pPr>
              <w:spacing w:after="0"/>
              <w:rPr>
                <w:sz w:val="20"/>
                <w:szCs w:val="20"/>
                <w:color w:val="auto"/>
              </w:rPr>
            </w:pPr>
            <w:r>
              <w:rPr>
                <w:rFonts w:ascii="Arial" w:cs="Arial" w:eastAsia="Arial" w:hAnsi="Arial"/>
                <w:sz w:val="25"/>
                <w:szCs w:val="25"/>
                <w:color w:val="636466"/>
              </w:rPr>
              <w:t>A:</w:t>
            </w:r>
          </w:p>
        </w:tc>
        <w:tc>
          <w:tcPr>
            <w:tcW w:w="10240" w:type="dxa"/>
            <w:vAlign w:val="bottom"/>
          </w:tcPr>
          <w:p>
            <w:pPr>
              <w:ind w:left="140"/>
              <w:spacing w:after="0"/>
              <w:rPr>
                <w:sz w:val="20"/>
                <w:szCs w:val="20"/>
                <w:color w:val="auto"/>
              </w:rPr>
            </w:pPr>
            <w:r>
              <w:rPr>
                <w:rFonts w:ascii="Arial" w:cs="Arial" w:eastAsia="Arial" w:hAnsi="Arial"/>
                <w:sz w:val="16"/>
                <w:szCs w:val="16"/>
                <w:color w:val="auto"/>
              </w:rPr>
              <w:t>Our Board is soliciting your proxy to vote at our 2026 AGM. Our proxy statement contains important information regarding our 2026 AGM, the</w:t>
            </w:r>
          </w:p>
        </w:tc>
        <w:tc>
          <w:tcPr>
            <w:tcW w:w="0" w:type="dxa"/>
            <w:vAlign w:val="bottom"/>
          </w:tcPr>
          <w:p>
            <w:pPr>
              <w:spacing w:after="0"/>
              <w:rPr>
                <w:sz w:val="1"/>
                <w:szCs w:val="1"/>
                <w:color w:val="auto"/>
              </w:rPr>
            </w:pPr>
          </w:p>
        </w:tc>
      </w:tr>
      <w:tr>
        <w:trPr>
          <w:trHeight w:val="123"/>
        </w:trPr>
        <w:tc>
          <w:tcPr>
            <w:tcW w:w="380" w:type="dxa"/>
            <w:vAlign w:val="bottom"/>
            <w:vMerge w:val="continue"/>
          </w:tcPr>
          <w:p>
            <w:pPr>
              <w:spacing w:after="0"/>
              <w:rPr>
                <w:sz w:val="10"/>
                <w:szCs w:val="10"/>
                <w:color w:val="auto"/>
              </w:rPr>
            </w:pPr>
          </w:p>
        </w:tc>
        <w:tc>
          <w:tcPr>
            <w:tcW w:w="10240" w:type="dxa"/>
            <w:vAlign w:val="bottom"/>
            <w:vMerge w:val="restart"/>
          </w:tcPr>
          <w:p>
            <w:pPr>
              <w:ind w:left="140"/>
              <w:spacing w:after="0"/>
              <w:rPr>
                <w:sz w:val="20"/>
                <w:szCs w:val="20"/>
                <w:color w:val="auto"/>
              </w:rPr>
            </w:pPr>
            <w:r>
              <w:rPr>
                <w:rFonts w:ascii="Arial" w:cs="Arial" w:eastAsia="Arial" w:hAnsi="Arial"/>
                <w:sz w:val="16"/>
                <w:szCs w:val="16"/>
                <w:color w:val="auto"/>
              </w:rPr>
              <w:t>proposals on which you are being asked to vote, information you may find useful in determining how to vote and voting procedures.</w:t>
            </w:r>
          </w:p>
        </w:tc>
        <w:tc>
          <w:tcPr>
            <w:tcW w:w="0" w:type="dxa"/>
            <w:vAlign w:val="bottom"/>
          </w:tcPr>
          <w:p>
            <w:pPr>
              <w:spacing w:after="0"/>
              <w:rPr>
                <w:sz w:val="1"/>
                <w:szCs w:val="1"/>
                <w:color w:val="auto"/>
              </w:rPr>
            </w:pPr>
          </w:p>
        </w:tc>
      </w:tr>
      <w:tr>
        <w:trPr>
          <w:trHeight w:val="93"/>
        </w:trPr>
        <w:tc>
          <w:tcPr>
            <w:tcW w:w="380" w:type="dxa"/>
            <w:vAlign w:val="bottom"/>
          </w:tcPr>
          <w:p>
            <w:pPr>
              <w:spacing w:after="0"/>
              <w:rPr>
                <w:sz w:val="8"/>
                <w:szCs w:val="8"/>
                <w:color w:val="auto"/>
              </w:rPr>
            </w:pPr>
          </w:p>
        </w:tc>
        <w:tc>
          <w:tcPr>
            <w:tcW w:w="10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760" w:right="600" w:hanging="520"/>
        <w:spacing w:after="0" w:line="285" w:lineRule="auto"/>
        <w:tabs>
          <w:tab w:leader="none" w:pos="760" w:val="left"/>
        </w:tabs>
        <w:numPr>
          <w:ilvl w:val="0"/>
          <w:numId w:val="102"/>
        </w:numPr>
        <w:rPr>
          <w:rFonts w:ascii="Arial" w:cs="Arial" w:eastAsia="Arial" w:hAnsi="Arial"/>
          <w:sz w:val="25"/>
          <w:szCs w:val="25"/>
          <w:color w:val="852166"/>
        </w:rPr>
      </w:pPr>
      <w:r>
        <w:rPr>
          <w:rFonts w:ascii="Arial" w:cs="Arial" w:eastAsia="Arial" w:hAnsi="Arial"/>
          <w:sz w:val="25"/>
          <w:szCs w:val="25"/>
          <w:color w:val="852166"/>
        </w:rPr>
        <w:t>Why did I receive a notice in the mail regarding the internet availability of proxy materials instead of a full set of proxy materials?</w:t>
      </w:r>
    </w:p>
    <w:p>
      <w:pPr>
        <w:spacing w:after="0" w:line="41" w:lineRule="exact"/>
        <w:rPr>
          <w:sz w:val="20"/>
          <w:szCs w:val="20"/>
          <w:color w:val="auto"/>
        </w:rPr>
      </w:pPr>
    </w:p>
    <w:p>
      <w:pPr>
        <w:ind w:left="760" w:right="180" w:hanging="499"/>
        <w:spacing w:after="0" w:line="248" w:lineRule="auto"/>
        <w:tabs>
          <w:tab w:leader="none" w:pos="740" w:val="left"/>
        </w:tabs>
        <w:rPr>
          <w:sz w:val="20"/>
          <w:szCs w:val="20"/>
          <w:color w:val="auto"/>
        </w:rPr>
      </w:pPr>
      <w:r>
        <w:rPr>
          <w:rFonts w:ascii="Arial" w:cs="Arial" w:eastAsia="Arial" w:hAnsi="Arial"/>
          <w:sz w:val="25"/>
          <w:szCs w:val="25"/>
          <w:color w:val="636466"/>
        </w:rPr>
        <w:t>A:</w:t>
      </w:r>
      <w:r>
        <w:rPr>
          <w:sz w:val="20"/>
          <w:szCs w:val="20"/>
          <w:color w:val="auto"/>
        </w:rPr>
        <w:tab/>
      </w:r>
      <w:r>
        <w:rPr>
          <w:rFonts w:ascii="Arial" w:cs="Arial" w:eastAsia="Arial" w:hAnsi="Arial"/>
          <w:sz w:val="16"/>
          <w:szCs w:val="16"/>
          <w:color w:val="auto"/>
        </w:rPr>
        <w:t>We are pleased to take advantage of SEC rules that allow companies to furnish their proxy materials over the internet. Most of our shareholders will not receive paper copies of our proxy materials (unless requested), and will instead be sent a Notice. All shareholders receiving a Notice will have the ability to access our proxy materials on the website referred to in the Notice and to request a printed set of our proxy materials. Instructions on how to access our proxy materials via the internet or to request a printed set of our proxy materials may be found in the Notice.</w:t>
      </w:r>
    </w:p>
    <w:p>
      <w:pPr>
        <w:spacing w:after="0" w:line="285" w:lineRule="exact"/>
        <w:rPr>
          <w:sz w:val="20"/>
          <w:szCs w:val="20"/>
          <w:color w:val="auto"/>
        </w:rPr>
      </w:pPr>
    </w:p>
    <w:p>
      <w:pPr>
        <w:ind w:left="760" w:right="580" w:hanging="520"/>
        <w:spacing w:after="0" w:line="285" w:lineRule="auto"/>
        <w:tabs>
          <w:tab w:leader="none" w:pos="760" w:val="left"/>
        </w:tabs>
        <w:numPr>
          <w:ilvl w:val="0"/>
          <w:numId w:val="103"/>
        </w:numPr>
        <w:rPr>
          <w:rFonts w:ascii="Arial" w:cs="Arial" w:eastAsia="Arial" w:hAnsi="Arial"/>
          <w:sz w:val="25"/>
          <w:szCs w:val="25"/>
          <w:color w:val="852166"/>
        </w:rPr>
      </w:pPr>
      <w:r>
        <w:rPr>
          <w:rFonts w:ascii="Arial" w:cs="Arial" w:eastAsia="Arial" w:hAnsi="Arial"/>
          <w:sz w:val="25"/>
          <w:szCs w:val="25"/>
          <w:color w:val="852166"/>
        </w:rPr>
        <w:t>Why did I receive a full set of proxy materials in the mail instead of a notice regarding the internet availability of proxy materials?</w:t>
      </w:r>
    </w:p>
    <w:tbl>
      <w:tblPr>
        <w:tblLayout w:type="fixed"/>
        <w:tblInd w:w="240" w:type="dxa"/>
        <w:tblCellMar>
          <w:top w:w="0" w:type="dxa"/>
          <w:left w:w="0" w:type="dxa"/>
          <w:bottom w:w="0" w:type="dxa"/>
          <w:right w:w="0" w:type="dxa"/>
        </w:tblCellMar>
      </w:tblPr>
      <w:tr>
        <w:trPr>
          <w:trHeight w:val="273"/>
        </w:trPr>
        <w:tc>
          <w:tcPr>
            <w:tcW w:w="400" w:type="dxa"/>
            <w:vAlign w:val="bottom"/>
          </w:tcPr>
          <w:p>
            <w:pPr>
              <w:ind w:left="20"/>
              <w:spacing w:after="0" w:line="274" w:lineRule="exact"/>
              <w:rPr>
                <w:sz w:val="20"/>
                <w:szCs w:val="20"/>
                <w:color w:val="auto"/>
              </w:rPr>
            </w:pPr>
            <w:r>
              <w:rPr>
                <w:rFonts w:ascii="Arial" w:cs="Arial" w:eastAsia="Arial" w:hAnsi="Arial"/>
                <w:sz w:val="25"/>
                <w:szCs w:val="25"/>
                <w:color w:val="636466"/>
              </w:rPr>
              <w:t>A:</w:t>
            </w:r>
          </w:p>
        </w:tc>
        <w:tc>
          <w:tcPr>
            <w:tcW w:w="10580" w:type="dxa"/>
            <w:vAlign w:val="bottom"/>
          </w:tcPr>
          <w:p>
            <w:pPr>
              <w:ind w:left="120"/>
              <w:spacing w:after="0"/>
              <w:rPr>
                <w:sz w:val="20"/>
                <w:szCs w:val="20"/>
                <w:color w:val="auto"/>
              </w:rPr>
            </w:pPr>
            <w:r>
              <w:rPr>
                <w:rFonts w:ascii="Arial" w:cs="Arial" w:eastAsia="Arial" w:hAnsi="Arial"/>
                <w:sz w:val="16"/>
                <w:szCs w:val="16"/>
                <w:color w:val="auto"/>
              </w:rPr>
              <w:t>We are providing shareholders who have previously requested a printed set of our proxy materials with paper copies of our proxy materials</w:t>
            </w:r>
          </w:p>
        </w:tc>
      </w:tr>
      <w:tr>
        <w:trPr>
          <w:trHeight w:val="215"/>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instead of a Notice.</w:t>
            </w:r>
          </w:p>
        </w:tc>
      </w:tr>
      <w:tr>
        <w:trPr>
          <w:trHeight w:val="606"/>
        </w:trPr>
        <w:tc>
          <w:tcPr>
            <w:tcW w:w="400" w:type="dxa"/>
            <w:vAlign w:val="bottom"/>
          </w:tcPr>
          <w:p>
            <w:pPr>
              <w:spacing w:after="0"/>
              <w:rPr>
                <w:sz w:val="20"/>
                <w:szCs w:val="20"/>
                <w:color w:val="auto"/>
              </w:rPr>
            </w:pPr>
            <w:r>
              <w:rPr>
                <w:rFonts w:ascii="Arial" w:cs="Arial" w:eastAsia="Arial" w:hAnsi="Arial"/>
                <w:sz w:val="25"/>
                <w:szCs w:val="25"/>
                <w:color w:val="852166"/>
              </w:rPr>
              <w:t>Q:</w:t>
            </w:r>
          </w:p>
        </w:tc>
        <w:tc>
          <w:tcPr>
            <w:tcW w:w="10580" w:type="dxa"/>
            <w:vAlign w:val="bottom"/>
          </w:tcPr>
          <w:p>
            <w:pPr>
              <w:ind w:left="120"/>
              <w:spacing w:after="0"/>
              <w:rPr>
                <w:sz w:val="20"/>
                <w:szCs w:val="20"/>
                <w:color w:val="auto"/>
              </w:rPr>
            </w:pPr>
            <w:r>
              <w:rPr>
                <w:rFonts w:ascii="Arial" w:cs="Arial" w:eastAsia="Arial" w:hAnsi="Arial"/>
                <w:sz w:val="25"/>
                <w:szCs w:val="25"/>
                <w:color w:val="852166"/>
              </w:rPr>
              <w:t>What is the annual report included in the proxy materials?</w:t>
            </w:r>
          </w:p>
        </w:tc>
      </w:tr>
      <w:tr>
        <w:trPr>
          <w:trHeight w:val="313"/>
        </w:trPr>
        <w:tc>
          <w:tcPr>
            <w:tcW w:w="400" w:type="dxa"/>
            <w:vAlign w:val="bottom"/>
          </w:tcPr>
          <w:p>
            <w:pPr>
              <w:ind w:left="20"/>
              <w:spacing w:after="0"/>
              <w:rPr>
                <w:sz w:val="20"/>
                <w:szCs w:val="20"/>
                <w:color w:val="auto"/>
              </w:rPr>
            </w:pPr>
            <w:r>
              <w:rPr>
                <w:rFonts w:ascii="Arial" w:cs="Arial" w:eastAsia="Arial" w:hAnsi="Arial"/>
                <w:sz w:val="25"/>
                <w:szCs w:val="25"/>
                <w:color w:val="636466"/>
              </w:rPr>
              <w:t>A:</w:t>
            </w:r>
          </w:p>
        </w:tc>
        <w:tc>
          <w:tcPr>
            <w:tcW w:w="10580" w:type="dxa"/>
            <w:vAlign w:val="bottom"/>
          </w:tcPr>
          <w:p>
            <w:pPr>
              <w:ind w:left="120"/>
              <w:spacing w:after="0"/>
              <w:rPr>
                <w:sz w:val="20"/>
                <w:szCs w:val="20"/>
                <w:color w:val="auto"/>
              </w:rPr>
            </w:pPr>
            <w:r>
              <w:rPr>
                <w:rFonts w:ascii="Arial" w:cs="Arial" w:eastAsia="Arial" w:hAnsi="Arial"/>
                <w:sz w:val="16"/>
                <w:szCs w:val="16"/>
                <w:color w:val="auto"/>
              </w:rPr>
              <w:t>Under applicable U.S. securities laws, we are required to provide an annual report to security holders along with our proxy statement. We intend</w:t>
            </w:r>
          </w:p>
        </w:tc>
      </w:tr>
      <w:tr>
        <w:trPr>
          <w:trHeight w:val="215"/>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to satisfy this annual report requirement by providing the 2025 Annual Report on Form 10-K together with our proxy statement.</w:t>
            </w:r>
          </w:p>
        </w:tc>
      </w:tr>
      <w:tr>
        <w:trPr>
          <w:trHeight w:val="606"/>
        </w:trPr>
        <w:tc>
          <w:tcPr>
            <w:tcW w:w="400" w:type="dxa"/>
            <w:vAlign w:val="bottom"/>
          </w:tcPr>
          <w:p>
            <w:pPr>
              <w:spacing w:after="0"/>
              <w:rPr>
                <w:sz w:val="20"/>
                <w:szCs w:val="20"/>
                <w:color w:val="auto"/>
              </w:rPr>
            </w:pPr>
            <w:r>
              <w:rPr>
                <w:rFonts w:ascii="Arial" w:cs="Arial" w:eastAsia="Arial" w:hAnsi="Arial"/>
                <w:sz w:val="25"/>
                <w:szCs w:val="25"/>
                <w:color w:val="852166"/>
              </w:rPr>
              <w:t>Q:</w:t>
            </w:r>
          </w:p>
        </w:tc>
        <w:tc>
          <w:tcPr>
            <w:tcW w:w="10580" w:type="dxa"/>
            <w:vAlign w:val="bottom"/>
          </w:tcPr>
          <w:p>
            <w:pPr>
              <w:ind w:left="120"/>
              <w:spacing w:after="0"/>
              <w:rPr>
                <w:sz w:val="20"/>
                <w:szCs w:val="20"/>
                <w:color w:val="auto"/>
              </w:rPr>
            </w:pPr>
            <w:r>
              <w:rPr>
                <w:rFonts w:ascii="Arial" w:cs="Arial" w:eastAsia="Arial" w:hAnsi="Arial"/>
                <w:sz w:val="25"/>
                <w:szCs w:val="25"/>
                <w:color w:val="852166"/>
              </w:rPr>
              <w:t>How do I attend the 2026 AGM?</w:t>
            </w:r>
          </w:p>
        </w:tc>
      </w:tr>
      <w:tr>
        <w:trPr>
          <w:trHeight w:val="313"/>
        </w:trPr>
        <w:tc>
          <w:tcPr>
            <w:tcW w:w="400" w:type="dxa"/>
            <w:vAlign w:val="bottom"/>
          </w:tcPr>
          <w:p>
            <w:pPr>
              <w:ind w:left="20"/>
              <w:spacing w:after="0"/>
              <w:rPr>
                <w:sz w:val="20"/>
                <w:szCs w:val="20"/>
                <w:color w:val="auto"/>
              </w:rPr>
            </w:pPr>
            <w:r>
              <w:rPr>
                <w:rFonts w:ascii="Arial" w:cs="Arial" w:eastAsia="Arial" w:hAnsi="Arial"/>
                <w:sz w:val="25"/>
                <w:szCs w:val="25"/>
                <w:color w:val="636466"/>
              </w:rPr>
              <w:t>A:</w:t>
            </w:r>
          </w:p>
        </w:tc>
        <w:tc>
          <w:tcPr>
            <w:tcW w:w="10580" w:type="dxa"/>
            <w:vAlign w:val="bottom"/>
          </w:tcPr>
          <w:p>
            <w:pPr>
              <w:ind w:left="120"/>
              <w:spacing w:after="0"/>
              <w:rPr>
                <w:sz w:val="20"/>
                <w:szCs w:val="20"/>
                <w:color w:val="auto"/>
              </w:rPr>
            </w:pPr>
            <w:r>
              <w:rPr>
                <w:rFonts w:ascii="Arial" w:cs="Arial" w:eastAsia="Arial" w:hAnsi="Arial"/>
                <w:sz w:val="16"/>
                <w:szCs w:val="16"/>
                <w:color w:val="auto"/>
              </w:rPr>
              <w:t>Our 2026 AGM will be held on Thursday, July 23, 2026, at 9:30 a.m. local time at our corporate headquarters located at Fifth Floor, Waterloo</w:t>
            </w:r>
          </w:p>
        </w:tc>
      </w:tr>
      <w:tr>
        <w:trPr>
          <w:trHeight w:val="200"/>
        </w:trPr>
        <w:tc>
          <w:tcPr>
            <w:tcW w:w="400" w:type="dxa"/>
            <w:vAlign w:val="bottom"/>
          </w:tcPr>
          <w:p>
            <w:pPr>
              <w:spacing w:after="0"/>
              <w:rPr>
                <w:sz w:val="17"/>
                <w:szCs w:val="17"/>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Exchange, Waterloo Road, Dublin 4, Ireland. For directions to attend our 2026 AGM in person, please contact our Investor Relations department</w:t>
            </w:r>
          </w:p>
        </w:tc>
      </w:tr>
      <w:tr>
        <w:trPr>
          <w:trHeight w:val="203"/>
        </w:trPr>
        <w:tc>
          <w:tcPr>
            <w:tcW w:w="400" w:type="dxa"/>
            <w:vAlign w:val="bottom"/>
          </w:tcPr>
          <w:p>
            <w:pPr>
              <w:spacing w:after="0"/>
              <w:rPr>
                <w:sz w:val="17"/>
                <w:szCs w:val="17"/>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at +353.1.634.3211 (Ireland) or +1.650.496.2717 (U.S.) or by email at investorinfo@jazzpharmaceuticals.com. Information on how to vote in</w:t>
            </w:r>
          </w:p>
        </w:tc>
      </w:tr>
      <w:tr>
        <w:trPr>
          <w:trHeight w:val="215"/>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person at our 2026 AGM is discussed below. However, you do not need to attend our 2026 AGM to vote your shares and, as noted in the next</w:t>
            </w:r>
          </w:p>
        </w:tc>
      </w:tr>
      <w:tr>
        <w:trPr>
          <w:trHeight w:val="216"/>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question, we strongly recommend that you vote your shares in advance of the meeting as instructed below.</w:t>
            </w:r>
          </w:p>
        </w:tc>
      </w:tr>
      <w:tr>
        <w:trPr>
          <w:trHeight w:val="635"/>
        </w:trPr>
        <w:tc>
          <w:tcPr>
            <w:tcW w:w="400" w:type="dxa"/>
            <w:vAlign w:val="bottom"/>
          </w:tcPr>
          <w:p>
            <w:pPr>
              <w:spacing w:after="0"/>
              <w:rPr>
                <w:sz w:val="20"/>
                <w:szCs w:val="20"/>
                <w:color w:val="auto"/>
              </w:rPr>
            </w:pPr>
            <w:r>
              <w:rPr>
                <w:rFonts w:ascii="Arial" w:cs="Arial" w:eastAsia="Arial" w:hAnsi="Arial"/>
                <w:sz w:val="25"/>
                <w:szCs w:val="25"/>
                <w:color w:val="852166"/>
              </w:rPr>
              <w:t>Q:</w:t>
            </w:r>
          </w:p>
        </w:tc>
        <w:tc>
          <w:tcPr>
            <w:tcW w:w="10580" w:type="dxa"/>
            <w:vAlign w:val="bottom"/>
          </w:tcPr>
          <w:p>
            <w:pPr>
              <w:ind w:left="120"/>
              <w:spacing w:after="0"/>
              <w:rPr>
                <w:sz w:val="20"/>
                <w:szCs w:val="20"/>
                <w:color w:val="auto"/>
              </w:rPr>
            </w:pPr>
            <w:r>
              <w:rPr>
                <w:rFonts w:ascii="Arial" w:cs="Arial" w:eastAsia="Arial" w:hAnsi="Arial"/>
                <w:sz w:val="25"/>
                <w:szCs w:val="25"/>
                <w:color w:val="852166"/>
              </w:rPr>
              <w:t>Who can vote at the 2026 AGM?</w:t>
            </w:r>
          </w:p>
        </w:tc>
      </w:tr>
      <w:tr>
        <w:trPr>
          <w:trHeight w:val="418"/>
        </w:trPr>
        <w:tc>
          <w:tcPr>
            <w:tcW w:w="400" w:type="dxa"/>
            <w:vAlign w:val="bottom"/>
          </w:tcPr>
          <w:p>
            <w:pPr>
              <w:ind w:left="20"/>
              <w:spacing w:after="0"/>
              <w:rPr>
                <w:sz w:val="20"/>
                <w:szCs w:val="20"/>
                <w:color w:val="auto"/>
              </w:rPr>
            </w:pPr>
            <w:r>
              <w:rPr>
                <w:rFonts w:ascii="Arial" w:cs="Arial" w:eastAsia="Arial" w:hAnsi="Arial"/>
                <w:sz w:val="25"/>
                <w:szCs w:val="25"/>
                <w:color w:val="636466"/>
              </w:rPr>
              <w:t>A:</w:t>
            </w:r>
          </w:p>
        </w:tc>
        <w:tc>
          <w:tcPr>
            <w:tcW w:w="10580" w:type="dxa"/>
            <w:vAlign w:val="bottom"/>
          </w:tcPr>
          <w:p>
            <w:pPr>
              <w:ind w:left="120"/>
              <w:spacing w:after="0"/>
              <w:rPr>
                <w:sz w:val="20"/>
                <w:szCs w:val="20"/>
                <w:color w:val="auto"/>
              </w:rPr>
            </w:pPr>
            <w:r>
              <w:rPr>
                <w:rFonts w:ascii="Arial" w:cs="Arial" w:eastAsia="Arial" w:hAnsi="Arial"/>
                <w:sz w:val="16"/>
                <w:szCs w:val="16"/>
                <w:color w:val="auto"/>
              </w:rPr>
              <w:t>Only shareholders of record at the close of business on May 28, 2026, the record date for our 2026 AGM, will be entitled to vote at our 2026 AGM.</w:t>
            </w:r>
          </w:p>
        </w:tc>
      </w:tr>
      <w:tr>
        <w:trPr>
          <w:trHeight w:val="318"/>
        </w:trPr>
        <w:tc>
          <w:tcPr>
            <w:tcW w:w="400" w:type="dxa"/>
            <w:vAlign w:val="bottom"/>
          </w:tcPr>
          <w:p>
            <w:pPr>
              <w:spacing w:after="0"/>
              <w:rPr>
                <w:sz w:val="24"/>
                <w:szCs w:val="24"/>
                <w:color w:val="auto"/>
              </w:rPr>
            </w:pPr>
          </w:p>
        </w:tc>
        <w:tc>
          <w:tcPr>
            <w:tcW w:w="10580" w:type="dxa"/>
            <w:vAlign w:val="bottom"/>
          </w:tcPr>
          <w:p>
            <w:pPr>
              <w:ind w:left="120"/>
              <w:spacing w:after="0"/>
              <w:rPr>
                <w:sz w:val="20"/>
                <w:szCs w:val="20"/>
                <w:color w:val="auto"/>
              </w:rPr>
            </w:pPr>
            <w:r>
              <w:rPr>
                <w:rFonts w:ascii="Arial" w:cs="Arial" w:eastAsia="Arial" w:hAnsi="Arial"/>
                <w:sz w:val="20"/>
                <w:szCs w:val="20"/>
                <w:b w:val="1"/>
                <w:bCs w:val="1"/>
                <w:color w:val="001C71"/>
              </w:rPr>
              <w:t>Shareholders of Record: Shares Registered in your Name</w:t>
            </w:r>
          </w:p>
        </w:tc>
      </w:tr>
      <w:tr>
        <w:trPr>
          <w:trHeight w:val="288"/>
        </w:trPr>
        <w:tc>
          <w:tcPr>
            <w:tcW w:w="400" w:type="dxa"/>
            <w:vAlign w:val="bottom"/>
          </w:tcPr>
          <w:p>
            <w:pPr>
              <w:spacing w:after="0"/>
              <w:rPr>
                <w:sz w:val="24"/>
                <w:szCs w:val="24"/>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If, at the close of business on May 28, 2026, your shares were registered directly in your name with our transfer agent, Computershare Trust</w:t>
            </w:r>
          </w:p>
        </w:tc>
      </w:tr>
      <w:tr>
        <w:trPr>
          <w:trHeight w:val="216"/>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Company, N.A., then you are a shareholder of record. As a shareholder of record, you may vote in person at our 2026 AGM or vote by proxy.</w:t>
            </w:r>
          </w:p>
        </w:tc>
      </w:tr>
      <w:tr>
        <w:trPr>
          <w:trHeight w:val="216"/>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Whether or not you plan to attend our 2026 AGM, we urge you to vote by proxy over the telephone or via the internet as instructed below, or, for</w:t>
            </w:r>
          </w:p>
        </w:tc>
      </w:tr>
      <w:tr>
        <w:trPr>
          <w:trHeight w:val="216"/>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those shareholders who receive a paper proxy card in the mail, by mailing a completed proxy card.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215265</wp:posOffset>
            </wp:positionV>
            <wp:extent cx="1242695" cy="20574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51"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852166"/>
        </w:rPr>
        <w:t>108</w:t>
      </w:r>
      <w:r>
        <w:rPr>
          <w:sz w:val="20"/>
          <w:szCs w:val="20"/>
          <w:color w:val="auto"/>
        </w:rPr>
        <w:tab/>
      </w:r>
      <w:r>
        <w:rPr>
          <w:rFonts w:ascii="Arial" w:cs="Arial" w:eastAsia="Arial" w:hAnsi="Arial"/>
          <w:sz w:val="14"/>
          <w:szCs w:val="14"/>
          <w:color w:val="636466"/>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191" w:lineRule="auto"/>
        <w:framePr w:w="4440" w:h="147" w:wrap="auto" w:vAnchor="page" w:hAnchor="page" w:x="1040" w:y="4381"/>
        <w:rPr>
          <w:rFonts w:ascii="Arial" w:cs="Arial" w:eastAsia="Arial" w:hAnsi="Arial"/>
          <w:sz w:val="16"/>
          <w:szCs w:val="16"/>
          <w:color w:val="auto"/>
        </w:rPr>
      </w:pPr>
      <w:r>
        <w:rPr>
          <w:rFonts w:ascii="Arial" w:cs="Arial" w:eastAsia="Arial" w:hAnsi="Arial"/>
          <w:sz w:val="16"/>
          <w:szCs w:val="16"/>
          <w:color w:val="auto"/>
        </w:rPr>
        <w:t>There are six matters scheduled for a vote at our 2026 AGM:</w:t>
      </w:r>
    </w:p>
    <w:p>
      <w:pPr>
        <w:ind w:left="91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5617210</wp:posOffset>
            </wp:positionH>
            <wp:positionV relativeFrom="page">
              <wp:posOffset>208915</wp:posOffset>
            </wp:positionV>
            <wp:extent cx="1722755" cy="28257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722755" cy="282575"/>
                    </a:xfrm>
                    <a:prstGeom prst="rect">
                      <a:avLst/>
                    </a:prstGeom>
                    <a:noFill/>
                  </pic:spPr>
                </pic:pic>
              </a:graphicData>
            </a:graphic>
          </wp:anchor>
        </w:drawing>
        <w:t>QUESTIONS AND ANSWERS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2" w:lineRule="exact"/>
        <w:rPr>
          <w:rFonts w:ascii="Arial" w:cs="Arial" w:eastAsia="Arial" w:hAnsi="Arial"/>
          <w:sz w:val="16"/>
          <w:szCs w:val="16"/>
          <w:color w:val="auto"/>
        </w:rPr>
      </w:pPr>
    </w:p>
    <w:p>
      <w:pPr>
        <w:ind w:left="760"/>
        <w:spacing w:after="0"/>
        <w:rPr>
          <w:sz w:val="20"/>
          <w:szCs w:val="20"/>
          <w:color w:val="auto"/>
        </w:rPr>
      </w:pPr>
      <w:r>
        <w:rPr>
          <w:rFonts w:ascii="Arial" w:cs="Arial" w:eastAsia="Arial" w:hAnsi="Arial"/>
          <w:sz w:val="20"/>
          <w:szCs w:val="20"/>
          <w:b w:val="1"/>
          <w:bCs w:val="1"/>
          <w:color w:val="001C71"/>
        </w:rPr>
        <w:t>Beneficial Owners: Shares Registered in the Name of a Broker, Bank or Other Agent</w:t>
      </w:r>
    </w:p>
    <w:p>
      <w:pPr>
        <w:spacing w:after="0" w:line="131" w:lineRule="exact"/>
        <w:rPr>
          <w:rFonts w:ascii="Arial" w:cs="Arial" w:eastAsia="Arial" w:hAnsi="Arial"/>
          <w:sz w:val="16"/>
          <w:szCs w:val="16"/>
          <w:color w:val="auto"/>
        </w:rPr>
      </w:pPr>
    </w:p>
    <w:p>
      <w:pPr>
        <w:ind w:left="760" w:right="40"/>
        <w:spacing w:after="0" w:line="288" w:lineRule="auto"/>
        <w:rPr>
          <w:sz w:val="20"/>
          <w:szCs w:val="20"/>
          <w:color w:val="auto"/>
        </w:rPr>
      </w:pPr>
      <w:r>
        <w:rPr>
          <w:rFonts w:ascii="Arial" w:cs="Arial" w:eastAsia="Arial" w:hAnsi="Arial"/>
          <w:sz w:val="16"/>
          <w:szCs w:val="16"/>
          <w:color w:val="auto"/>
        </w:rPr>
        <w:t>If, at the close of business on May 28, 2026, your shares were held not in your name, but rather in an account at a brokerage firm, bank or other agent, then you are the beneficial owner of shares held in “street name” and a Notice is being sent to you by that broker, bank or other agent. The broker, bank or other agent holding your account is considered to be the shareholder of record for purposes of voting at our 2026 AGM. As a beneficial owner, you have the right to direct your broker, bank or other agent regarding how to vote the shares in your account as set forth in the voting instructions in the Notice from your broker, bank or other agent. You are also invited to attend our 2026 AGM. However, since you are not the shareholder of record, you may not vote your shares in person at our 2026 AGM unless you request and obtain a valid proxy from your broker, bank or other agent.</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240"/>
        <w:spacing w:after="0"/>
        <w:tabs>
          <w:tab w:leader="none" w:pos="740" w:val="left"/>
        </w:tabs>
        <w:rPr>
          <w:sz w:val="20"/>
          <w:szCs w:val="20"/>
          <w:color w:val="auto"/>
        </w:rPr>
      </w:pPr>
      <w:r>
        <w:rPr>
          <w:rFonts w:ascii="Arial" w:cs="Arial" w:eastAsia="Arial" w:hAnsi="Arial"/>
          <w:sz w:val="25"/>
          <w:szCs w:val="25"/>
          <w:color w:val="852166"/>
        </w:rPr>
        <w:t>Q:</w:t>
        <w:tab/>
        <w:t>What am I voting on?</w:t>
      </w:r>
    </w:p>
    <w:p>
      <w:pPr>
        <w:spacing w:after="0" w:line="131" w:lineRule="exact"/>
        <w:rPr>
          <w:rFonts w:ascii="Arial" w:cs="Arial" w:eastAsia="Arial" w:hAnsi="Arial"/>
          <w:sz w:val="16"/>
          <w:szCs w:val="16"/>
          <w:color w:val="auto"/>
        </w:rPr>
      </w:pPr>
    </w:p>
    <w:p>
      <w:pPr>
        <w:ind w:left="260"/>
        <w:spacing w:after="0"/>
        <w:rPr>
          <w:sz w:val="20"/>
          <w:szCs w:val="20"/>
          <w:color w:val="auto"/>
        </w:rPr>
      </w:pPr>
      <w:r>
        <w:rPr>
          <w:rFonts w:ascii="Arial" w:cs="Arial" w:eastAsia="Arial" w:hAnsi="Arial"/>
          <w:sz w:val="25"/>
          <w:szCs w:val="25"/>
          <w:color w:val="636466"/>
        </w:rPr>
        <w:t>A:</w:t>
      </w:r>
    </w:p>
    <w:p>
      <w:pPr>
        <w:spacing w:after="0" w:line="85" w:lineRule="exact"/>
        <w:rPr>
          <w:rFonts w:ascii="Arial" w:cs="Arial" w:eastAsia="Arial" w:hAnsi="Arial"/>
          <w:sz w:val="16"/>
          <w:szCs w:val="16"/>
          <w:color w:val="auto"/>
        </w:rPr>
      </w:pPr>
    </w:p>
    <w:p>
      <w:pPr>
        <w:ind w:left="1060" w:hanging="224"/>
        <w:spacing w:after="0"/>
        <w:tabs>
          <w:tab w:leader="none" w:pos="1060" w:val="left"/>
        </w:tabs>
        <w:numPr>
          <w:ilvl w:val="1"/>
          <w:numId w:val="104"/>
        </w:numPr>
        <w:rPr>
          <w:rFonts w:ascii="Arial" w:cs="Arial" w:eastAsia="Arial" w:hAnsi="Arial"/>
          <w:sz w:val="16"/>
          <w:szCs w:val="16"/>
          <w:b w:val="1"/>
          <w:bCs w:val="1"/>
          <w:color w:val="001C71"/>
        </w:rPr>
      </w:pPr>
      <w:r>
        <w:rPr>
          <w:rFonts w:ascii="Arial" w:cs="Arial" w:eastAsia="Arial" w:hAnsi="Arial"/>
          <w:sz w:val="16"/>
          <w:szCs w:val="16"/>
          <w:color w:val="auto"/>
        </w:rPr>
        <w:t>Election by separate resolutions of the three named nominees for director to hold office until our 2029 AGM (Proposal 1).</w:t>
      </w:r>
    </w:p>
    <w:p>
      <w:pPr>
        <w:spacing w:after="0" w:line="140" w:lineRule="exact"/>
        <w:rPr>
          <w:rFonts w:ascii="Arial" w:cs="Arial" w:eastAsia="Arial" w:hAnsi="Arial"/>
          <w:sz w:val="16"/>
          <w:szCs w:val="16"/>
          <w:b w:val="1"/>
          <w:bCs w:val="1"/>
          <w:color w:val="001C71"/>
        </w:rPr>
      </w:pPr>
    </w:p>
    <w:p>
      <w:pPr>
        <w:jc w:val="both"/>
        <w:ind w:left="1080" w:right="220" w:hanging="244"/>
        <w:spacing w:after="0" w:line="292" w:lineRule="auto"/>
        <w:tabs>
          <w:tab w:leader="none" w:pos="1069" w:val="left"/>
        </w:tabs>
        <w:numPr>
          <w:ilvl w:val="1"/>
          <w:numId w:val="104"/>
        </w:numPr>
        <w:rPr>
          <w:rFonts w:ascii="Arial" w:cs="Arial" w:eastAsia="Arial" w:hAnsi="Arial"/>
          <w:sz w:val="16"/>
          <w:szCs w:val="16"/>
          <w:b w:val="1"/>
          <w:bCs w:val="1"/>
          <w:color w:val="001C71"/>
        </w:rPr>
      </w:pPr>
      <w:r>
        <w:rPr>
          <w:rFonts w:ascii="Arial" w:cs="Arial" w:eastAsia="Arial" w:hAnsi="Arial"/>
          <w:sz w:val="16"/>
          <w:szCs w:val="16"/>
          <w:color w:val="auto"/>
        </w:rPr>
        <w:t>Ratification, on a non-binding advisory basis, of the appointment of KPMG as our independent auditors for the fiscal year ending December 31, 2026 and the authorization, in a binding vote, of our Board, acting through our Audit Committee, to determine the independent auditors’ remuneration (Proposal 2)</w:t>
      </w:r>
      <w:r>
        <w:rPr>
          <w:rFonts w:ascii="Arial" w:cs="Arial" w:eastAsia="Arial" w:hAnsi="Arial"/>
          <w:sz w:val="16"/>
          <w:szCs w:val="16"/>
          <w:i w:val="1"/>
          <w:iCs w:val="1"/>
          <w:color w:val="auto"/>
        </w:rPr>
        <w:t>.</w:t>
      </w:r>
    </w:p>
    <w:p>
      <w:pPr>
        <w:spacing w:after="0" w:line="70" w:lineRule="exact"/>
        <w:rPr>
          <w:rFonts w:ascii="Arial" w:cs="Arial" w:eastAsia="Arial" w:hAnsi="Arial"/>
          <w:sz w:val="16"/>
          <w:szCs w:val="16"/>
          <w:b w:val="1"/>
          <w:bCs w:val="1"/>
          <w:color w:val="001C71"/>
        </w:rPr>
      </w:pPr>
    </w:p>
    <w:p>
      <w:pPr>
        <w:ind w:left="1060" w:hanging="224"/>
        <w:spacing w:after="0"/>
        <w:tabs>
          <w:tab w:leader="none" w:pos="1060" w:val="left"/>
        </w:tabs>
        <w:numPr>
          <w:ilvl w:val="1"/>
          <w:numId w:val="104"/>
        </w:numPr>
        <w:rPr>
          <w:rFonts w:ascii="Arial" w:cs="Arial" w:eastAsia="Arial" w:hAnsi="Arial"/>
          <w:sz w:val="16"/>
          <w:szCs w:val="16"/>
          <w:b w:val="1"/>
          <w:bCs w:val="1"/>
          <w:color w:val="001C71"/>
        </w:rPr>
      </w:pPr>
      <w:r>
        <w:rPr>
          <w:rFonts w:ascii="Arial" w:cs="Arial" w:eastAsia="Arial" w:hAnsi="Arial"/>
          <w:sz w:val="16"/>
          <w:szCs w:val="16"/>
          <w:color w:val="auto"/>
        </w:rPr>
        <w:t>Approval, on a non-binding advisory basis, of the compensation of our NEOs as disclosed in our proxy statement (Proposal 3).</w:t>
      </w:r>
    </w:p>
    <w:p>
      <w:pPr>
        <w:spacing w:after="0" w:line="126" w:lineRule="exact"/>
        <w:rPr>
          <w:rFonts w:ascii="Arial" w:cs="Arial" w:eastAsia="Arial" w:hAnsi="Arial"/>
          <w:sz w:val="16"/>
          <w:szCs w:val="16"/>
          <w:b w:val="1"/>
          <w:bCs w:val="1"/>
          <w:color w:val="001C71"/>
        </w:rPr>
      </w:pPr>
    </w:p>
    <w:p>
      <w:pPr>
        <w:ind w:left="1060" w:hanging="224"/>
        <w:spacing w:after="0"/>
        <w:tabs>
          <w:tab w:leader="none" w:pos="1060" w:val="left"/>
        </w:tabs>
        <w:numPr>
          <w:ilvl w:val="1"/>
          <w:numId w:val="104"/>
        </w:numPr>
        <w:rPr>
          <w:rFonts w:ascii="Arial" w:cs="Arial" w:eastAsia="Arial" w:hAnsi="Arial"/>
          <w:sz w:val="16"/>
          <w:szCs w:val="16"/>
          <w:b w:val="1"/>
          <w:bCs w:val="1"/>
          <w:color w:val="001C71"/>
        </w:rPr>
      </w:pPr>
      <w:r>
        <w:rPr>
          <w:rFonts w:ascii="Arial" w:cs="Arial" w:eastAsia="Arial" w:hAnsi="Arial"/>
          <w:sz w:val="16"/>
          <w:szCs w:val="16"/>
          <w:color w:val="auto"/>
        </w:rPr>
        <w:t>Granting our Board authority under Irish law to allot and issue ordinary shares (Proposal 4).</w:t>
      </w:r>
    </w:p>
    <w:p>
      <w:pPr>
        <w:spacing w:after="0" w:line="126" w:lineRule="exact"/>
        <w:rPr>
          <w:rFonts w:ascii="Arial" w:cs="Arial" w:eastAsia="Arial" w:hAnsi="Arial"/>
          <w:sz w:val="16"/>
          <w:szCs w:val="16"/>
          <w:b w:val="1"/>
          <w:bCs w:val="1"/>
          <w:color w:val="001C71"/>
        </w:rPr>
      </w:pPr>
    </w:p>
    <w:p>
      <w:pPr>
        <w:ind w:left="1080" w:right="160" w:hanging="244"/>
        <w:spacing w:after="0" w:line="321" w:lineRule="auto"/>
        <w:tabs>
          <w:tab w:leader="none" w:pos="1069" w:val="left"/>
        </w:tabs>
        <w:numPr>
          <w:ilvl w:val="1"/>
          <w:numId w:val="104"/>
        </w:numPr>
        <w:rPr>
          <w:rFonts w:ascii="Arial" w:cs="Arial" w:eastAsia="Arial" w:hAnsi="Arial"/>
          <w:sz w:val="16"/>
          <w:szCs w:val="16"/>
          <w:b w:val="1"/>
          <w:bCs w:val="1"/>
          <w:color w:val="001C71"/>
        </w:rPr>
      </w:pPr>
      <w:r>
        <w:rPr>
          <w:rFonts w:ascii="Arial" w:cs="Arial" w:eastAsia="Arial" w:hAnsi="Arial"/>
          <w:sz w:val="16"/>
          <w:szCs w:val="16"/>
          <w:color w:val="auto"/>
        </w:rPr>
        <w:t>Granting our Board authority under Irish law to allot and issue ordinary shares for cash without first offering those ordinary shares to existing shareholders pursuant to the statutory pre-emption right that would otherwise apply (Proposal 5).</w:t>
      </w:r>
    </w:p>
    <w:p>
      <w:pPr>
        <w:spacing w:after="0" w:line="47" w:lineRule="exact"/>
        <w:rPr>
          <w:rFonts w:ascii="Arial" w:cs="Arial" w:eastAsia="Arial" w:hAnsi="Arial"/>
          <w:sz w:val="16"/>
          <w:szCs w:val="16"/>
          <w:b w:val="1"/>
          <w:bCs w:val="1"/>
          <w:color w:val="001C71"/>
        </w:rPr>
      </w:pPr>
    </w:p>
    <w:p>
      <w:pPr>
        <w:ind w:left="1080" w:right="140" w:hanging="244"/>
        <w:spacing w:after="0" w:line="304" w:lineRule="auto"/>
        <w:tabs>
          <w:tab w:leader="none" w:pos="1069" w:val="left"/>
        </w:tabs>
        <w:numPr>
          <w:ilvl w:val="1"/>
          <w:numId w:val="104"/>
        </w:numPr>
        <w:rPr>
          <w:rFonts w:ascii="Arial" w:cs="Arial" w:eastAsia="Arial" w:hAnsi="Arial"/>
          <w:sz w:val="16"/>
          <w:szCs w:val="16"/>
          <w:b w:val="1"/>
          <w:bCs w:val="1"/>
          <w:color w:val="001C71"/>
        </w:rPr>
      </w:pPr>
      <w:r>
        <w:rPr>
          <w:rFonts w:ascii="Arial" w:cs="Arial" w:eastAsia="Arial" w:hAnsi="Arial"/>
          <w:sz w:val="16"/>
          <w:szCs w:val="16"/>
          <w:color w:val="auto"/>
        </w:rPr>
        <w:t>Approval of any motion to adjourn the 2026 AGM, or any adjournments thereof, to another time and place to solicit additional proxies if there are insufficient votes at the time of the 2026 AGM to approve either Proposal 4 or Proposal 5 (Proposal 6).</w:t>
      </w:r>
    </w:p>
    <w:p>
      <w:pPr>
        <w:spacing w:after="0" w:line="241" w:lineRule="exact"/>
        <w:rPr>
          <w:rFonts w:ascii="Arial" w:cs="Arial" w:eastAsia="Arial" w:hAnsi="Arial"/>
          <w:sz w:val="16"/>
          <w:szCs w:val="16"/>
          <w:b w:val="1"/>
          <w:bCs w:val="1"/>
          <w:color w:val="001C71"/>
        </w:rPr>
      </w:pPr>
    </w:p>
    <w:p>
      <w:pPr>
        <w:ind w:left="760" w:hanging="520"/>
        <w:spacing w:after="0"/>
        <w:tabs>
          <w:tab w:leader="none" w:pos="760" w:val="left"/>
        </w:tabs>
        <w:numPr>
          <w:ilvl w:val="0"/>
          <w:numId w:val="104"/>
        </w:numPr>
        <w:rPr>
          <w:rFonts w:ascii="Arial" w:cs="Arial" w:eastAsia="Arial" w:hAnsi="Arial"/>
          <w:sz w:val="25"/>
          <w:szCs w:val="25"/>
          <w:color w:val="852166"/>
        </w:rPr>
      </w:pPr>
      <w:r>
        <w:rPr>
          <w:rFonts w:ascii="Arial" w:cs="Arial" w:eastAsia="Arial" w:hAnsi="Arial"/>
          <w:sz w:val="25"/>
          <w:szCs w:val="25"/>
          <w:color w:val="852166"/>
        </w:rPr>
        <w:t>What are our Board’s voting recommendations?</w:t>
      </w:r>
    </w:p>
    <w:p>
      <w:pPr>
        <w:spacing w:after="0" w:line="70"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87"/>
        </w:trPr>
        <w:tc>
          <w:tcPr>
            <w:tcW w:w="640" w:type="dxa"/>
            <w:vAlign w:val="bottom"/>
          </w:tcPr>
          <w:p>
            <w:pPr>
              <w:ind w:left="260"/>
              <w:spacing w:after="0"/>
              <w:rPr>
                <w:sz w:val="20"/>
                <w:szCs w:val="20"/>
                <w:color w:val="auto"/>
              </w:rPr>
            </w:pPr>
            <w:r>
              <w:rPr>
                <w:rFonts w:ascii="Arial" w:cs="Arial" w:eastAsia="Arial" w:hAnsi="Arial"/>
                <w:sz w:val="25"/>
                <w:szCs w:val="25"/>
                <w:color w:val="636466"/>
              </w:rPr>
              <w:t>A:</w:t>
            </w:r>
          </w:p>
        </w:tc>
        <w:tc>
          <w:tcPr>
            <w:tcW w:w="10600" w:type="dxa"/>
            <w:vAlign w:val="bottom"/>
          </w:tcPr>
          <w:p>
            <w:pPr>
              <w:ind w:left="120"/>
              <w:spacing w:after="0"/>
              <w:rPr>
                <w:sz w:val="20"/>
                <w:szCs w:val="20"/>
                <w:color w:val="auto"/>
              </w:rPr>
            </w:pPr>
            <w:r>
              <w:rPr>
                <w:rFonts w:ascii="Arial" w:cs="Arial" w:eastAsia="Arial" w:hAnsi="Arial"/>
                <w:sz w:val="16"/>
                <w:szCs w:val="16"/>
                <w:color w:val="auto"/>
              </w:rPr>
              <w:t>Our Board recommends that you vote your shares “FOR” each of the director nominees named in our proxy statement to hold office until the 2029</w:t>
            </w:r>
          </w:p>
        </w:tc>
      </w:tr>
      <w:tr>
        <w:trPr>
          <w:trHeight w:val="215"/>
        </w:trPr>
        <w:tc>
          <w:tcPr>
            <w:tcW w:w="640" w:type="dxa"/>
            <w:vAlign w:val="bottom"/>
          </w:tcPr>
          <w:p>
            <w:pPr>
              <w:spacing w:after="0"/>
              <w:rPr>
                <w:sz w:val="18"/>
                <w:szCs w:val="18"/>
                <w:color w:val="auto"/>
              </w:rPr>
            </w:pPr>
          </w:p>
        </w:tc>
        <w:tc>
          <w:tcPr>
            <w:tcW w:w="10600" w:type="dxa"/>
            <w:vAlign w:val="bottom"/>
          </w:tcPr>
          <w:p>
            <w:pPr>
              <w:ind w:left="120"/>
              <w:spacing w:after="0"/>
              <w:rPr>
                <w:sz w:val="20"/>
                <w:szCs w:val="20"/>
                <w:color w:val="auto"/>
              </w:rPr>
            </w:pPr>
            <w:r>
              <w:rPr>
                <w:rFonts w:ascii="Arial" w:cs="Arial" w:eastAsia="Arial" w:hAnsi="Arial"/>
                <w:sz w:val="16"/>
                <w:szCs w:val="16"/>
                <w:color w:val="auto"/>
              </w:rPr>
              <w:t>AGM and “FOR” the other five proposals.</w:t>
            </w:r>
          </w:p>
        </w:tc>
      </w:tr>
      <w:tr>
        <w:trPr>
          <w:trHeight w:val="606"/>
        </w:trPr>
        <w:tc>
          <w:tcPr>
            <w:tcW w:w="640" w:type="dxa"/>
            <w:vAlign w:val="bottom"/>
          </w:tcPr>
          <w:p>
            <w:pPr>
              <w:ind w:left="240"/>
              <w:spacing w:after="0"/>
              <w:rPr>
                <w:sz w:val="20"/>
                <w:szCs w:val="20"/>
                <w:color w:val="auto"/>
              </w:rPr>
            </w:pPr>
            <w:r>
              <w:rPr>
                <w:rFonts w:ascii="Arial" w:cs="Arial" w:eastAsia="Arial" w:hAnsi="Arial"/>
                <w:sz w:val="25"/>
                <w:szCs w:val="25"/>
                <w:color w:val="852166"/>
              </w:rPr>
              <w:t>Q:</w:t>
            </w:r>
          </w:p>
        </w:tc>
        <w:tc>
          <w:tcPr>
            <w:tcW w:w="10600" w:type="dxa"/>
            <w:vAlign w:val="bottom"/>
          </w:tcPr>
          <w:p>
            <w:pPr>
              <w:ind w:left="120"/>
              <w:spacing w:after="0"/>
              <w:rPr>
                <w:sz w:val="20"/>
                <w:szCs w:val="20"/>
                <w:color w:val="auto"/>
              </w:rPr>
            </w:pPr>
            <w:r>
              <w:rPr>
                <w:rFonts w:ascii="Arial" w:cs="Arial" w:eastAsia="Arial" w:hAnsi="Arial"/>
                <w:sz w:val="25"/>
                <w:szCs w:val="25"/>
                <w:color w:val="852166"/>
              </w:rPr>
              <w:t>What if another matter is properly brought before the 2026 AGM?</w:t>
            </w:r>
          </w:p>
        </w:tc>
      </w:tr>
      <w:tr>
        <w:trPr>
          <w:trHeight w:val="313"/>
        </w:trPr>
        <w:tc>
          <w:tcPr>
            <w:tcW w:w="640" w:type="dxa"/>
            <w:vAlign w:val="bottom"/>
          </w:tcPr>
          <w:p>
            <w:pPr>
              <w:ind w:left="260"/>
              <w:spacing w:after="0"/>
              <w:rPr>
                <w:sz w:val="20"/>
                <w:szCs w:val="20"/>
                <w:color w:val="auto"/>
              </w:rPr>
            </w:pPr>
            <w:r>
              <w:rPr>
                <w:rFonts w:ascii="Arial" w:cs="Arial" w:eastAsia="Arial" w:hAnsi="Arial"/>
                <w:sz w:val="25"/>
                <w:szCs w:val="25"/>
                <w:color w:val="636466"/>
              </w:rPr>
              <w:t>A:</w:t>
            </w:r>
          </w:p>
        </w:tc>
        <w:tc>
          <w:tcPr>
            <w:tcW w:w="10600" w:type="dxa"/>
            <w:vAlign w:val="bottom"/>
          </w:tcPr>
          <w:p>
            <w:pPr>
              <w:ind w:left="120"/>
              <w:spacing w:after="0"/>
              <w:rPr>
                <w:sz w:val="20"/>
                <w:szCs w:val="20"/>
                <w:color w:val="auto"/>
              </w:rPr>
            </w:pPr>
            <w:r>
              <w:rPr>
                <w:rFonts w:ascii="Arial" w:cs="Arial" w:eastAsia="Arial" w:hAnsi="Arial"/>
                <w:sz w:val="16"/>
                <w:szCs w:val="16"/>
                <w:color w:val="auto"/>
              </w:rPr>
              <w:t>Our Board knows of no other matters that will be presented for consideration at our 2026 AGM. If any other matters are properly brought before</w:t>
            </w:r>
          </w:p>
        </w:tc>
      </w:tr>
      <w:tr>
        <w:trPr>
          <w:trHeight w:val="200"/>
        </w:trPr>
        <w:tc>
          <w:tcPr>
            <w:tcW w:w="640" w:type="dxa"/>
            <w:vAlign w:val="bottom"/>
          </w:tcPr>
          <w:p>
            <w:pPr>
              <w:spacing w:after="0"/>
              <w:rPr>
                <w:sz w:val="17"/>
                <w:szCs w:val="17"/>
                <w:color w:val="auto"/>
              </w:rPr>
            </w:pPr>
          </w:p>
        </w:tc>
        <w:tc>
          <w:tcPr>
            <w:tcW w:w="10600" w:type="dxa"/>
            <w:vAlign w:val="bottom"/>
          </w:tcPr>
          <w:p>
            <w:pPr>
              <w:ind w:left="120"/>
              <w:spacing w:after="0"/>
              <w:rPr>
                <w:sz w:val="20"/>
                <w:szCs w:val="20"/>
                <w:color w:val="auto"/>
              </w:rPr>
            </w:pPr>
            <w:r>
              <w:rPr>
                <w:rFonts w:ascii="Arial" w:cs="Arial" w:eastAsia="Arial" w:hAnsi="Arial"/>
                <w:sz w:val="16"/>
                <w:szCs w:val="16"/>
                <w:color w:val="auto"/>
              </w:rPr>
              <w:t>our 2026 AGM, it is the intention of the persons named in the accompanying proxy card, referred to in our proxy statement as the “proxy holders,”</w:t>
            </w:r>
          </w:p>
        </w:tc>
      </w:tr>
      <w:tr>
        <w:trPr>
          <w:trHeight w:val="215"/>
        </w:trPr>
        <w:tc>
          <w:tcPr>
            <w:tcW w:w="640" w:type="dxa"/>
            <w:vAlign w:val="bottom"/>
          </w:tcPr>
          <w:p>
            <w:pPr>
              <w:spacing w:after="0"/>
              <w:rPr>
                <w:sz w:val="18"/>
                <w:szCs w:val="18"/>
                <w:color w:val="auto"/>
              </w:rPr>
            </w:pPr>
          </w:p>
        </w:tc>
        <w:tc>
          <w:tcPr>
            <w:tcW w:w="10600" w:type="dxa"/>
            <w:vAlign w:val="bottom"/>
          </w:tcPr>
          <w:p>
            <w:pPr>
              <w:ind w:left="120"/>
              <w:spacing w:after="0"/>
              <w:rPr>
                <w:sz w:val="20"/>
                <w:szCs w:val="20"/>
                <w:color w:val="auto"/>
              </w:rPr>
            </w:pPr>
            <w:r>
              <w:rPr>
                <w:rFonts w:ascii="Arial" w:cs="Arial" w:eastAsia="Arial" w:hAnsi="Arial"/>
                <w:sz w:val="16"/>
                <w:szCs w:val="16"/>
                <w:color w:val="auto"/>
              </w:rPr>
              <w:t>to vote on those matters in accordance with their best judgment.</w:t>
            </w:r>
          </w:p>
        </w:tc>
      </w:tr>
      <w:tr>
        <w:trPr>
          <w:trHeight w:val="621"/>
        </w:trPr>
        <w:tc>
          <w:tcPr>
            <w:tcW w:w="640" w:type="dxa"/>
            <w:vAlign w:val="bottom"/>
          </w:tcPr>
          <w:p>
            <w:pPr>
              <w:spacing w:after="0"/>
              <w:rPr>
                <w:sz w:val="24"/>
                <w:szCs w:val="24"/>
                <w:color w:val="auto"/>
              </w:rPr>
            </w:pPr>
          </w:p>
        </w:tc>
        <w:tc>
          <w:tcPr>
            <w:tcW w:w="10600" w:type="dxa"/>
            <w:vAlign w:val="bottom"/>
          </w:tcPr>
          <w:p>
            <w:pPr>
              <w:ind w:left="8200"/>
              <w:spacing w:after="0"/>
              <w:rPr>
                <w:sz w:val="20"/>
                <w:szCs w:val="20"/>
                <w:color w:val="auto"/>
              </w:rPr>
            </w:pPr>
            <w:r>
              <w:rPr>
                <w:rFonts w:ascii="Arial" w:cs="Arial" w:eastAsia="Arial" w:hAnsi="Arial"/>
                <w:sz w:val="14"/>
                <w:szCs w:val="14"/>
                <w:color w:val="636466"/>
                <w:w w:val="99"/>
              </w:rPr>
              <w:t>2026 PROXY STATEMENT</w:t>
            </w:r>
            <w:r>
              <w:rPr>
                <w:rFonts w:ascii="Arial" w:cs="Arial" w:eastAsia="Arial" w:hAnsi="Arial"/>
                <w:sz w:val="18"/>
                <w:szCs w:val="18"/>
                <w:b w:val="1"/>
                <w:bCs w:val="1"/>
                <w:color w:val="852166"/>
                <w:w w:val="99"/>
              </w:rPr>
              <w:t>109</w:t>
            </w:r>
          </w:p>
        </w:tc>
      </w:tr>
      <w:tr>
        <w:trPr>
          <w:trHeight w:val="495"/>
        </w:trPr>
        <w:tc>
          <w:tcPr>
            <w:tcW w:w="640" w:type="dxa"/>
            <w:vAlign w:val="bottom"/>
            <w:tcBorders>
              <w:bottom w:val="single" w:sz="8" w:color="9A9A9A"/>
            </w:tcBorders>
          </w:tcPr>
          <w:p>
            <w:pPr>
              <w:spacing w:after="0"/>
              <w:rPr>
                <w:sz w:val="24"/>
                <w:szCs w:val="24"/>
                <w:color w:val="auto"/>
              </w:rPr>
            </w:pPr>
          </w:p>
        </w:tc>
        <w:tc>
          <w:tcPr>
            <w:tcW w:w="10600" w:type="dxa"/>
            <w:vAlign w:val="bottom"/>
            <w:tcBorders>
              <w:bottom w:val="single" w:sz="8" w:color="9A9A9A"/>
            </w:tcBorders>
          </w:tcPr>
          <w:p>
            <w:pPr>
              <w:spacing w:after="0"/>
              <w:rPr>
                <w:sz w:val="24"/>
                <w:szCs w:val="24"/>
                <w:color w:val="auto"/>
              </w:rPr>
            </w:pPr>
          </w:p>
        </w:tc>
      </w:tr>
    </w:tbl>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-513715</wp:posOffset>
            </wp:positionV>
            <wp:extent cx="1242695" cy="20574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17" w:name="page118"/>
    <w:bookmarkEnd w:id="117"/>
    <w:p>
      <w:pPr>
        <w:spacing w:after="0" w:line="194" w:lineRule="auto"/>
        <w:framePr w:w="1820" w:h="130" w:wrap="auto" w:vAnchor="page" w:hAnchor="page" w:x="920" w:y="10945"/>
        <w:rPr>
          <w:rFonts w:ascii="Arial" w:cs="Arial" w:eastAsia="Arial" w:hAnsi="Arial"/>
          <w:sz w:val="14"/>
          <w:szCs w:val="14"/>
          <w:color w:val="636466"/>
        </w:rPr>
      </w:pPr>
      <w:r>
        <w:rPr>
          <w:rFonts w:ascii="Arial" w:cs="Arial" w:eastAsia="Arial" w:hAnsi="Arial"/>
          <w:sz w:val="14"/>
          <w:szCs w:val="14"/>
          <w:color w:val="636466"/>
        </w:rPr>
        <w:t>2026 PROXY STATEMENT</w:t>
      </w:r>
    </w:p>
    <w:p>
      <w:pPr>
        <w:spacing w:after="0" w:line="191" w:lineRule="auto"/>
        <w:framePr w:w="9640" w:h="147" w:wrap="auto" w:vAnchor="page" w:hAnchor="page" w:x="1040" w:y="10199"/>
        <w:rPr>
          <w:rFonts w:ascii="Arial" w:cs="Arial" w:eastAsia="Arial" w:hAnsi="Arial"/>
          <w:sz w:val="16"/>
          <w:szCs w:val="16"/>
          <w:color w:val="636466"/>
        </w:rPr>
      </w:pPr>
      <w:r>
        <w:rPr>
          <w:rFonts w:ascii="Arial" w:cs="Arial" w:eastAsia="Arial" w:hAnsi="Arial"/>
          <w:sz w:val="16"/>
          <w:szCs w:val="16"/>
          <w:color w:val="636466"/>
        </w:rPr>
        <w:t>On each matter to be voted upon, you have one vote for each ordinary share you owned as of the close of business on May 28, 2026.</w:t>
      </w:r>
    </w:p>
    <w:p>
      <w:pPr>
        <w:ind w:left="1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28257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722755" cy="282575"/>
                    </a:xfrm>
                    <a:prstGeom prst="rect">
                      <a:avLst/>
                    </a:prstGeom>
                    <a:noFill/>
                  </pic:spPr>
                </pic:pic>
              </a:graphicData>
            </a:graphic>
          </wp:anchor>
        </w:drawing>
        <w:t>QUESTIONS AND ANSWERS</w:t>
      </w:r>
    </w:p>
    <w:p>
      <w:pPr>
        <w:spacing w:after="0" w:line="200" w:lineRule="exact"/>
        <w:rPr>
          <w:rFonts w:ascii="Arial" w:cs="Arial" w:eastAsia="Arial" w:hAnsi="Arial"/>
          <w:sz w:val="16"/>
          <w:szCs w:val="16"/>
          <w:color w:val="636466"/>
        </w:rPr>
      </w:pPr>
    </w:p>
    <w:p>
      <w:pPr>
        <w:spacing w:after="0" w:line="200" w:lineRule="exact"/>
        <w:rPr>
          <w:rFonts w:ascii="Arial" w:cs="Arial" w:eastAsia="Arial" w:hAnsi="Arial"/>
          <w:sz w:val="16"/>
          <w:szCs w:val="16"/>
          <w:color w:val="636466"/>
        </w:rPr>
      </w:pPr>
    </w:p>
    <w:p>
      <w:pPr>
        <w:spacing w:after="0" w:line="357" w:lineRule="exact"/>
        <w:rPr>
          <w:rFonts w:ascii="Arial" w:cs="Arial" w:eastAsia="Arial" w:hAnsi="Arial"/>
          <w:sz w:val="16"/>
          <w:szCs w:val="16"/>
          <w:color w:val="636466"/>
        </w:rPr>
      </w:pPr>
    </w:p>
    <w:tbl>
      <w:tblPr>
        <w:tblLayout w:type="fixed"/>
        <w:tblInd w:w="220" w:type="dxa"/>
        <w:tblCellMar>
          <w:top w:w="0" w:type="dxa"/>
          <w:left w:w="0" w:type="dxa"/>
          <w:bottom w:w="0" w:type="dxa"/>
          <w:right w:w="0" w:type="dxa"/>
        </w:tblCellMar>
      </w:tblPr>
      <w:tr>
        <w:trPr>
          <w:trHeight w:val="332"/>
        </w:trPr>
        <w:tc>
          <w:tcPr>
            <w:tcW w:w="400" w:type="dxa"/>
            <w:vAlign w:val="bottom"/>
          </w:tcPr>
          <w:p>
            <w:pPr>
              <w:spacing w:after="0"/>
              <w:rPr>
                <w:sz w:val="20"/>
                <w:szCs w:val="20"/>
                <w:color w:val="auto"/>
              </w:rPr>
            </w:pPr>
            <w:r>
              <w:rPr>
                <w:rFonts w:ascii="Arial" w:cs="Arial" w:eastAsia="Arial" w:hAnsi="Arial"/>
                <w:sz w:val="25"/>
                <w:szCs w:val="25"/>
                <w:color w:val="852166"/>
              </w:rPr>
              <w:t>Q:</w:t>
            </w:r>
          </w:p>
        </w:tc>
        <w:tc>
          <w:tcPr>
            <w:tcW w:w="10580" w:type="dxa"/>
            <w:vAlign w:val="bottom"/>
          </w:tcPr>
          <w:p>
            <w:pPr>
              <w:ind w:left="120"/>
              <w:spacing w:after="0"/>
              <w:rPr>
                <w:sz w:val="20"/>
                <w:szCs w:val="20"/>
                <w:color w:val="auto"/>
              </w:rPr>
            </w:pPr>
            <w:r>
              <w:rPr>
                <w:rFonts w:ascii="Arial" w:cs="Arial" w:eastAsia="Arial" w:hAnsi="Arial"/>
                <w:sz w:val="25"/>
                <w:szCs w:val="25"/>
                <w:color w:val="852166"/>
              </w:rPr>
              <w:t>How do I vote?</w:t>
            </w:r>
          </w:p>
        </w:tc>
      </w:tr>
      <w:tr>
        <w:trPr>
          <w:trHeight w:val="313"/>
        </w:trPr>
        <w:tc>
          <w:tcPr>
            <w:tcW w:w="400" w:type="dxa"/>
            <w:vAlign w:val="bottom"/>
          </w:tcPr>
          <w:p>
            <w:pPr>
              <w:ind w:left="20"/>
              <w:spacing w:after="0"/>
              <w:rPr>
                <w:sz w:val="20"/>
                <w:szCs w:val="20"/>
                <w:color w:val="auto"/>
              </w:rPr>
            </w:pPr>
            <w:r>
              <w:rPr>
                <w:rFonts w:ascii="Arial" w:cs="Arial" w:eastAsia="Arial" w:hAnsi="Arial"/>
                <w:sz w:val="25"/>
                <w:szCs w:val="25"/>
                <w:color w:val="636466"/>
              </w:rPr>
              <w:t>A:</w:t>
            </w:r>
          </w:p>
        </w:tc>
        <w:tc>
          <w:tcPr>
            <w:tcW w:w="10580" w:type="dxa"/>
            <w:vAlign w:val="bottom"/>
          </w:tcPr>
          <w:p>
            <w:pPr>
              <w:ind w:left="120"/>
              <w:spacing w:after="0"/>
              <w:rPr>
                <w:sz w:val="20"/>
                <w:szCs w:val="20"/>
                <w:color w:val="auto"/>
              </w:rPr>
            </w:pPr>
            <w:r>
              <w:rPr>
                <w:rFonts w:ascii="Arial" w:cs="Arial" w:eastAsia="Arial" w:hAnsi="Arial"/>
                <w:sz w:val="16"/>
                <w:szCs w:val="16"/>
                <w:color w:val="auto"/>
              </w:rPr>
              <w:t>For the election of directors (Proposal 1), you may vote “FOR” or “AGAINST”, or you may abstain from voting in respect of each nominee. For</w:t>
            </w:r>
          </w:p>
        </w:tc>
      </w:tr>
      <w:tr>
        <w:trPr>
          <w:trHeight w:val="215"/>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each of the other five proposals, you may vote “FOR” or “AGAINST” or you may abstain from voting.</w:t>
            </w:r>
          </w:p>
        </w:tc>
      </w:tr>
      <w:tr>
        <w:trPr>
          <w:trHeight w:val="465"/>
        </w:trPr>
        <w:tc>
          <w:tcPr>
            <w:tcW w:w="400" w:type="dxa"/>
            <w:vAlign w:val="bottom"/>
          </w:tcPr>
          <w:p>
            <w:pPr>
              <w:spacing w:after="0"/>
              <w:rPr>
                <w:sz w:val="24"/>
                <w:szCs w:val="24"/>
                <w:color w:val="auto"/>
              </w:rPr>
            </w:pPr>
          </w:p>
        </w:tc>
        <w:tc>
          <w:tcPr>
            <w:tcW w:w="10580" w:type="dxa"/>
            <w:vAlign w:val="bottom"/>
          </w:tcPr>
          <w:p>
            <w:pPr>
              <w:ind w:left="120"/>
              <w:spacing w:after="0"/>
              <w:rPr>
                <w:sz w:val="20"/>
                <w:szCs w:val="20"/>
                <w:color w:val="auto"/>
              </w:rPr>
            </w:pPr>
            <w:r>
              <w:rPr>
                <w:rFonts w:ascii="Arial" w:cs="Arial" w:eastAsia="Arial" w:hAnsi="Arial"/>
                <w:sz w:val="20"/>
                <w:szCs w:val="20"/>
                <w:b w:val="1"/>
                <w:bCs w:val="1"/>
                <w:color w:val="001C71"/>
              </w:rPr>
              <w:t>Shareholders of Record: Shares Registered in your Name</w:t>
            </w:r>
          </w:p>
        </w:tc>
      </w:tr>
      <w:tr>
        <w:trPr>
          <w:trHeight w:val="302"/>
        </w:trPr>
        <w:tc>
          <w:tcPr>
            <w:tcW w:w="400" w:type="dxa"/>
            <w:vAlign w:val="bottom"/>
          </w:tcPr>
          <w:p>
            <w:pPr>
              <w:spacing w:after="0"/>
              <w:rPr>
                <w:sz w:val="24"/>
                <w:szCs w:val="24"/>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If you are a shareholder of record, you may vote in person at our 2026 AGM, you may vote by electronic proxy over the telephone or via the</w:t>
            </w:r>
          </w:p>
        </w:tc>
      </w:tr>
      <w:tr>
        <w:trPr>
          <w:trHeight w:val="216"/>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internet as instructed below, or, for those shareholders who receive a paper proxy card in the mail, by mailing a completed proxy card. Whether or</w:t>
            </w:r>
          </w:p>
        </w:tc>
      </w:tr>
      <w:tr>
        <w:trPr>
          <w:trHeight w:val="216"/>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not you plan to attend our 2026 AGM, we urge you to vote by proxy to ensure your vote is counted. You may still attend our 2026 AGM and vote in</w:t>
            </w:r>
          </w:p>
        </w:tc>
      </w:tr>
      <w:tr>
        <w:trPr>
          <w:trHeight w:val="217"/>
        </w:trPr>
        <w:tc>
          <w:tcPr>
            <w:tcW w:w="4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6"/>
                <w:szCs w:val="16"/>
                <w:color w:val="auto"/>
              </w:rPr>
              <w:t xml:space="preserve">person even if you have already voted by proxy. </w:t>
            </w:r>
            <w:r>
              <w:rPr>
                <w:rFonts w:ascii="Arial" w:cs="Arial" w:eastAsia="Arial" w:hAnsi="Arial"/>
                <w:sz w:val="16"/>
                <w:szCs w:val="16"/>
                <w:b w:val="1"/>
                <w:bCs w:val="1"/>
                <w:color w:val="001C71"/>
              </w:rPr>
              <w:t>However, as noted above, we recommend that you vote your shares by proxy in advance</w:t>
            </w:r>
          </w:p>
        </w:tc>
      </w:tr>
      <w:tr>
        <w:trPr>
          <w:trHeight w:val="223"/>
        </w:trPr>
        <w:tc>
          <w:tcPr>
            <w:tcW w:w="400" w:type="dxa"/>
            <w:vAlign w:val="bottom"/>
          </w:tcPr>
          <w:p>
            <w:pPr>
              <w:spacing w:after="0"/>
              <w:rPr>
                <w:sz w:val="19"/>
                <w:szCs w:val="19"/>
                <w:color w:val="auto"/>
              </w:rPr>
            </w:pPr>
          </w:p>
        </w:tc>
        <w:tc>
          <w:tcPr>
            <w:tcW w:w="10580" w:type="dxa"/>
            <w:vAlign w:val="bottom"/>
          </w:tcPr>
          <w:p>
            <w:pPr>
              <w:ind w:left="120"/>
              <w:spacing w:after="0"/>
              <w:rPr>
                <w:sz w:val="20"/>
                <w:szCs w:val="20"/>
                <w:color w:val="auto"/>
              </w:rPr>
            </w:pPr>
            <w:r>
              <w:rPr>
                <w:rFonts w:ascii="Arial" w:cs="Arial" w:eastAsia="Arial" w:hAnsi="Arial"/>
                <w:sz w:val="16"/>
                <w:szCs w:val="16"/>
                <w:b w:val="1"/>
                <w:bCs w:val="1"/>
                <w:color w:val="001C71"/>
              </w:rPr>
              <w:t>of our 2026 AGM.</w:t>
            </w:r>
          </w:p>
        </w:tc>
      </w:tr>
    </w:tbl>
    <w:p>
      <w:pPr>
        <w:spacing w:after="0" w:line="196" w:lineRule="exact"/>
        <w:rPr>
          <w:rFonts w:ascii="Arial" w:cs="Arial" w:eastAsia="Arial" w:hAnsi="Arial"/>
          <w:sz w:val="16"/>
          <w:szCs w:val="16"/>
          <w:color w:val="636466"/>
        </w:rPr>
      </w:pPr>
    </w:p>
    <w:p>
      <w:pPr>
        <w:ind w:left="1060" w:right="580" w:hanging="244"/>
        <w:spacing w:after="0" w:line="321" w:lineRule="auto"/>
        <w:tabs>
          <w:tab w:leader="none" w:pos="1049" w:val="left"/>
        </w:tabs>
        <w:numPr>
          <w:ilvl w:val="0"/>
          <w:numId w:val="105"/>
        </w:numPr>
        <w:rPr>
          <w:rFonts w:ascii="Arial" w:cs="Arial" w:eastAsia="Arial" w:hAnsi="Arial"/>
          <w:sz w:val="16"/>
          <w:szCs w:val="16"/>
          <w:b w:val="1"/>
          <w:bCs w:val="1"/>
          <w:color w:val="001C71"/>
        </w:rPr>
      </w:pPr>
      <w:r>
        <w:rPr>
          <w:rFonts w:ascii="Arial" w:cs="Arial" w:eastAsia="Arial" w:hAnsi="Arial"/>
          <w:sz w:val="16"/>
          <w:szCs w:val="16"/>
          <w:color w:val="auto"/>
        </w:rPr>
        <w:t xml:space="preserve">To vote in person, come to our 2026 AGM and we will give you a ballot when you arrive. Please bring your admission ticket or proof of ownership, as further discussed under </w:t>
      </w:r>
      <w:r>
        <w:rPr>
          <w:rFonts w:ascii="Arial" w:cs="Arial" w:eastAsia="Arial" w:hAnsi="Arial"/>
          <w:sz w:val="16"/>
          <w:szCs w:val="16"/>
          <w:i w:val="1"/>
          <w:iCs w:val="1"/>
          <w:color w:val="auto"/>
        </w:rPr>
        <w:t>“Do I need a ticket to attend the 2026 AGM?”</w:t>
      </w:r>
      <w:r>
        <w:rPr>
          <w:rFonts w:ascii="Arial" w:cs="Arial" w:eastAsia="Arial" w:hAnsi="Arial"/>
          <w:sz w:val="16"/>
          <w:szCs w:val="16"/>
          <w:color w:val="auto"/>
        </w:rPr>
        <w:t xml:space="preserve"> below.</w:t>
      </w:r>
    </w:p>
    <w:p>
      <w:pPr>
        <w:spacing w:after="0" w:line="47" w:lineRule="exact"/>
        <w:rPr>
          <w:rFonts w:ascii="Arial" w:cs="Arial" w:eastAsia="Arial" w:hAnsi="Arial"/>
          <w:sz w:val="16"/>
          <w:szCs w:val="16"/>
          <w:b w:val="1"/>
          <w:bCs w:val="1"/>
          <w:color w:val="001C71"/>
        </w:rPr>
      </w:pPr>
    </w:p>
    <w:p>
      <w:pPr>
        <w:jc w:val="both"/>
        <w:ind w:left="1060" w:right="500" w:hanging="244"/>
        <w:spacing w:after="0" w:line="301" w:lineRule="auto"/>
        <w:tabs>
          <w:tab w:leader="none" w:pos="1049" w:val="left"/>
        </w:tabs>
        <w:numPr>
          <w:ilvl w:val="0"/>
          <w:numId w:val="105"/>
        </w:numPr>
        <w:rPr>
          <w:rFonts w:ascii="Arial" w:cs="Arial" w:eastAsia="Arial" w:hAnsi="Arial"/>
          <w:sz w:val="16"/>
          <w:szCs w:val="16"/>
          <w:b w:val="1"/>
          <w:bCs w:val="1"/>
          <w:color w:val="001C71"/>
        </w:rPr>
      </w:pPr>
      <w:r>
        <w:rPr>
          <w:rFonts w:ascii="Arial" w:cs="Arial" w:eastAsia="Arial" w:hAnsi="Arial"/>
          <w:sz w:val="16"/>
          <w:szCs w:val="16"/>
          <w:color w:val="auto"/>
        </w:rPr>
        <w:t>To vote using a proxy card, simply complete, sign and date the proxy card that was mailed to you and return it promptly in the envelope provided. Proxy cards must be received by July 22, 2026. If you return your signed proxy card before this time, we will forward it to our registered office electronically in accordance with Irish law and we will vote your shares as you direct.</w:t>
      </w:r>
    </w:p>
    <w:p>
      <w:pPr>
        <w:spacing w:after="0" w:line="63" w:lineRule="exact"/>
        <w:rPr>
          <w:rFonts w:ascii="Arial" w:cs="Arial" w:eastAsia="Arial" w:hAnsi="Arial"/>
          <w:sz w:val="16"/>
          <w:szCs w:val="16"/>
          <w:b w:val="1"/>
          <w:bCs w:val="1"/>
          <w:color w:val="001C71"/>
        </w:rPr>
      </w:pPr>
    </w:p>
    <w:p>
      <w:pPr>
        <w:jc w:val="both"/>
        <w:ind w:left="1060" w:right="380" w:hanging="244"/>
        <w:spacing w:after="0" w:line="301" w:lineRule="auto"/>
        <w:tabs>
          <w:tab w:leader="none" w:pos="1049" w:val="left"/>
        </w:tabs>
        <w:numPr>
          <w:ilvl w:val="0"/>
          <w:numId w:val="105"/>
        </w:numPr>
        <w:rPr>
          <w:rFonts w:ascii="Arial" w:cs="Arial" w:eastAsia="Arial" w:hAnsi="Arial"/>
          <w:sz w:val="16"/>
          <w:szCs w:val="16"/>
          <w:b w:val="1"/>
          <w:bCs w:val="1"/>
          <w:color w:val="001C71"/>
        </w:rPr>
      </w:pPr>
      <w:r>
        <w:rPr>
          <w:rFonts w:ascii="Arial" w:cs="Arial" w:eastAsia="Arial" w:hAnsi="Arial"/>
          <w:sz w:val="16"/>
          <w:szCs w:val="16"/>
          <w:color w:val="auto"/>
        </w:rPr>
        <w:t>To vote by telephone, dial toll-free +1.800.690.6903 within the U.S., U.S. territories and Canada using a touch-tone phone and follow the recorded instructions to submit an electronic proxy card. You will be asked to provide our Company number and control number from the enclosed proxy card. Your vote must be received by 11:59 p.m., U.S. Eastern Time, on July 22, 2026 to be counted.</w:t>
      </w:r>
    </w:p>
    <w:p>
      <w:pPr>
        <w:spacing w:after="0" w:line="63" w:lineRule="exact"/>
        <w:rPr>
          <w:rFonts w:ascii="Arial" w:cs="Arial" w:eastAsia="Arial" w:hAnsi="Arial"/>
          <w:sz w:val="16"/>
          <w:szCs w:val="16"/>
          <w:b w:val="1"/>
          <w:bCs w:val="1"/>
          <w:color w:val="001C71"/>
        </w:rPr>
      </w:pPr>
    </w:p>
    <w:p>
      <w:pPr>
        <w:ind w:left="1060" w:right="240" w:hanging="244"/>
        <w:spacing w:after="0" w:line="301" w:lineRule="auto"/>
        <w:tabs>
          <w:tab w:leader="none" w:pos="1049" w:val="left"/>
        </w:tabs>
        <w:numPr>
          <w:ilvl w:val="0"/>
          <w:numId w:val="105"/>
        </w:numPr>
        <w:rPr>
          <w:rFonts w:ascii="Arial" w:cs="Arial" w:eastAsia="Arial" w:hAnsi="Arial"/>
          <w:sz w:val="16"/>
          <w:szCs w:val="16"/>
          <w:b w:val="1"/>
          <w:bCs w:val="1"/>
          <w:color w:val="001C71"/>
        </w:rPr>
      </w:pPr>
      <w:r>
        <w:rPr>
          <w:rFonts w:ascii="Arial" w:cs="Arial" w:eastAsia="Arial" w:hAnsi="Arial"/>
          <w:sz w:val="16"/>
          <w:szCs w:val="16"/>
          <w:color w:val="auto"/>
        </w:rPr>
        <w:t>To vote via the internet, go to www.proxyvote.com to complete an electronic proxy card. You will be asked to provide our Company number and control number from the enclosed proxy card. Your vote must be received by 11:59 p.m., U.S. Eastern Time, on July 22, 2026 to be counted.</w:t>
      </w:r>
    </w:p>
    <w:p>
      <w:pPr>
        <w:spacing w:after="0" w:line="162" w:lineRule="exact"/>
        <w:rPr>
          <w:rFonts w:ascii="Arial" w:cs="Arial" w:eastAsia="Arial" w:hAnsi="Arial"/>
          <w:sz w:val="16"/>
          <w:szCs w:val="16"/>
          <w:color w:val="636466"/>
        </w:rPr>
      </w:pPr>
    </w:p>
    <w:p>
      <w:pPr>
        <w:ind w:left="740"/>
        <w:spacing w:after="0"/>
        <w:rPr>
          <w:sz w:val="20"/>
          <w:szCs w:val="20"/>
          <w:color w:val="auto"/>
        </w:rPr>
      </w:pPr>
      <w:r>
        <w:rPr>
          <w:rFonts w:ascii="Arial" w:cs="Arial" w:eastAsia="Arial" w:hAnsi="Arial"/>
          <w:sz w:val="20"/>
          <w:szCs w:val="20"/>
          <w:b w:val="1"/>
          <w:bCs w:val="1"/>
          <w:color w:val="001C71"/>
        </w:rPr>
        <w:t>Beneficial Owners: Shares Registered in the Name of a Broker, Bank or Other Agent</w:t>
      </w:r>
    </w:p>
    <w:p>
      <w:pPr>
        <w:spacing w:after="0" w:line="117" w:lineRule="exact"/>
        <w:rPr>
          <w:rFonts w:ascii="Arial" w:cs="Arial" w:eastAsia="Arial" w:hAnsi="Arial"/>
          <w:sz w:val="16"/>
          <w:szCs w:val="16"/>
          <w:color w:val="636466"/>
        </w:rPr>
      </w:pPr>
    </w:p>
    <w:p>
      <w:pPr>
        <w:ind w:left="740"/>
        <w:spacing w:after="0" w:line="291" w:lineRule="auto"/>
        <w:rPr>
          <w:sz w:val="20"/>
          <w:szCs w:val="20"/>
          <w:color w:val="auto"/>
        </w:rPr>
      </w:pPr>
      <w:r>
        <w:rPr>
          <w:rFonts w:ascii="Arial" w:cs="Arial" w:eastAsia="Arial" w:hAnsi="Arial"/>
          <w:sz w:val="16"/>
          <w:szCs w:val="16"/>
          <w:color w:val="auto"/>
        </w:rPr>
        <w:t>If you are a beneficial owner of shares registered in the name of your broker, bank or other agent, you should have received a Notice or the full set of proxy materials containing voting instructions from that broker, bank or other agent rather than from us. Simply follow the voting instructions in the Notice or the full set of proxy materials to ensure that your vote is counted. Alternatively, you may vote by telephone or via the internet as instructed by your broker, bank or other agent. To vote in person at our 2026 AGM, you must request and obtain a valid proxy from your broker, bank, or other agent. Follow the voting instructions from your broker, bank or other agent, or contact your broker, bank or other agent to request a proxy form.</w:t>
      </w:r>
    </w:p>
    <w:p>
      <w:pPr>
        <w:spacing w:after="0" w:line="343" w:lineRule="exact"/>
        <w:rPr>
          <w:rFonts w:ascii="Arial" w:cs="Arial" w:eastAsia="Arial" w:hAnsi="Arial"/>
          <w:sz w:val="16"/>
          <w:szCs w:val="16"/>
          <w:color w:val="636466"/>
        </w:rPr>
      </w:pPr>
    </w:p>
    <w:p>
      <w:pPr>
        <w:jc w:val="both"/>
        <w:ind w:left="740" w:right="440"/>
        <w:spacing w:after="0" w:line="306" w:lineRule="auto"/>
        <w:rPr>
          <w:sz w:val="20"/>
          <w:szCs w:val="20"/>
          <w:color w:val="auto"/>
        </w:rPr>
      </w:pPr>
      <w:r>
        <w:rPr>
          <w:rFonts w:ascii="Arial" w:cs="Arial" w:eastAsia="Arial" w:hAnsi="Arial"/>
          <w:sz w:val="16"/>
          <w:szCs w:val="16"/>
          <w:b w:val="1"/>
          <w:bCs w:val="1"/>
          <w:color w:val="001C71"/>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33" w:lineRule="exact"/>
        <w:rPr>
          <w:rFonts w:ascii="Arial" w:cs="Arial" w:eastAsia="Arial" w:hAnsi="Arial"/>
          <w:sz w:val="16"/>
          <w:szCs w:val="16"/>
          <w:color w:val="636466"/>
        </w:rPr>
      </w:pPr>
    </w:p>
    <w:p>
      <w:pPr>
        <w:ind w:left="220"/>
        <w:spacing w:after="0"/>
        <w:tabs>
          <w:tab w:leader="none" w:pos="720" w:val="left"/>
        </w:tabs>
        <w:rPr>
          <w:sz w:val="20"/>
          <w:szCs w:val="20"/>
          <w:color w:val="auto"/>
        </w:rPr>
      </w:pPr>
      <w:r>
        <w:rPr>
          <w:rFonts w:ascii="Arial" w:cs="Arial" w:eastAsia="Arial" w:hAnsi="Arial"/>
          <w:sz w:val="25"/>
          <w:szCs w:val="25"/>
          <w:color w:val="852166"/>
        </w:rPr>
        <w:t>Q:</w:t>
        <w:tab/>
        <w:t>How many votes do I have?</w:t>
      </w:r>
    </w:p>
    <w:p>
      <w:pPr>
        <w:spacing w:after="0" w:line="131" w:lineRule="exact"/>
        <w:rPr>
          <w:rFonts w:ascii="Arial" w:cs="Arial" w:eastAsia="Arial" w:hAnsi="Arial"/>
          <w:sz w:val="16"/>
          <w:szCs w:val="16"/>
          <w:color w:val="636466"/>
        </w:rPr>
      </w:pPr>
    </w:p>
    <w:p>
      <w:pPr>
        <w:ind w:left="240"/>
        <w:spacing w:after="0"/>
        <w:rPr>
          <w:sz w:val="20"/>
          <w:szCs w:val="20"/>
          <w:color w:val="auto"/>
        </w:rPr>
      </w:pPr>
      <w:r>
        <w:rPr>
          <w:rFonts w:ascii="Arial" w:cs="Arial" w:eastAsia="Arial" w:hAnsi="Arial"/>
          <w:sz w:val="25"/>
          <w:szCs w:val="25"/>
          <w:color w:val="636466"/>
        </w:rPr>
        <w:t>A:</w:t>
      </w:r>
    </w:p>
    <w:p>
      <w:pPr>
        <w:spacing w:after="0" w:line="20" w:lineRule="exact"/>
        <w:rPr>
          <w:rFonts w:ascii="Arial" w:cs="Arial" w:eastAsia="Arial" w:hAnsi="Arial"/>
          <w:sz w:val="16"/>
          <w:szCs w:val="16"/>
          <w:color w:val="636466"/>
        </w:rPr>
      </w:pPr>
      <w:r>
        <w:rPr>
          <w:rFonts w:ascii="Arial" w:cs="Arial" w:eastAsia="Arial" w:hAnsi="Arial"/>
          <w:sz w:val="16"/>
          <w:szCs w:val="16"/>
          <w:color w:val="636466"/>
        </w:rPr>
        <w:drawing>
          <wp:anchor simplePos="0" relativeHeight="251657728" behindDoc="1" locked="0" layoutInCell="0" allowOverlap="1">
            <wp:simplePos x="0" y="0"/>
            <wp:positionH relativeFrom="column">
              <wp:posOffset>5873115</wp:posOffset>
            </wp:positionH>
            <wp:positionV relativeFrom="paragraph">
              <wp:posOffset>226060</wp:posOffset>
            </wp:positionV>
            <wp:extent cx="1242695" cy="20574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385" w:lineRule="exact"/>
        <w:rPr>
          <w:rFonts w:ascii="Arial" w:cs="Arial" w:eastAsia="Arial" w:hAnsi="Arial"/>
          <w:sz w:val="16"/>
          <w:szCs w:val="16"/>
          <w:color w:val="636466"/>
        </w:rPr>
      </w:pPr>
    </w:p>
    <w:p>
      <w:pPr>
        <w:spacing w:after="0"/>
        <w:rPr>
          <w:sz w:val="20"/>
          <w:szCs w:val="20"/>
          <w:color w:val="auto"/>
        </w:rPr>
      </w:pPr>
      <w:r>
        <w:rPr>
          <w:rFonts w:ascii="Arial" w:cs="Arial" w:eastAsia="Arial" w:hAnsi="Arial"/>
          <w:sz w:val="18"/>
          <w:szCs w:val="18"/>
          <w:b w:val="1"/>
          <w:bCs w:val="1"/>
          <w:color w:val="852166"/>
        </w:rPr>
        <w:t>110</w:t>
      </w:r>
    </w:p>
    <w:p>
      <w:pPr>
        <w:spacing w:after="0" w:line="20" w:lineRule="exact"/>
        <w:rPr>
          <w:rFonts w:ascii="Arial" w:cs="Arial" w:eastAsia="Arial" w:hAnsi="Arial"/>
          <w:sz w:val="16"/>
          <w:szCs w:val="16"/>
          <w:color w:val="636466"/>
        </w:rPr>
      </w:pPr>
      <w:r>
        <w:rPr>
          <w:rFonts w:ascii="Arial" w:cs="Arial" w:eastAsia="Arial" w:hAnsi="Arial"/>
          <w:sz w:val="16"/>
          <w:szCs w:val="16"/>
          <w:color w:val="636466"/>
        </w:rPr>
        <w:drawing>
          <wp:anchor simplePos="0" relativeHeight="251657728" behindDoc="1" locked="0" layoutInCell="0" allowOverlap="1">
            <wp:simplePos x="0" y="0"/>
            <wp:positionH relativeFrom="column">
              <wp:posOffset>-19685</wp:posOffset>
            </wp:positionH>
            <wp:positionV relativeFrom="paragraph">
              <wp:posOffset>321945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508" w:right="359" w:bottom="1440" w:gutter="0" w:footer="0" w:header="0"/>
        </w:sectPr>
      </w:pPr>
    </w:p>
    <w:bookmarkStart w:id="118" w:name="page119"/>
    <w:bookmarkEnd w:id="118"/>
    <w:p>
      <w:pPr>
        <w:ind w:left="91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5617210</wp:posOffset>
            </wp:positionH>
            <wp:positionV relativeFrom="page">
              <wp:posOffset>208915</wp:posOffset>
            </wp:positionV>
            <wp:extent cx="1722755" cy="28257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722755" cy="282575"/>
                    </a:xfrm>
                    <a:prstGeom prst="rect">
                      <a:avLst/>
                    </a:prstGeom>
                    <a:noFill/>
                  </pic:spPr>
                </pic:pic>
              </a:graphicData>
            </a:graphic>
          </wp:anchor>
        </w:drawing>
        <w:t>QUESTIONS AND ANSWERS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60" w:right="300" w:hanging="520"/>
        <w:spacing w:after="0" w:line="296" w:lineRule="auto"/>
        <w:tabs>
          <w:tab w:leader="none" w:pos="760" w:val="left"/>
        </w:tabs>
        <w:numPr>
          <w:ilvl w:val="0"/>
          <w:numId w:val="106"/>
        </w:numPr>
        <w:rPr>
          <w:rFonts w:ascii="Arial" w:cs="Arial" w:eastAsia="Arial" w:hAnsi="Arial"/>
          <w:sz w:val="25"/>
          <w:szCs w:val="25"/>
          <w:color w:val="852166"/>
        </w:rPr>
      </w:pPr>
      <w:r>
        <w:rPr>
          <w:rFonts w:ascii="Arial" w:cs="Arial" w:eastAsia="Arial" w:hAnsi="Arial"/>
          <w:sz w:val="25"/>
          <w:szCs w:val="25"/>
          <w:color w:val="852166"/>
        </w:rPr>
        <w:t>If I am a shareholder of record and I do not vote, or if I return a proxy card or otherwise vote without giving specific voting instructions, what happens?</w:t>
      </w:r>
    </w:p>
    <w:p>
      <w:pPr>
        <w:spacing w:after="0" w:line="15" w:lineRule="exact"/>
        <w:rPr>
          <w:sz w:val="20"/>
          <w:szCs w:val="20"/>
          <w:color w:val="auto"/>
        </w:rPr>
      </w:pPr>
    </w:p>
    <w:p>
      <w:pPr>
        <w:ind w:left="760" w:right="340" w:hanging="499"/>
        <w:spacing w:after="0" w:line="219" w:lineRule="auto"/>
        <w:tabs>
          <w:tab w:leader="none" w:pos="740" w:val="left"/>
        </w:tabs>
        <w:rPr>
          <w:sz w:val="20"/>
          <w:szCs w:val="20"/>
          <w:color w:val="auto"/>
        </w:rPr>
      </w:pPr>
      <w:r>
        <w:rPr>
          <w:rFonts w:ascii="Arial" w:cs="Arial" w:eastAsia="Arial" w:hAnsi="Arial"/>
          <w:sz w:val="25"/>
          <w:szCs w:val="25"/>
          <w:color w:val="636466"/>
        </w:rPr>
        <w:t>A:</w:t>
      </w:r>
      <w:r>
        <w:rPr>
          <w:sz w:val="20"/>
          <w:szCs w:val="20"/>
          <w:color w:val="auto"/>
        </w:rPr>
        <w:tab/>
      </w:r>
      <w:r>
        <w:rPr>
          <w:rFonts w:ascii="Arial" w:cs="Arial" w:eastAsia="Arial" w:hAnsi="Arial"/>
          <w:sz w:val="16"/>
          <w:szCs w:val="16"/>
          <w:color w:val="auto"/>
        </w:rPr>
        <w:t>If you are a shareholder of record and you do not vote by completing your proxy card, vote by proxy via the internet or by telephone, or vote in person at our 2026 AGM, your shares will not be voted.</w:t>
      </w:r>
    </w:p>
    <w:p>
      <w:pPr>
        <w:spacing w:after="0" w:line="110" w:lineRule="exact"/>
        <w:rPr>
          <w:sz w:val="20"/>
          <w:szCs w:val="20"/>
          <w:color w:val="auto"/>
        </w:rPr>
      </w:pPr>
    </w:p>
    <w:p>
      <w:pPr>
        <w:ind w:left="760" w:right="240"/>
        <w:spacing w:after="0" w:line="291" w:lineRule="auto"/>
        <w:rPr>
          <w:sz w:val="20"/>
          <w:szCs w:val="20"/>
          <w:color w:val="auto"/>
        </w:rPr>
      </w:pPr>
      <w:r>
        <w:rPr>
          <w:rFonts w:ascii="Arial" w:cs="Arial" w:eastAsia="Arial" w:hAnsi="Arial"/>
          <w:sz w:val="16"/>
          <w:szCs w:val="16"/>
          <w:color w:val="auto"/>
        </w:rPr>
        <w:t xml:space="preserve">If you are a shareholder of record and you do not specify your vote on each proposal individually when voting by proxy via the internet or by telephone, or if you sign and return a proxy card without giving specific voting instructions, then the proxy holders will vote your shares in the manner recommended by our Board on all matters presented in our proxy statement and as the proxy holders may determine in their discretion with respect to any other matters properly presented for a vote at our 2026 AGM. The voting recommendations of our Board are set forth under </w:t>
      </w:r>
      <w:r>
        <w:rPr>
          <w:rFonts w:ascii="Arial" w:cs="Arial" w:eastAsia="Arial" w:hAnsi="Arial"/>
          <w:sz w:val="16"/>
          <w:szCs w:val="16"/>
          <w:i w:val="1"/>
          <w:iCs w:val="1"/>
          <w:color w:val="auto"/>
        </w:rPr>
        <w:t xml:space="preserve">“What are our Board’s voting recommendations?” </w:t>
      </w:r>
      <w:r>
        <w:rPr>
          <w:rFonts w:ascii="Arial" w:cs="Arial" w:eastAsia="Arial" w:hAnsi="Arial"/>
          <w:sz w:val="16"/>
          <w:szCs w:val="16"/>
          <w:color w:val="auto"/>
        </w:rPr>
        <w:t>above.</w:t>
      </w:r>
    </w:p>
    <w:p>
      <w:pPr>
        <w:spacing w:after="0" w:line="253" w:lineRule="exact"/>
        <w:rPr>
          <w:sz w:val="20"/>
          <w:szCs w:val="20"/>
          <w:color w:val="auto"/>
        </w:rPr>
      </w:pPr>
    </w:p>
    <w:p>
      <w:pPr>
        <w:ind w:left="760" w:right="580" w:hanging="520"/>
        <w:spacing w:after="0" w:line="296" w:lineRule="auto"/>
        <w:tabs>
          <w:tab w:leader="none" w:pos="760" w:val="left"/>
        </w:tabs>
        <w:numPr>
          <w:ilvl w:val="0"/>
          <w:numId w:val="107"/>
        </w:numPr>
        <w:rPr>
          <w:rFonts w:ascii="Arial" w:cs="Arial" w:eastAsia="Arial" w:hAnsi="Arial"/>
          <w:sz w:val="25"/>
          <w:szCs w:val="25"/>
          <w:color w:val="852166"/>
        </w:rPr>
      </w:pPr>
      <w:r>
        <w:rPr>
          <w:rFonts w:ascii="Arial" w:cs="Arial" w:eastAsia="Arial" w:hAnsi="Arial"/>
          <w:sz w:val="25"/>
          <w:szCs w:val="25"/>
          <w:color w:val="852166"/>
        </w:rPr>
        <w:t>If I am a beneficial owner of shares held in street name and I do not provide my broker or bank with voting instructions, what happens?</w:t>
      </w:r>
    </w:p>
    <w:tbl>
      <w:tblPr>
        <w:tblLayout w:type="fixed"/>
        <w:tblInd w:w="260" w:type="dxa"/>
        <w:tblCellMar>
          <w:top w:w="0" w:type="dxa"/>
          <w:left w:w="0" w:type="dxa"/>
          <w:bottom w:w="0" w:type="dxa"/>
          <w:right w:w="0" w:type="dxa"/>
        </w:tblCellMar>
      </w:tblPr>
      <w:tr>
        <w:trPr>
          <w:trHeight w:val="247"/>
        </w:trPr>
        <w:tc>
          <w:tcPr>
            <w:tcW w:w="500" w:type="dxa"/>
            <w:vAlign w:val="bottom"/>
          </w:tcPr>
          <w:p>
            <w:pPr>
              <w:spacing w:after="0" w:line="247" w:lineRule="exact"/>
              <w:rPr>
                <w:sz w:val="20"/>
                <w:szCs w:val="20"/>
                <w:color w:val="auto"/>
              </w:rPr>
            </w:pPr>
            <w:r>
              <w:rPr>
                <w:rFonts w:ascii="Arial" w:cs="Arial" w:eastAsia="Arial" w:hAnsi="Arial"/>
                <w:sz w:val="25"/>
                <w:szCs w:val="25"/>
                <w:color w:val="636466"/>
              </w:rPr>
              <w:t>A:</w:t>
            </w:r>
          </w:p>
        </w:tc>
        <w:tc>
          <w:tcPr>
            <w:tcW w:w="10360" w:type="dxa"/>
            <w:vAlign w:val="bottom"/>
            <w:gridSpan w:val="2"/>
          </w:tcPr>
          <w:p>
            <w:pPr>
              <w:spacing w:after="0"/>
              <w:rPr>
                <w:sz w:val="20"/>
                <w:szCs w:val="20"/>
                <w:color w:val="auto"/>
              </w:rPr>
            </w:pPr>
            <w:r>
              <w:rPr>
                <w:rFonts w:ascii="Arial" w:cs="Arial" w:eastAsia="Arial" w:hAnsi="Arial"/>
                <w:sz w:val="16"/>
                <w:szCs w:val="16"/>
                <w:color w:val="auto"/>
              </w:rPr>
              <w:t>If you are a beneficial owner of shares held in street name and you do not instruct your broker, bank or other agent how to vote your shares, your</w:t>
            </w:r>
          </w:p>
        </w:tc>
      </w:tr>
      <w:tr>
        <w:trPr>
          <w:trHeight w:val="200"/>
        </w:trPr>
        <w:tc>
          <w:tcPr>
            <w:tcW w:w="500" w:type="dxa"/>
            <w:vAlign w:val="bottom"/>
          </w:tcPr>
          <w:p>
            <w:pPr>
              <w:spacing w:after="0"/>
              <w:rPr>
                <w:sz w:val="17"/>
                <w:szCs w:val="17"/>
                <w:color w:val="auto"/>
              </w:rPr>
            </w:pPr>
          </w:p>
        </w:tc>
        <w:tc>
          <w:tcPr>
            <w:tcW w:w="10360" w:type="dxa"/>
            <w:vAlign w:val="bottom"/>
            <w:gridSpan w:val="2"/>
          </w:tcPr>
          <w:p>
            <w:pPr>
              <w:spacing w:after="0"/>
              <w:rPr>
                <w:sz w:val="20"/>
                <w:szCs w:val="20"/>
                <w:color w:val="auto"/>
              </w:rPr>
            </w:pPr>
            <w:r>
              <w:rPr>
                <w:rFonts w:ascii="Arial" w:cs="Arial" w:eastAsia="Arial" w:hAnsi="Arial"/>
                <w:sz w:val="16"/>
                <w:szCs w:val="16"/>
                <w:color w:val="auto"/>
              </w:rPr>
              <w:t>broker, bank or other agent may still be able to vote your shares in its discretion. In this regard, under the rules of the NYSE, brokers, banks and</w:t>
            </w:r>
          </w:p>
        </w:tc>
      </w:tr>
      <w:tr>
        <w:trPr>
          <w:trHeight w:val="215"/>
        </w:trPr>
        <w:tc>
          <w:tcPr>
            <w:tcW w:w="50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6"/>
                <w:szCs w:val="16"/>
                <w:color w:val="auto"/>
              </w:rPr>
              <w:t>other securities intermediaries that are subject to NYSE rules may use their discretion to vote your “uninstructed” shares with respect to matters</w:t>
            </w:r>
          </w:p>
        </w:tc>
      </w:tr>
      <w:tr>
        <w:trPr>
          <w:trHeight w:val="216"/>
        </w:trPr>
        <w:tc>
          <w:tcPr>
            <w:tcW w:w="50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6"/>
                <w:szCs w:val="16"/>
                <w:color w:val="auto"/>
              </w:rPr>
              <w:t>considered to be “routine” under NYSE rules, but not with respect to “non-routine” matters. In this regard, Proposals 1 and 3 are considered to be</w:t>
            </w:r>
          </w:p>
        </w:tc>
      </w:tr>
      <w:tr>
        <w:trPr>
          <w:trHeight w:val="216"/>
        </w:trPr>
        <w:tc>
          <w:tcPr>
            <w:tcW w:w="50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6"/>
                <w:szCs w:val="16"/>
                <w:color w:val="auto"/>
              </w:rPr>
              <w:t>“non-routine” under NYSE rules meaning that your broker may not vote your shares on those proposals in the absence of your voting</w:t>
            </w:r>
          </w:p>
        </w:tc>
      </w:tr>
      <w:tr>
        <w:trPr>
          <w:trHeight w:val="216"/>
        </w:trPr>
        <w:tc>
          <w:tcPr>
            <w:tcW w:w="50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6"/>
                <w:szCs w:val="16"/>
                <w:color w:val="auto"/>
              </w:rPr>
              <w:t>instructions. Proposals 2, 4, 5 and 6 are considered to be “routine” matters under NYSE rules meaning that if you do not return voting</w:t>
            </w:r>
          </w:p>
        </w:tc>
      </w:tr>
      <w:tr>
        <w:trPr>
          <w:trHeight w:val="216"/>
        </w:trPr>
        <w:tc>
          <w:tcPr>
            <w:tcW w:w="50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6"/>
                <w:szCs w:val="16"/>
                <w:color w:val="auto"/>
              </w:rPr>
              <w:t>instructions to your broker by its deadline, your shares may be voted by your broker in its discretion on Proposals 2, 4, 5 and 6.</w:t>
            </w:r>
          </w:p>
        </w:tc>
      </w:tr>
      <w:tr>
        <w:trPr>
          <w:trHeight w:val="433"/>
        </w:trPr>
        <w:tc>
          <w:tcPr>
            <w:tcW w:w="50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6"/>
                <w:szCs w:val="16"/>
                <w:b w:val="1"/>
                <w:bCs w:val="1"/>
                <w:color w:val="001C71"/>
              </w:rPr>
              <w:t>If you are a beneficial owner of shares held in street name, in order to ensure your shares are voted in the way you would prefer, you</w:t>
            </w:r>
          </w:p>
        </w:tc>
      </w:tr>
      <w:tr>
        <w:trPr>
          <w:trHeight w:val="176"/>
        </w:trPr>
        <w:tc>
          <w:tcPr>
            <w:tcW w:w="500" w:type="dxa"/>
            <w:vAlign w:val="bottom"/>
          </w:tcPr>
          <w:p>
            <w:pPr>
              <w:spacing w:after="0"/>
              <w:rPr>
                <w:sz w:val="15"/>
                <w:szCs w:val="15"/>
                <w:color w:val="auto"/>
              </w:rPr>
            </w:pPr>
          </w:p>
        </w:tc>
        <w:tc>
          <w:tcPr>
            <w:tcW w:w="10360" w:type="dxa"/>
            <w:vAlign w:val="bottom"/>
            <w:gridSpan w:val="2"/>
          </w:tcPr>
          <w:p>
            <w:pPr>
              <w:spacing w:after="0" w:line="176" w:lineRule="exact"/>
              <w:rPr>
                <w:sz w:val="20"/>
                <w:szCs w:val="20"/>
                <w:color w:val="auto"/>
              </w:rPr>
            </w:pPr>
            <w:r>
              <w:rPr>
                <w:rFonts w:ascii="Arial" w:cs="Arial" w:eastAsia="Arial" w:hAnsi="Arial"/>
                <w:sz w:val="16"/>
                <w:szCs w:val="16"/>
                <w:b w:val="1"/>
                <w:bCs w:val="1"/>
                <w:color w:val="001C71"/>
              </w:rPr>
              <w:t>must provide voting instructions to your broker, bank or other agent by the deadline provided in the materials you receive from your</w:t>
            </w:r>
          </w:p>
        </w:tc>
      </w:tr>
      <w:tr>
        <w:trPr>
          <w:trHeight w:val="20"/>
        </w:trPr>
        <w:tc>
          <w:tcPr>
            <w:tcW w:w="500" w:type="dxa"/>
            <w:vAlign w:val="bottom"/>
          </w:tcPr>
          <w:p>
            <w:pPr>
              <w:spacing w:after="0" w:line="20" w:lineRule="exact"/>
              <w:rPr>
                <w:sz w:val="1"/>
                <w:szCs w:val="1"/>
                <w:color w:val="auto"/>
              </w:rPr>
            </w:pPr>
          </w:p>
        </w:tc>
        <w:tc>
          <w:tcPr>
            <w:tcW w:w="380" w:type="dxa"/>
            <w:vAlign w:val="bottom"/>
            <w:shd w:val="clear" w:color="auto" w:fill="001C71"/>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r>
      <w:tr>
        <w:trPr>
          <w:trHeight w:val="243"/>
        </w:trPr>
        <w:tc>
          <w:tcPr>
            <w:tcW w:w="500" w:type="dxa"/>
            <w:vAlign w:val="bottom"/>
          </w:tcPr>
          <w:p>
            <w:pPr>
              <w:spacing w:after="0"/>
              <w:rPr>
                <w:sz w:val="21"/>
                <w:szCs w:val="21"/>
                <w:color w:val="auto"/>
              </w:rPr>
            </w:pPr>
          </w:p>
        </w:tc>
        <w:tc>
          <w:tcPr>
            <w:tcW w:w="10360" w:type="dxa"/>
            <w:vAlign w:val="bottom"/>
            <w:gridSpan w:val="2"/>
          </w:tcPr>
          <w:p>
            <w:pPr>
              <w:spacing w:after="0"/>
              <w:rPr>
                <w:sz w:val="20"/>
                <w:szCs w:val="20"/>
                <w:color w:val="auto"/>
              </w:rPr>
            </w:pPr>
            <w:r>
              <w:rPr>
                <w:rFonts w:ascii="Arial" w:cs="Arial" w:eastAsia="Arial" w:hAnsi="Arial"/>
                <w:sz w:val="16"/>
                <w:szCs w:val="16"/>
                <w:b w:val="1"/>
                <w:bCs w:val="1"/>
                <w:color w:val="001C71"/>
              </w:rPr>
              <w:t>broker, bank or other agent.</w:t>
            </w:r>
          </w:p>
        </w:tc>
      </w:tr>
    </w:tbl>
    <w:p>
      <w:pPr>
        <w:spacing w:after="0" w:line="282" w:lineRule="exact"/>
        <w:rPr>
          <w:sz w:val="20"/>
          <w:szCs w:val="20"/>
          <w:color w:val="auto"/>
        </w:rPr>
      </w:pPr>
    </w:p>
    <w:p>
      <w:pPr>
        <w:ind w:left="760" w:right="100" w:hanging="520"/>
        <w:spacing w:after="0" w:line="296" w:lineRule="auto"/>
        <w:tabs>
          <w:tab w:leader="none" w:pos="760" w:val="left"/>
        </w:tabs>
        <w:numPr>
          <w:ilvl w:val="0"/>
          <w:numId w:val="108"/>
        </w:numPr>
        <w:rPr>
          <w:rFonts w:ascii="Arial" w:cs="Arial" w:eastAsia="Arial" w:hAnsi="Arial"/>
          <w:sz w:val="25"/>
          <w:szCs w:val="25"/>
          <w:color w:val="852166"/>
        </w:rPr>
      </w:pPr>
      <w:r>
        <w:rPr>
          <w:rFonts w:ascii="Arial" w:cs="Arial" w:eastAsia="Arial" w:hAnsi="Arial"/>
          <w:sz w:val="25"/>
          <w:szCs w:val="25"/>
          <w:color w:val="852166"/>
        </w:rPr>
        <w:t>What does it mean if I receive more than one set of proxy materials, more than one Notice, or a combination thereof?</w:t>
      </w:r>
    </w:p>
    <w:p>
      <w:pPr>
        <w:spacing w:after="0" w:line="15" w:lineRule="exact"/>
        <w:rPr>
          <w:sz w:val="20"/>
          <w:szCs w:val="20"/>
          <w:color w:val="auto"/>
        </w:rPr>
      </w:pPr>
    </w:p>
    <w:p>
      <w:pPr>
        <w:jc w:val="both"/>
        <w:ind w:left="760" w:right="140" w:hanging="499"/>
        <w:spacing w:after="0" w:line="236" w:lineRule="auto"/>
        <w:tabs>
          <w:tab w:leader="none" w:pos="740" w:val="left"/>
        </w:tabs>
        <w:rPr>
          <w:sz w:val="20"/>
          <w:szCs w:val="20"/>
          <w:color w:val="auto"/>
        </w:rPr>
      </w:pPr>
      <w:r>
        <w:rPr>
          <w:rFonts w:ascii="Arial" w:cs="Arial" w:eastAsia="Arial" w:hAnsi="Arial"/>
          <w:sz w:val="25"/>
          <w:szCs w:val="25"/>
          <w:color w:val="636466"/>
        </w:rPr>
        <w:t>A:</w:t>
      </w:r>
      <w:r>
        <w:rPr>
          <w:sz w:val="20"/>
          <w:szCs w:val="20"/>
          <w:color w:val="auto"/>
        </w:rPr>
        <w:tab/>
      </w:r>
      <w:r>
        <w:rPr>
          <w:rFonts w:ascii="Arial" w:cs="Arial" w:eastAsia="Arial" w:hAnsi="Arial"/>
          <w:sz w:val="16"/>
          <w:szCs w:val="16"/>
          <w:color w:val="auto"/>
        </w:rPr>
        <w:t>If you receive more than one set of proxy materials, more than one Notice, or a combination thereof, your shares may be registered in more than one name or are registered in different accounts. Please follow the voting instructions on each set of proxy materials or Notices to ensure that all of your shares are voted.</w:t>
      </w:r>
    </w:p>
    <w:p>
      <w:pPr>
        <w:spacing w:after="0" w:line="292" w:lineRule="exact"/>
        <w:rPr>
          <w:sz w:val="20"/>
          <w:szCs w:val="20"/>
          <w:color w:val="auto"/>
        </w:rPr>
      </w:pPr>
    </w:p>
    <w:p>
      <w:pPr>
        <w:ind w:left="240"/>
        <w:spacing w:after="0"/>
        <w:tabs>
          <w:tab w:leader="none" w:pos="740" w:val="left"/>
        </w:tabs>
        <w:rPr>
          <w:sz w:val="20"/>
          <w:szCs w:val="20"/>
          <w:color w:val="auto"/>
        </w:rPr>
      </w:pPr>
      <w:r>
        <w:rPr>
          <w:rFonts w:ascii="Arial" w:cs="Arial" w:eastAsia="Arial" w:hAnsi="Arial"/>
          <w:sz w:val="25"/>
          <w:szCs w:val="25"/>
          <w:color w:val="852166"/>
        </w:rPr>
        <w:t>Q:</w:t>
        <w:tab/>
        <w:t>Can I change my vote after submitting my proxy?</w:t>
      </w:r>
    </w:p>
    <w:p>
      <w:pPr>
        <w:spacing w:after="0" w:line="126" w:lineRule="exact"/>
        <w:rPr>
          <w:sz w:val="20"/>
          <w:szCs w:val="20"/>
          <w:color w:val="auto"/>
        </w:rPr>
      </w:pPr>
    </w:p>
    <w:p>
      <w:pPr>
        <w:ind w:left="760" w:right="320" w:hanging="499"/>
        <w:spacing w:after="0" w:line="219" w:lineRule="auto"/>
        <w:tabs>
          <w:tab w:leader="none" w:pos="740" w:val="left"/>
        </w:tabs>
        <w:rPr>
          <w:sz w:val="20"/>
          <w:szCs w:val="20"/>
          <w:color w:val="auto"/>
        </w:rPr>
      </w:pPr>
      <w:r>
        <w:rPr>
          <w:rFonts w:ascii="Arial" w:cs="Arial" w:eastAsia="Arial" w:hAnsi="Arial"/>
          <w:sz w:val="25"/>
          <w:szCs w:val="25"/>
          <w:color w:val="636466"/>
        </w:rPr>
        <w:t>A:</w:t>
      </w:r>
      <w:r>
        <w:rPr>
          <w:sz w:val="20"/>
          <w:szCs w:val="20"/>
          <w:color w:val="auto"/>
        </w:rPr>
        <w:tab/>
      </w:r>
      <w:r>
        <w:rPr>
          <w:rFonts w:ascii="Arial" w:cs="Arial" w:eastAsia="Arial" w:hAnsi="Arial"/>
          <w:sz w:val="16"/>
          <w:szCs w:val="16"/>
          <w:color w:val="auto"/>
        </w:rPr>
        <w:t>Yes. You can revoke your proxy at any time before the commencement of our 2026 AGM. If you are the record holder of your shares, you may revoke your proxy in any one of the following ways:</w:t>
      </w:r>
    </w:p>
    <w:p>
      <w:pPr>
        <w:spacing w:after="0" w:line="164" w:lineRule="exact"/>
        <w:rPr>
          <w:sz w:val="20"/>
          <w:szCs w:val="20"/>
          <w:color w:val="auto"/>
        </w:rPr>
      </w:pPr>
    </w:p>
    <w:p>
      <w:pPr>
        <w:ind w:left="1060" w:hanging="224"/>
        <w:spacing w:after="0"/>
        <w:tabs>
          <w:tab w:leader="none" w:pos="1060" w:val="left"/>
        </w:tabs>
        <w:numPr>
          <w:ilvl w:val="0"/>
          <w:numId w:val="109"/>
        </w:numPr>
        <w:rPr>
          <w:rFonts w:ascii="Arial" w:cs="Arial" w:eastAsia="Arial" w:hAnsi="Arial"/>
          <w:sz w:val="16"/>
          <w:szCs w:val="16"/>
          <w:b w:val="1"/>
          <w:bCs w:val="1"/>
          <w:color w:val="001C71"/>
        </w:rPr>
      </w:pPr>
      <w:r>
        <w:rPr>
          <w:rFonts w:ascii="Arial" w:cs="Arial" w:eastAsia="Arial" w:hAnsi="Arial"/>
          <w:sz w:val="16"/>
          <w:szCs w:val="16"/>
          <w:color w:val="auto"/>
        </w:rPr>
        <w:t>You may submit another properly completed proxy card with a later date.</w:t>
      </w:r>
    </w:p>
    <w:p>
      <w:pPr>
        <w:spacing w:after="0" w:line="140" w:lineRule="exact"/>
        <w:rPr>
          <w:rFonts w:ascii="Arial" w:cs="Arial" w:eastAsia="Arial" w:hAnsi="Arial"/>
          <w:sz w:val="16"/>
          <w:szCs w:val="16"/>
          <w:b w:val="1"/>
          <w:bCs w:val="1"/>
          <w:color w:val="001C71"/>
        </w:rPr>
      </w:pPr>
    </w:p>
    <w:p>
      <w:pPr>
        <w:ind w:left="1060" w:hanging="224"/>
        <w:spacing w:after="0"/>
        <w:tabs>
          <w:tab w:leader="none" w:pos="1060" w:val="left"/>
        </w:tabs>
        <w:numPr>
          <w:ilvl w:val="0"/>
          <w:numId w:val="109"/>
        </w:numPr>
        <w:rPr>
          <w:rFonts w:ascii="Arial" w:cs="Arial" w:eastAsia="Arial" w:hAnsi="Arial"/>
          <w:sz w:val="16"/>
          <w:szCs w:val="16"/>
          <w:b w:val="1"/>
          <w:bCs w:val="1"/>
          <w:color w:val="001C71"/>
        </w:rPr>
      </w:pPr>
      <w:r>
        <w:rPr>
          <w:rFonts w:ascii="Arial" w:cs="Arial" w:eastAsia="Arial" w:hAnsi="Arial"/>
          <w:sz w:val="16"/>
          <w:szCs w:val="16"/>
          <w:color w:val="auto"/>
        </w:rPr>
        <w:t>You may grant a subsequent proxy by telephone or via the internet.</w:t>
      </w:r>
    </w:p>
    <w:p>
      <w:pPr>
        <w:spacing w:after="0" w:line="140" w:lineRule="exact"/>
        <w:rPr>
          <w:rFonts w:ascii="Arial" w:cs="Arial" w:eastAsia="Arial" w:hAnsi="Arial"/>
          <w:sz w:val="16"/>
          <w:szCs w:val="16"/>
          <w:b w:val="1"/>
          <w:bCs w:val="1"/>
          <w:color w:val="001C71"/>
        </w:rPr>
      </w:pPr>
    </w:p>
    <w:p>
      <w:pPr>
        <w:ind w:left="1080" w:right="80" w:hanging="244"/>
        <w:spacing w:after="0" w:line="321" w:lineRule="auto"/>
        <w:tabs>
          <w:tab w:leader="none" w:pos="1069" w:val="left"/>
        </w:tabs>
        <w:numPr>
          <w:ilvl w:val="0"/>
          <w:numId w:val="109"/>
        </w:numPr>
        <w:rPr>
          <w:rFonts w:ascii="Arial" w:cs="Arial" w:eastAsia="Arial" w:hAnsi="Arial"/>
          <w:sz w:val="16"/>
          <w:szCs w:val="16"/>
          <w:b w:val="1"/>
          <w:bCs w:val="1"/>
          <w:color w:val="001C71"/>
        </w:rPr>
      </w:pPr>
      <w:r>
        <w:rPr>
          <w:rFonts w:ascii="Arial" w:cs="Arial" w:eastAsia="Arial" w:hAnsi="Arial"/>
          <w:sz w:val="16"/>
          <w:szCs w:val="16"/>
          <w:color w:val="auto"/>
        </w:rPr>
        <w:t>You may send a timely written notice that you are revoking your proxy to our Company Secretary at Fifth Floor, Waterloo Exchange, Waterloo Road, Dublin 4, Ireland.</w:t>
      </w:r>
    </w:p>
    <w:p>
      <w:pPr>
        <w:spacing w:after="0" w:line="47" w:lineRule="exact"/>
        <w:rPr>
          <w:rFonts w:ascii="Arial" w:cs="Arial" w:eastAsia="Arial" w:hAnsi="Arial"/>
          <w:sz w:val="16"/>
          <w:szCs w:val="16"/>
          <w:b w:val="1"/>
          <w:bCs w:val="1"/>
          <w:color w:val="001C71"/>
        </w:rPr>
      </w:pPr>
    </w:p>
    <w:p>
      <w:pPr>
        <w:ind w:left="1060" w:hanging="224"/>
        <w:spacing w:after="0"/>
        <w:tabs>
          <w:tab w:leader="none" w:pos="1060" w:val="left"/>
        </w:tabs>
        <w:numPr>
          <w:ilvl w:val="0"/>
          <w:numId w:val="109"/>
        </w:numPr>
        <w:rPr>
          <w:rFonts w:ascii="Arial" w:cs="Arial" w:eastAsia="Arial" w:hAnsi="Arial"/>
          <w:sz w:val="16"/>
          <w:szCs w:val="16"/>
          <w:b w:val="1"/>
          <w:bCs w:val="1"/>
          <w:color w:val="001C71"/>
        </w:rPr>
      </w:pPr>
      <w:r>
        <w:rPr>
          <w:rFonts w:ascii="Arial" w:cs="Arial" w:eastAsia="Arial" w:hAnsi="Arial"/>
          <w:sz w:val="16"/>
          <w:szCs w:val="16"/>
          <w:color w:val="auto"/>
        </w:rPr>
        <w:t>You may attend our 2026 AGM and vote in person. Simply attending our 2026 AGM will not, by itself, revoke your proxy.</w:t>
      </w:r>
    </w:p>
    <w:p>
      <w:pPr>
        <w:spacing w:after="0" w:line="194" w:lineRule="exact"/>
        <w:rPr>
          <w:sz w:val="20"/>
          <w:szCs w:val="20"/>
          <w:color w:val="auto"/>
        </w:rPr>
      </w:pPr>
    </w:p>
    <w:p>
      <w:pPr>
        <w:ind w:left="760" w:right="180"/>
        <w:spacing w:after="0" w:line="321" w:lineRule="auto"/>
        <w:rPr>
          <w:sz w:val="20"/>
          <w:szCs w:val="20"/>
          <w:color w:val="auto"/>
        </w:rPr>
      </w:pPr>
      <w:r>
        <w:rPr>
          <w:rFonts w:ascii="Arial" w:cs="Arial" w:eastAsia="Arial" w:hAnsi="Arial"/>
          <w:sz w:val="16"/>
          <w:szCs w:val="16"/>
          <w:color w:val="auto"/>
        </w:rPr>
        <w:t>Your most recent proxy card or telephone or internet proxy is the one that is counted. If your shares are held by your broker, bank or other agent as a nominee or agent, you should follow the instructions provided by your broker, bank or other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167640</wp:posOffset>
            </wp:positionV>
            <wp:extent cx="1242695" cy="20574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780" w:type="dxa"/>
            <w:vAlign w:val="bottom"/>
          </w:tcPr>
          <w:p>
            <w:pPr>
              <w:ind w:left="8840"/>
              <w:spacing w:after="0"/>
              <w:rPr>
                <w:sz w:val="20"/>
                <w:szCs w:val="20"/>
                <w:color w:val="auto"/>
              </w:rPr>
            </w:pPr>
            <w:r>
              <w:rPr>
                <w:rFonts w:ascii="Arial" w:cs="Arial" w:eastAsia="Arial" w:hAnsi="Arial"/>
                <w:sz w:val="14"/>
                <w:szCs w:val="14"/>
                <w:color w:val="636466"/>
              </w:rPr>
              <w:t>2026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852166"/>
              </w:rPr>
              <w:t>111</w:t>
            </w:r>
          </w:p>
        </w:tc>
      </w:tr>
      <w:tr>
        <w:trPr>
          <w:trHeight w:val="494"/>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19" w:name="page120"/>
    <w:bookmarkEnd w:id="119"/>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208915</wp:posOffset>
            </wp:positionV>
            <wp:extent cx="1722755" cy="28257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722755" cy="282575"/>
                    </a:xfrm>
                    <a:prstGeom prst="rect">
                      <a:avLst/>
                    </a:prstGeom>
                    <a:noFill/>
                  </pic:spPr>
                </pic:pic>
              </a:graphicData>
            </a:graphic>
          </wp:anchor>
        </w:drawing>
        <w:t>QUESTIONS AND ANSWERS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40" w:type="dxa"/>
        <w:tblCellMar>
          <w:top w:w="0" w:type="dxa"/>
          <w:left w:w="0" w:type="dxa"/>
          <w:bottom w:w="0" w:type="dxa"/>
          <w:right w:w="0" w:type="dxa"/>
        </w:tblCellMar>
      </w:tblPr>
      <w:tr>
        <w:trPr>
          <w:trHeight w:val="332"/>
        </w:trPr>
        <w:tc>
          <w:tcPr>
            <w:tcW w:w="400" w:type="dxa"/>
            <w:vAlign w:val="bottom"/>
          </w:tcPr>
          <w:p>
            <w:pPr>
              <w:spacing w:after="0"/>
              <w:rPr>
                <w:sz w:val="20"/>
                <w:szCs w:val="20"/>
                <w:color w:val="auto"/>
              </w:rPr>
            </w:pPr>
            <w:r>
              <w:rPr>
                <w:rFonts w:ascii="Arial" w:cs="Arial" w:eastAsia="Arial" w:hAnsi="Arial"/>
                <w:sz w:val="25"/>
                <w:szCs w:val="25"/>
                <w:color w:val="852166"/>
              </w:rPr>
              <w:t>Q:</w:t>
            </w:r>
          </w:p>
        </w:tc>
        <w:tc>
          <w:tcPr>
            <w:tcW w:w="10540" w:type="dxa"/>
            <w:vAlign w:val="bottom"/>
          </w:tcPr>
          <w:p>
            <w:pPr>
              <w:ind w:left="120"/>
              <w:spacing w:after="0"/>
              <w:rPr>
                <w:sz w:val="20"/>
                <w:szCs w:val="20"/>
                <w:color w:val="auto"/>
              </w:rPr>
            </w:pPr>
            <w:r>
              <w:rPr>
                <w:rFonts w:ascii="Arial" w:cs="Arial" w:eastAsia="Arial" w:hAnsi="Arial"/>
                <w:sz w:val="25"/>
                <w:szCs w:val="25"/>
                <w:color w:val="852166"/>
              </w:rPr>
              <w:t>Do I need a ticket to attend the 2026 AGM?</w:t>
            </w:r>
          </w:p>
        </w:tc>
      </w:tr>
      <w:tr>
        <w:trPr>
          <w:trHeight w:val="313"/>
        </w:trPr>
        <w:tc>
          <w:tcPr>
            <w:tcW w:w="400" w:type="dxa"/>
            <w:vAlign w:val="bottom"/>
          </w:tcPr>
          <w:p>
            <w:pPr>
              <w:ind w:left="20"/>
              <w:spacing w:after="0"/>
              <w:rPr>
                <w:sz w:val="20"/>
                <w:szCs w:val="20"/>
                <w:color w:val="auto"/>
              </w:rPr>
            </w:pPr>
            <w:r>
              <w:rPr>
                <w:rFonts w:ascii="Arial" w:cs="Arial" w:eastAsia="Arial" w:hAnsi="Arial"/>
                <w:sz w:val="25"/>
                <w:szCs w:val="25"/>
                <w:color w:val="636466"/>
              </w:rPr>
              <w:t>A:</w:t>
            </w:r>
          </w:p>
        </w:tc>
        <w:tc>
          <w:tcPr>
            <w:tcW w:w="10540" w:type="dxa"/>
            <w:vAlign w:val="bottom"/>
          </w:tcPr>
          <w:p>
            <w:pPr>
              <w:ind w:left="120"/>
              <w:spacing w:after="0"/>
              <w:rPr>
                <w:sz w:val="20"/>
                <w:szCs w:val="20"/>
                <w:color w:val="auto"/>
              </w:rPr>
            </w:pPr>
            <w:r>
              <w:rPr>
                <w:rFonts w:ascii="Arial" w:cs="Arial" w:eastAsia="Arial" w:hAnsi="Arial"/>
                <w:sz w:val="16"/>
                <w:szCs w:val="16"/>
                <w:color w:val="auto"/>
              </w:rPr>
              <w:t>Yes, you will need an admission ticket or proof of ownership of ordinary shares to enter our 2026 AGM. If you are a shareholder of record and you</w:t>
            </w:r>
          </w:p>
        </w:tc>
      </w:tr>
      <w:tr>
        <w:trPr>
          <w:trHeight w:val="200"/>
        </w:trPr>
        <w:tc>
          <w:tcPr>
            <w:tcW w:w="400" w:type="dxa"/>
            <w:vAlign w:val="bottom"/>
          </w:tcPr>
          <w:p>
            <w:pPr>
              <w:spacing w:after="0"/>
              <w:rPr>
                <w:sz w:val="17"/>
                <w:szCs w:val="17"/>
                <w:color w:val="auto"/>
              </w:rPr>
            </w:pPr>
          </w:p>
        </w:tc>
        <w:tc>
          <w:tcPr>
            <w:tcW w:w="10540" w:type="dxa"/>
            <w:vAlign w:val="bottom"/>
          </w:tcPr>
          <w:p>
            <w:pPr>
              <w:ind w:left="120"/>
              <w:spacing w:after="0"/>
              <w:rPr>
                <w:sz w:val="20"/>
                <w:szCs w:val="20"/>
                <w:color w:val="auto"/>
              </w:rPr>
            </w:pPr>
            <w:r>
              <w:rPr>
                <w:rFonts w:ascii="Arial" w:cs="Arial" w:eastAsia="Arial" w:hAnsi="Arial"/>
                <w:sz w:val="16"/>
                <w:szCs w:val="16"/>
                <w:color w:val="auto"/>
              </w:rPr>
              <w:t>received a full set of proxy materials in the mail, your admission ticket is attached to the proxy card sent to you. If you plan to attend our 2026</w:t>
            </w:r>
          </w:p>
        </w:tc>
      </w:tr>
      <w:tr>
        <w:trPr>
          <w:trHeight w:val="215"/>
        </w:trPr>
        <w:tc>
          <w:tcPr>
            <w:tcW w:w="400" w:type="dxa"/>
            <w:vAlign w:val="bottom"/>
          </w:tcPr>
          <w:p>
            <w:pPr>
              <w:spacing w:after="0"/>
              <w:rPr>
                <w:sz w:val="18"/>
                <w:szCs w:val="18"/>
                <w:color w:val="auto"/>
              </w:rPr>
            </w:pPr>
          </w:p>
        </w:tc>
        <w:tc>
          <w:tcPr>
            <w:tcW w:w="10540" w:type="dxa"/>
            <w:vAlign w:val="bottom"/>
          </w:tcPr>
          <w:p>
            <w:pPr>
              <w:ind w:left="120"/>
              <w:spacing w:after="0"/>
              <w:rPr>
                <w:sz w:val="20"/>
                <w:szCs w:val="20"/>
                <w:color w:val="auto"/>
              </w:rPr>
            </w:pPr>
            <w:r>
              <w:rPr>
                <w:rFonts w:ascii="Arial" w:cs="Arial" w:eastAsia="Arial" w:hAnsi="Arial"/>
                <w:sz w:val="16"/>
                <w:szCs w:val="16"/>
                <w:color w:val="auto"/>
              </w:rPr>
              <w:t>AGM, please so indicate when you vote and bring the ticket and valid photo identification with you to our 2026 AGM. If you are a shareholder of</w:t>
            </w:r>
          </w:p>
        </w:tc>
      </w:tr>
      <w:tr>
        <w:trPr>
          <w:trHeight w:val="216"/>
        </w:trPr>
        <w:tc>
          <w:tcPr>
            <w:tcW w:w="400" w:type="dxa"/>
            <w:vAlign w:val="bottom"/>
          </w:tcPr>
          <w:p>
            <w:pPr>
              <w:spacing w:after="0"/>
              <w:rPr>
                <w:sz w:val="18"/>
                <w:szCs w:val="18"/>
                <w:color w:val="auto"/>
              </w:rPr>
            </w:pPr>
          </w:p>
        </w:tc>
        <w:tc>
          <w:tcPr>
            <w:tcW w:w="10540" w:type="dxa"/>
            <w:vAlign w:val="bottom"/>
          </w:tcPr>
          <w:p>
            <w:pPr>
              <w:ind w:left="120"/>
              <w:spacing w:after="0"/>
              <w:rPr>
                <w:sz w:val="20"/>
                <w:szCs w:val="20"/>
                <w:color w:val="auto"/>
              </w:rPr>
            </w:pPr>
            <w:r>
              <w:rPr>
                <w:rFonts w:ascii="Arial" w:cs="Arial" w:eastAsia="Arial" w:hAnsi="Arial"/>
                <w:sz w:val="16"/>
                <w:szCs w:val="16"/>
                <w:color w:val="auto"/>
              </w:rPr>
              <w:t>record and you received a Notice in the mail, your admission ticket is your Notice. Please bring your Notice and valid photo identification with you</w:t>
            </w:r>
          </w:p>
        </w:tc>
      </w:tr>
      <w:tr>
        <w:trPr>
          <w:trHeight w:val="216"/>
        </w:trPr>
        <w:tc>
          <w:tcPr>
            <w:tcW w:w="400" w:type="dxa"/>
            <w:vAlign w:val="bottom"/>
          </w:tcPr>
          <w:p>
            <w:pPr>
              <w:spacing w:after="0"/>
              <w:rPr>
                <w:sz w:val="18"/>
                <w:szCs w:val="18"/>
                <w:color w:val="auto"/>
              </w:rPr>
            </w:pPr>
          </w:p>
        </w:tc>
        <w:tc>
          <w:tcPr>
            <w:tcW w:w="10540" w:type="dxa"/>
            <w:vAlign w:val="bottom"/>
          </w:tcPr>
          <w:p>
            <w:pPr>
              <w:ind w:left="120"/>
              <w:spacing w:after="0"/>
              <w:rPr>
                <w:sz w:val="20"/>
                <w:szCs w:val="20"/>
                <w:color w:val="auto"/>
              </w:rPr>
            </w:pPr>
            <w:r>
              <w:rPr>
                <w:rFonts w:ascii="Arial" w:cs="Arial" w:eastAsia="Arial" w:hAnsi="Arial"/>
                <w:sz w:val="16"/>
                <w:szCs w:val="16"/>
                <w:color w:val="auto"/>
              </w:rPr>
              <w:t>to our 2026 AGM. If your shares are held in the name of a bank, broker or other holder of record, your admission ticket is on your voting</w:t>
            </w:r>
          </w:p>
        </w:tc>
      </w:tr>
      <w:tr>
        <w:trPr>
          <w:trHeight w:val="216"/>
        </w:trPr>
        <w:tc>
          <w:tcPr>
            <w:tcW w:w="400" w:type="dxa"/>
            <w:vAlign w:val="bottom"/>
          </w:tcPr>
          <w:p>
            <w:pPr>
              <w:spacing w:after="0"/>
              <w:rPr>
                <w:sz w:val="18"/>
                <w:szCs w:val="18"/>
                <w:color w:val="auto"/>
              </w:rPr>
            </w:pPr>
          </w:p>
        </w:tc>
        <w:tc>
          <w:tcPr>
            <w:tcW w:w="10540" w:type="dxa"/>
            <w:vAlign w:val="bottom"/>
          </w:tcPr>
          <w:p>
            <w:pPr>
              <w:ind w:left="120"/>
              <w:spacing w:after="0"/>
              <w:rPr>
                <w:sz w:val="20"/>
                <w:szCs w:val="20"/>
                <w:color w:val="auto"/>
              </w:rPr>
            </w:pPr>
            <w:r>
              <w:rPr>
                <w:rFonts w:ascii="Arial" w:cs="Arial" w:eastAsia="Arial" w:hAnsi="Arial"/>
                <w:sz w:val="16"/>
                <w:szCs w:val="16"/>
                <w:color w:val="auto"/>
              </w:rPr>
              <w:t>instruction form. If you do not bring your admission ticket, you will need proof of ownership to be admitted to our 2026 AGM. A recent brokerage</w:t>
            </w:r>
          </w:p>
        </w:tc>
      </w:tr>
      <w:tr>
        <w:trPr>
          <w:trHeight w:val="216"/>
        </w:trPr>
        <w:tc>
          <w:tcPr>
            <w:tcW w:w="400" w:type="dxa"/>
            <w:vAlign w:val="bottom"/>
          </w:tcPr>
          <w:p>
            <w:pPr>
              <w:spacing w:after="0"/>
              <w:rPr>
                <w:sz w:val="18"/>
                <w:szCs w:val="18"/>
                <w:color w:val="auto"/>
              </w:rPr>
            </w:pPr>
          </w:p>
        </w:tc>
        <w:tc>
          <w:tcPr>
            <w:tcW w:w="10540" w:type="dxa"/>
            <w:vAlign w:val="bottom"/>
          </w:tcPr>
          <w:p>
            <w:pPr>
              <w:ind w:left="120"/>
              <w:spacing w:after="0"/>
              <w:rPr>
                <w:sz w:val="20"/>
                <w:szCs w:val="20"/>
                <w:color w:val="auto"/>
              </w:rPr>
            </w:pPr>
            <w:r>
              <w:rPr>
                <w:rFonts w:ascii="Arial" w:cs="Arial" w:eastAsia="Arial" w:hAnsi="Arial"/>
                <w:sz w:val="16"/>
                <w:szCs w:val="16"/>
                <w:color w:val="auto"/>
              </w:rPr>
              <w:t>statement or letter from a bank or broker is an example of proof of ownership. If you arrive at our 2026 AGM without an admission ticket, we will</w:t>
            </w:r>
          </w:p>
        </w:tc>
      </w:tr>
      <w:tr>
        <w:trPr>
          <w:trHeight w:val="216"/>
        </w:trPr>
        <w:tc>
          <w:tcPr>
            <w:tcW w:w="400" w:type="dxa"/>
            <w:vAlign w:val="bottom"/>
          </w:tcPr>
          <w:p>
            <w:pPr>
              <w:spacing w:after="0"/>
              <w:rPr>
                <w:sz w:val="18"/>
                <w:szCs w:val="18"/>
                <w:color w:val="auto"/>
              </w:rPr>
            </w:pPr>
          </w:p>
        </w:tc>
        <w:tc>
          <w:tcPr>
            <w:tcW w:w="10540" w:type="dxa"/>
            <w:vAlign w:val="bottom"/>
          </w:tcPr>
          <w:p>
            <w:pPr>
              <w:ind w:left="120"/>
              <w:spacing w:after="0"/>
              <w:rPr>
                <w:sz w:val="20"/>
                <w:szCs w:val="20"/>
                <w:color w:val="auto"/>
              </w:rPr>
            </w:pPr>
            <w:r>
              <w:rPr>
                <w:rFonts w:ascii="Arial" w:cs="Arial" w:eastAsia="Arial" w:hAnsi="Arial"/>
                <w:sz w:val="16"/>
                <w:szCs w:val="16"/>
                <w:color w:val="auto"/>
              </w:rPr>
              <w:t>admit you only if we are able to verify that you are a shareholder. For directions to attend our 2026 AGM in person, please contact our Investor</w:t>
            </w:r>
          </w:p>
        </w:tc>
      </w:tr>
      <w:tr>
        <w:trPr>
          <w:trHeight w:val="216"/>
        </w:trPr>
        <w:tc>
          <w:tcPr>
            <w:tcW w:w="400" w:type="dxa"/>
            <w:vAlign w:val="bottom"/>
          </w:tcPr>
          <w:p>
            <w:pPr>
              <w:spacing w:after="0"/>
              <w:rPr>
                <w:sz w:val="18"/>
                <w:szCs w:val="18"/>
                <w:color w:val="auto"/>
              </w:rPr>
            </w:pPr>
          </w:p>
        </w:tc>
        <w:tc>
          <w:tcPr>
            <w:tcW w:w="10540" w:type="dxa"/>
            <w:vAlign w:val="bottom"/>
          </w:tcPr>
          <w:p>
            <w:pPr>
              <w:ind w:left="120"/>
              <w:spacing w:after="0"/>
              <w:rPr>
                <w:sz w:val="20"/>
                <w:szCs w:val="20"/>
                <w:color w:val="auto"/>
              </w:rPr>
            </w:pPr>
            <w:r>
              <w:rPr>
                <w:rFonts w:ascii="Arial" w:cs="Arial" w:eastAsia="Arial" w:hAnsi="Arial"/>
                <w:sz w:val="16"/>
                <w:szCs w:val="16"/>
                <w:color w:val="auto"/>
              </w:rPr>
              <w:t>Relations department at +353.1.634.3211 (Ireland) or +1.650.496.2717 (U.S.) or by email at investorinfo@jazzpharmaceuticals.com.</w:t>
            </w:r>
          </w:p>
        </w:tc>
      </w:tr>
    </w:tbl>
    <w:p>
      <w:pPr>
        <w:spacing w:after="0" w:line="290" w:lineRule="exact"/>
        <w:rPr>
          <w:sz w:val="20"/>
          <w:szCs w:val="20"/>
          <w:color w:val="auto"/>
        </w:rPr>
      </w:pPr>
    </w:p>
    <w:tbl>
      <w:tblPr>
        <w:tblLayout w:type="fixed"/>
        <w:tblInd w:w="240" w:type="dxa"/>
        <w:tblCellMar>
          <w:top w:w="0" w:type="dxa"/>
          <w:left w:w="0" w:type="dxa"/>
          <w:bottom w:w="0" w:type="dxa"/>
          <w:right w:w="0" w:type="dxa"/>
        </w:tblCellMar>
      </w:tblPr>
      <w:tr>
        <w:trPr>
          <w:trHeight w:val="332"/>
        </w:trPr>
        <w:tc>
          <w:tcPr>
            <w:tcW w:w="400" w:type="dxa"/>
            <w:vAlign w:val="bottom"/>
          </w:tcPr>
          <w:p>
            <w:pPr>
              <w:spacing w:after="0"/>
              <w:rPr>
                <w:sz w:val="20"/>
                <w:szCs w:val="20"/>
                <w:color w:val="auto"/>
              </w:rPr>
            </w:pPr>
            <w:r>
              <w:rPr>
                <w:rFonts w:ascii="Arial" w:cs="Arial" w:eastAsia="Arial" w:hAnsi="Arial"/>
                <w:sz w:val="25"/>
                <w:szCs w:val="25"/>
                <w:color w:val="852166"/>
              </w:rPr>
              <w:t>Q:</w:t>
            </w:r>
          </w:p>
        </w:tc>
        <w:tc>
          <w:tcPr>
            <w:tcW w:w="10360" w:type="dxa"/>
            <w:vAlign w:val="bottom"/>
          </w:tcPr>
          <w:p>
            <w:pPr>
              <w:ind w:left="120"/>
              <w:spacing w:after="0"/>
              <w:rPr>
                <w:sz w:val="20"/>
                <w:szCs w:val="20"/>
                <w:color w:val="auto"/>
              </w:rPr>
            </w:pPr>
            <w:r>
              <w:rPr>
                <w:rFonts w:ascii="Arial" w:cs="Arial" w:eastAsia="Arial" w:hAnsi="Arial"/>
                <w:sz w:val="25"/>
                <w:szCs w:val="25"/>
                <w:color w:val="852166"/>
              </w:rPr>
              <w:t>How are votes counted?</w:t>
            </w:r>
          </w:p>
        </w:tc>
      </w:tr>
      <w:tr>
        <w:trPr>
          <w:trHeight w:val="313"/>
        </w:trPr>
        <w:tc>
          <w:tcPr>
            <w:tcW w:w="400" w:type="dxa"/>
            <w:vAlign w:val="bottom"/>
          </w:tcPr>
          <w:p>
            <w:pPr>
              <w:ind w:left="20"/>
              <w:spacing w:after="0"/>
              <w:rPr>
                <w:sz w:val="20"/>
                <w:szCs w:val="20"/>
                <w:color w:val="auto"/>
              </w:rPr>
            </w:pPr>
            <w:r>
              <w:rPr>
                <w:rFonts w:ascii="Arial" w:cs="Arial" w:eastAsia="Arial" w:hAnsi="Arial"/>
                <w:sz w:val="25"/>
                <w:szCs w:val="25"/>
                <w:color w:val="636466"/>
              </w:rPr>
              <w:t>A:</w:t>
            </w:r>
          </w:p>
        </w:tc>
        <w:tc>
          <w:tcPr>
            <w:tcW w:w="10360" w:type="dxa"/>
            <w:vAlign w:val="bottom"/>
          </w:tcPr>
          <w:p>
            <w:pPr>
              <w:ind w:left="120"/>
              <w:spacing w:after="0"/>
              <w:rPr>
                <w:sz w:val="20"/>
                <w:szCs w:val="20"/>
                <w:color w:val="auto"/>
              </w:rPr>
            </w:pPr>
            <w:r>
              <w:rPr>
                <w:rFonts w:ascii="Arial" w:cs="Arial" w:eastAsia="Arial" w:hAnsi="Arial"/>
                <w:sz w:val="16"/>
                <w:szCs w:val="16"/>
                <w:color w:val="auto"/>
              </w:rPr>
              <w:t>Votes will be counted by the inspector of elections appointed for our 2026 AGM. The inspector of elections will separately count, with respect to</w:t>
            </w:r>
          </w:p>
        </w:tc>
      </w:tr>
      <w:tr>
        <w:trPr>
          <w:trHeight w:val="200"/>
        </w:trPr>
        <w:tc>
          <w:tcPr>
            <w:tcW w:w="400" w:type="dxa"/>
            <w:vAlign w:val="bottom"/>
          </w:tcPr>
          <w:p>
            <w:pPr>
              <w:spacing w:after="0"/>
              <w:rPr>
                <w:sz w:val="17"/>
                <w:szCs w:val="17"/>
                <w:color w:val="auto"/>
              </w:rPr>
            </w:pPr>
          </w:p>
        </w:tc>
        <w:tc>
          <w:tcPr>
            <w:tcW w:w="10360" w:type="dxa"/>
            <w:vAlign w:val="bottom"/>
          </w:tcPr>
          <w:p>
            <w:pPr>
              <w:ind w:left="120"/>
              <w:spacing w:after="0"/>
              <w:rPr>
                <w:sz w:val="20"/>
                <w:szCs w:val="20"/>
                <w:color w:val="auto"/>
              </w:rPr>
            </w:pPr>
            <w:r>
              <w:rPr>
                <w:rFonts w:ascii="Arial" w:cs="Arial" w:eastAsia="Arial" w:hAnsi="Arial"/>
                <w:sz w:val="16"/>
                <w:szCs w:val="16"/>
                <w:color w:val="auto"/>
              </w:rPr>
              <w:t>the proposal to elect directors (Proposal 1), votes “FOR,” “AGAINST,” abstentions and broker non-votes; and, with respect to each of the other</w:t>
            </w:r>
          </w:p>
        </w:tc>
      </w:tr>
      <w:tr>
        <w:trPr>
          <w:trHeight w:val="215"/>
        </w:trPr>
        <w:tc>
          <w:tcPr>
            <w:tcW w:w="400" w:type="dxa"/>
            <w:vAlign w:val="bottom"/>
          </w:tcPr>
          <w:p>
            <w:pPr>
              <w:spacing w:after="0"/>
              <w:rPr>
                <w:sz w:val="18"/>
                <w:szCs w:val="18"/>
                <w:color w:val="auto"/>
              </w:rPr>
            </w:pPr>
          </w:p>
        </w:tc>
        <w:tc>
          <w:tcPr>
            <w:tcW w:w="10360" w:type="dxa"/>
            <w:vAlign w:val="bottom"/>
          </w:tcPr>
          <w:p>
            <w:pPr>
              <w:ind w:left="120"/>
              <w:spacing w:after="0"/>
              <w:rPr>
                <w:sz w:val="20"/>
                <w:szCs w:val="20"/>
                <w:color w:val="auto"/>
              </w:rPr>
            </w:pPr>
            <w:r>
              <w:rPr>
                <w:rFonts w:ascii="Arial" w:cs="Arial" w:eastAsia="Arial" w:hAnsi="Arial"/>
                <w:sz w:val="16"/>
                <w:szCs w:val="16"/>
                <w:color w:val="auto"/>
              </w:rPr>
              <w:t>proposals, votes “FOR,” “AGAINST,” abstentions, and, as applicable, broker non-votes.</w:t>
            </w:r>
          </w:p>
        </w:tc>
      </w:tr>
    </w:tbl>
    <w:p>
      <w:pPr>
        <w:spacing w:after="0" w:line="290" w:lineRule="exact"/>
        <w:rPr>
          <w:sz w:val="20"/>
          <w:szCs w:val="20"/>
          <w:color w:val="auto"/>
        </w:rPr>
      </w:pPr>
    </w:p>
    <w:tbl>
      <w:tblPr>
        <w:tblLayout w:type="fixed"/>
        <w:tblInd w:w="240" w:type="dxa"/>
        <w:tblCellMar>
          <w:top w:w="0" w:type="dxa"/>
          <w:left w:w="0" w:type="dxa"/>
          <w:bottom w:w="0" w:type="dxa"/>
          <w:right w:w="0" w:type="dxa"/>
        </w:tblCellMar>
      </w:tblPr>
      <w:tr>
        <w:trPr>
          <w:trHeight w:val="332"/>
        </w:trPr>
        <w:tc>
          <w:tcPr>
            <w:tcW w:w="400" w:type="dxa"/>
            <w:vAlign w:val="bottom"/>
          </w:tcPr>
          <w:p>
            <w:pPr>
              <w:spacing w:after="0"/>
              <w:rPr>
                <w:sz w:val="20"/>
                <w:szCs w:val="20"/>
                <w:color w:val="auto"/>
              </w:rPr>
            </w:pPr>
            <w:r>
              <w:rPr>
                <w:rFonts w:ascii="Arial" w:cs="Arial" w:eastAsia="Arial" w:hAnsi="Arial"/>
                <w:sz w:val="25"/>
                <w:szCs w:val="25"/>
                <w:color w:val="852166"/>
              </w:rPr>
              <w:t>Q:</w:t>
            </w:r>
          </w:p>
        </w:tc>
        <w:tc>
          <w:tcPr>
            <w:tcW w:w="10460" w:type="dxa"/>
            <w:vAlign w:val="bottom"/>
          </w:tcPr>
          <w:p>
            <w:pPr>
              <w:ind w:left="120"/>
              <w:spacing w:after="0"/>
              <w:rPr>
                <w:sz w:val="20"/>
                <w:szCs w:val="20"/>
                <w:color w:val="auto"/>
              </w:rPr>
            </w:pPr>
            <w:r>
              <w:rPr>
                <w:rFonts w:ascii="Arial" w:cs="Arial" w:eastAsia="Arial" w:hAnsi="Arial"/>
                <w:sz w:val="25"/>
                <w:szCs w:val="25"/>
                <w:color w:val="852166"/>
              </w:rPr>
              <w:t>What are “broker non-votes”?</w:t>
            </w:r>
          </w:p>
        </w:tc>
      </w:tr>
      <w:tr>
        <w:trPr>
          <w:trHeight w:val="313"/>
        </w:trPr>
        <w:tc>
          <w:tcPr>
            <w:tcW w:w="400" w:type="dxa"/>
            <w:vAlign w:val="bottom"/>
          </w:tcPr>
          <w:p>
            <w:pPr>
              <w:ind w:left="20"/>
              <w:spacing w:after="0"/>
              <w:rPr>
                <w:sz w:val="20"/>
                <w:szCs w:val="20"/>
                <w:color w:val="auto"/>
              </w:rPr>
            </w:pPr>
            <w:r>
              <w:rPr>
                <w:rFonts w:ascii="Arial" w:cs="Arial" w:eastAsia="Arial" w:hAnsi="Arial"/>
                <w:sz w:val="25"/>
                <w:szCs w:val="25"/>
                <w:color w:val="636466"/>
              </w:rPr>
              <w:t>A:</w:t>
            </w:r>
          </w:p>
        </w:tc>
        <w:tc>
          <w:tcPr>
            <w:tcW w:w="10460" w:type="dxa"/>
            <w:vAlign w:val="bottom"/>
          </w:tcPr>
          <w:p>
            <w:pPr>
              <w:ind w:left="120"/>
              <w:spacing w:after="0"/>
              <w:rPr>
                <w:sz w:val="20"/>
                <w:szCs w:val="20"/>
                <w:color w:val="auto"/>
              </w:rPr>
            </w:pPr>
            <w:r>
              <w:rPr>
                <w:rFonts w:ascii="Arial" w:cs="Arial" w:eastAsia="Arial" w:hAnsi="Arial"/>
                <w:sz w:val="16"/>
                <w:szCs w:val="16"/>
                <w:color w:val="auto"/>
              </w:rPr>
              <w:t>As discussed above, when a beneficial owner of shares held in street name does not give voting instructions to his or her broker, bank or other</w:t>
            </w:r>
          </w:p>
        </w:tc>
      </w:tr>
      <w:tr>
        <w:trPr>
          <w:trHeight w:val="200"/>
        </w:trPr>
        <w:tc>
          <w:tcPr>
            <w:tcW w:w="400" w:type="dxa"/>
            <w:vAlign w:val="bottom"/>
          </w:tcPr>
          <w:p>
            <w:pPr>
              <w:spacing w:after="0"/>
              <w:rPr>
                <w:sz w:val="17"/>
                <w:szCs w:val="17"/>
                <w:color w:val="auto"/>
              </w:rPr>
            </w:pPr>
          </w:p>
        </w:tc>
        <w:tc>
          <w:tcPr>
            <w:tcW w:w="10460" w:type="dxa"/>
            <w:vAlign w:val="bottom"/>
          </w:tcPr>
          <w:p>
            <w:pPr>
              <w:ind w:left="120"/>
              <w:spacing w:after="0"/>
              <w:rPr>
                <w:sz w:val="20"/>
                <w:szCs w:val="20"/>
                <w:color w:val="auto"/>
              </w:rPr>
            </w:pPr>
            <w:r>
              <w:rPr>
                <w:rFonts w:ascii="Arial" w:cs="Arial" w:eastAsia="Arial" w:hAnsi="Arial"/>
                <w:sz w:val="16"/>
                <w:szCs w:val="16"/>
                <w:color w:val="auto"/>
              </w:rPr>
              <w:t>agent holding his or her shares as to how to vote on matters deemed to be “non-routine” under NYSE rules, the broker, bank or other such agent</w:t>
            </w:r>
          </w:p>
        </w:tc>
      </w:tr>
      <w:tr>
        <w:trPr>
          <w:trHeight w:val="215"/>
        </w:trPr>
        <w:tc>
          <w:tcPr>
            <w:tcW w:w="40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Arial" w:cs="Arial" w:eastAsia="Arial" w:hAnsi="Arial"/>
                <w:sz w:val="16"/>
                <w:szCs w:val="16"/>
                <w:color w:val="auto"/>
              </w:rPr>
              <w:t>cannot vote the shares. When there is at least one “routine” matter that the broker, bank or other agent votes on, the shares that are un-voted on</w:t>
            </w:r>
          </w:p>
        </w:tc>
      </w:tr>
      <w:tr>
        <w:trPr>
          <w:trHeight w:val="216"/>
        </w:trPr>
        <w:tc>
          <w:tcPr>
            <w:tcW w:w="40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Arial" w:cs="Arial" w:eastAsia="Arial" w:hAnsi="Arial"/>
                <w:sz w:val="16"/>
                <w:szCs w:val="16"/>
                <w:color w:val="auto"/>
              </w:rPr>
              <w:t>“non-routine” matters are counted as “broker non-votes.” Proposals 1 and 3 are considered to be “non-routine” under NYSE rules and we</w:t>
            </w:r>
          </w:p>
        </w:tc>
      </w:tr>
      <w:tr>
        <w:trPr>
          <w:trHeight w:val="216"/>
        </w:trPr>
        <w:tc>
          <w:tcPr>
            <w:tcW w:w="40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Arial" w:cs="Arial" w:eastAsia="Arial" w:hAnsi="Arial"/>
                <w:sz w:val="16"/>
                <w:szCs w:val="16"/>
                <w:color w:val="auto"/>
              </w:rPr>
              <w:t>therefore expect broker non-votes in connection with those proposals.</w:t>
            </w:r>
          </w:p>
        </w:tc>
      </w:tr>
      <w:tr>
        <w:trPr>
          <w:trHeight w:val="435"/>
        </w:trPr>
        <w:tc>
          <w:tcPr>
            <w:tcW w:w="400" w:type="dxa"/>
            <w:vAlign w:val="bottom"/>
          </w:tcPr>
          <w:p>
            <w:pPr>
              <w:spacing w:after="0"/>
              <w:rPr>
                <w:sz w:val="24"/>
                <w:szCs w:val="24"/>
                <w:color w:val="auto"/>
              </w:rPr>
            </w:pPr>
          </w:p>
        </w:tc>
        <w:tc>
          <w:tcPr>
            <w:tcW w:w="10460" w:type="dxa"/>
            <w:vAlign w:val="bottom"/>
          </w:tcPr>
          <w:p>
            <w:pPr>
              <w:ind w:left="120"/>
              <w:spacing w:after="0"/>
              <w:rPr>
                <w:sz w:val="20"/>
                <w:szCs w:val="20"/>
                <w:color w:val="auto"/>
              </w:rPr>
            </w:pPr>
            <w:r>
              <w:rPr>
                <w:rFonts w:ascii="Arial" w:cs="Arial" w:eastAsia="Arial" w:hAnsi="Arial"/>
                <w:sz w:val="16"/>
                <w:szCs w:val="16"/>
                <w:b w:val="1"/>
                <w:bCs w:val="1"/>
                <w:i w:val="1"/>
                <w:iCs w:val="1"/>
                <w:color w:val="001C71"/>
              </w:rPr>
              <w:t>As a reminder, if you are a beneficial owner of shares held in street name, in order to ensure your shares are voted in the way you</w:t>
            </w:r>
          </w:p>
        </w:tc>
      </w:tr>
      <w:tr>
        <w:trPr>
          <w:trHeight w:val="216"/>
        </w:trPr>
        <w:tc>
          <w:tcPr>
            <w:tcW w:w="40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Arial" w:cs="Arial" w:eastAsia="Arial" w:hAnsi="Arial"/>
                <w:sz w:val="16"/>
                <w:szCs w:val="16"/>
                <w:b w:val="1"/>
                <w:bCs w:val="1"/>
                <w:i w:val="1"/>
                <w:iCs w:val="1"/>
                <w:color w:val="001C71"/>
              </w:rPr>
              <w:t>would prefer, you must provide voting instructions to your broker, bank or other agent by the deadline provided in the materials you</w:t>
            </w:r>
          </w:p>
        </w:tc>
      </w:tr>
      <w:tr>
        <w:trPr>
          <w:trHeight w:val="221"/>
        </w:trPr>
        <w:tc>
          <w:tcPr>
            <w:tcW w:w="400" w:type="dxa"/>
            <w:vAlign w:val="bottom"/>
          </w:tcPr>
          <w:p>
            <w:pPr>
              <w:spacing w:after="0"/>
              <w:rPr>
                <w:sz w:val="19"/>
                <w:szCs w:val="19"/>
                <w:color w:val="auto"/>
              </w:rPr>
            </w:pPr>
          </w:p>
        </w:tc>
        <w:tc>
          <w:tcPr>
            <w:tcW w:w="10460" w:type="dxa"/>
            <w:vAlign w:val="bottom"/>
          </w:tcPr>
          <w:p>
            <w:pPr>
              <w:ind w:left="120"/>
              <w:spacing w:after="0"/>
              <w:rPr>
                <w:sz w:val="20"/>
                <w:szCs w:val="20"/>
                <w:color w:val="auto"/>
              </w:rPr>
            </w:pPr>
            <w:r>
              <w:rPr>
                <w:rFonts w:ascii="Arial" w:cs="Arial" w:eastAsia="Arial" w:hAnsi="Arial"/>
                <w:sz w:val="16"/>
                <w:szCs w:val="16"/>
                <w:b w:val="1"/>
                <w:bCs w:val="1"/>
                <w:i w:val="1"/>
                <w:iCs w:val="1"/>
                <w:color w:val="001C71"/>
              </w:rPr>
              <w:t>receive from your broker, bank or other agent.</w:t>
            </w:r>
          </w:p>
        </w:tc>
      </w:tr>
    </w:tbl>
    <w:p>
      <w:pPr>
        <w:spacing w:after="0" w:line="282" w:lineRule="exact"/>
        <w:rPr>
          <w:sz w:val="20"/>
          <w:szCs w:val="20"/>
          <w:color w:val="auto"/>
        </w:rPr>
      </w:pPr>
    </w:p>
    <w:tbl>
      <w:tblPr>
        <w:tblLayout w:type="fixed"/>
        <w:tblInd w:w="240" w:type="dxa"/>
        <w:tblCellMar>
          <w:top w:w="0" w:type="dxa"/>
          <w:left w:w="0" w:type="dxa"/>
          <w:bottom w:w="0" w:type="dxa"/>
          <w:right w:w="0" w:type="dxa"/>
        </w:tblCellMar>
      </w:tblPr>
      <w:tr>
        <w:trPr>
          <w:trHeight w:val="332"/>
        </w:trPr>
        <w:tc>
          <w:tcPr>
            <w:tcW w:w="500" w:type="dxa"/>
            <w:vAlign w:val="bottom"/>
          </w:tcPr>
          <w:p>
            <w:pPr>
              <w:spacing w:after="0"/>
              <w:rPr>
                <w:sz w:val="20"/>
                <w:szCs w:val="20"/>
                <w:color w:val="auto"/>
              </w:rPr>
            </w:pPr>
            <w:r>
              <w:rPr>
                <w:rFonts w:ascii="Arial" w:cs="Arial" w:eastAsia="Arial" w:hAnsi="Arial"/>
                <w:sz w:val="25"/>
                <w:szCs w:val="25"/>
                <w:color w:val="852166"/>
              </w:rPr>
              <w:t>Q:</w:t>
            </w:r>
          </w:p>
        </w:tc>
        <w:tc>
          <w:tcPr>
            <w:tcW w:w="10500" w:type="dxa"/>
            <w:vAlign w:val="bottom"/>
            <w:gridSpan w:val="2"/>
          </w:tcPr>
          <w:p>
            <w:pPr>
              <w:ind w:left="20"/>
              <w:spacing w:after="0"/>
              <w:rPr>
                <w:sz w:val="20"/>
                <w:szCs w:val="20"/>
                <w:color w:val="auto"/>
              </w:rPr>
            </w:pPr>
            <w:r>
              <w:rPr>
                <w:rFonts w:ascii="Arial" w:cs="Arial" w:eastAsia="Arial" w:hAnsi="Arial"/>
                <w:sz w:val="25"/>
                <w:szCs w:val="25"/>
                <w:color w:val="852166"/>
              </w:rPr>
              <w:t>How many votes are needed to approve each proposal?</w:t>
            </w:r>
          </w:p>
        </w:tc>
      </w:tr>
      <w:tr>
        <w:trPr>
          <w:trHeight w:val="418"/>
        </w:trPr>
        <w:tc>
          <w:tcPr>
            <w:tcW w:w="500" w:type="dxa"/>
            <w:vAlign w:val="bottom"/>
          </w:tcPr>
          <w:p>
            <w:pPr>
              <w:ind w:left="20"/>
              <w:spacing w:after="0"/>
              <w:rPr>
                <w:sz w:val="20"/>
                <w:szCs w:val="20"/>
                <w:color w:val="auto"/>
              </w:rPr>
            </w:pPr>
            <w:r>
              <w:rPr>
                <w:rFonts w:ascii="Arial" w:cs="Arial" w:eastAsia="Arial" w:hAnsi="Arial"/>
                <w:sz w:val="25"/>
                <w:szCs w:val="25"/>
                <w:color w:val="636466"/>
              </w:rPr>
              <w:t>A:</w:t>
            </w:r>
          </w:p>
        </w:tc>
        <w:tc>
          <w:tcPr>
            <w:tcW w:w="10500" w:type="dxa"/>
            <w:vAlign w:val="bottom"/>
            <w:gridSpan w:val="2"/>
          </w:tcPr>
          <w:p>
            <w:pPr>
              <w:ind w:left="20"/>
              <w:spacing w:after="0"/>
              <w:rPr>
                <w:sz w:val="20"/>
                <w:szCs w:val="20"/>
                <w:color w:val="auto"/>
              </w:rPr>
            </w:pPr>
            <w:r>
              <w:rPr>
                <w:rFonts w:ascii="Arial" w:cs="Arial" w:eastAsia="Arial" w:hAnsi="Arial"/>
                <w:sz w:val="16"/>
                <w:szCs w:val="16"/>
                <w:color w:val="auto"/>
              </w:rPr>
              <w:t>Assuming that a quorum is present at our 2026 AGM, the following votes will be required for approval:</w:t>
            </w:r>
          </w:p>
        </w:tc>
      </w:tr>
      <w:tr>
        <w:trPr>
          <w:trHeight w:val="28"/>
        </w:trPr>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60" w:type="dxa"/>
            <w:vAlign w:val="bottom"/>
          </w:tcPr>
          <w:p>
            <w:pPr>
              <w:spacing w:after="0"/>
              <w:rPr>
                <w:sz w:val="2"/>
                <w:szCs w:val="2"/>
                <w:color w:val="auto"/>
              </w:rPr>
            </w:pPr>
          </w:p>
        </w:tc>
      </w:tr>
      <w:tr>
        <w:trPr>
          <w:trHeight w:val="214"/>
        </w:trPr>
        <w:tc>
          <w:tcPr>
            <w:tcW w:w="500" w:type="dxa"/>
            <w:vAlign w:val="bottom"/>
          </w:tcPr>
          <w:p>
            <w:pPr>
              <w:spacing w:after="0"/>
              <w:rPr>
                <w:sz w:val="18"/>
                <w:szCs w:val="18"/>
                <w:color w:val="auto"/>
              </w:rPr>
            </w:pPr>
          </w:p>
        </w:tc>
        <w:tc>
          <w:tcPr>
            <w:tcW w:w="1040" w:type="dxa"/>
            <w:vAlign w:val="bottom"/>
            <w:shd w:val="clear" w:color="auto" w:fill="001C71"/>
          </w:tcPr>
          <w:p>
            <w:pPr>
              <w:ind w:left="100"/>
              <w:spacing w:after="0"/>
              <w:rPr>
                <w:sz w:val="20"/>
                <w:szCs w:val="20"/>
                <w:color w:val="auto"/>
              </w:rPr>
            </w:pPr>
            <w:r>
              <w:rPr>
                <w:rFonts w:ascii="Arial" w:cs="Arial" w:eastAsia="Arial" w:hAnsi="Arial"/>
                <w:sz w:val="14"/>
                <w:szCs w:val="14"/>
                <w:b w:val="1"/>
                <w:bCs w:val="1"/>
                <w:color w:val="FFFFFF"/>
              </w:rPr>
              <w:t>Proposal</w:t>
            </w:r>
          </w:p>
        </w:tc>
        <w:tc>
          <w:tcPr>
            <w:tcW w:w="9460" w:type="dxa"/>
            <w:vAlign w:val="bottom"/>
            <w:shd w:val="clear" w:color="auto" w:fill="001C71"/>
          </w:tcPr>
          <w:p>
            <w:pPr>
              <w:ind w:left="260"/>
              <w:spacing w:after="0"/>
              <w:rPr>
                <w:sz w:val="20"/>
                <w:szCs w:val="20"/>
                <w:color w:val="auto"/>
              </w:rPr>
            </w:pPr>
            <w:r>
              <w:rPr>
                <w:rFonts w:ascii="Arial" w:cs="Arial" w:eastAsia="Arial" w:hAnsi="Arial"/>
                <w:sz w:val="14"/>
                <w:szCs w:val="14"/>
                <w:b w:val="1"/>
                <w:bCs w:val="1"/>
                <w:color w:val="FFFFFF"/>
              </w:rPr>
              <w:t>Vote Required for Approval</w:t>
            </w:r>
          </w:p>
        </w:tc>
      </w:tr>
      <w:tr>
        <w:trPr>
          <w:trHeight w:val="69"/>
        </w:trPr>
        <w:tc>
          <w:tcPr>
            <w:tcW w:w="500" w:type="dxa"/>
            <w:vAlign w:val="bottom"/>
          </w:tcPr>
          <w:p>
            <w:pPr>
              <w:spacing w:after="0"/>
              <w:rPr>
                <w:sz w:val="6"/>
                <w:szCs w:val="6"/>
                <w:color w:val="auto"/>
              </w:rPr>
            </w:pPr>
          </w:p>
        </w:tc>
        <w:tc>
          <w:tcPr>
            <w:tcW w:w="1040" w:type="dxa"/>
            <w:vAlign w:val="bottom"/>
            <w:shd w:val="clear" w:color="auto" w:fill="001C71"/>
          </w:tcPr>
          <w:p>
            <w:pPr>
              <w:spacing w:after="0"/>
              <w:rPr>
                <w:sz w:val="6"/>
                <w:szCs w:val="6"/>
                <w:color w:val="auto"/>
              </w:rPr>
            </w:pPr>
          </w:p>
        </w:tc>
        <w:tc>
          <w:tcPr>
            <w:tcW w:w="9460" w:type="dxa"/>
            <w:vAlign w:val="bottom"/>
            <w:shd w:val="clear" w:color="auto" w:fill="001C71"/>
          </w:tcPr>
          <w:p>
            <w:pPr>
              <w:spacing w:after="0"/>
              <w:rPr>
                <w:sz w:val="6"/>
                <w:szCs w:val="6"/>
                <w:color w:val="auto"/>
              </w:rPr>
            </w:pPr>
          </w:p>
        </w:tc>
      </w:tr>
      <w:tr>
        <w:trPr>
          <w:trHeight w:val="208"/>
        </w:trPr>
        <w:tc>
          <w:tcPr>
            <w:tcW w:w="50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4"/>
                <w:szCs w:val="14"/>
                <w:color w:val="auto"/>
              </w:rPr>
              <w:t>Proposal 1</w:t>
            </w:r>
          </w:p>
        </w:tc>
        <w:tc>
          <w:tcPr>
            <w:tcW w:w="9460" w:type="dxa"/>
            <w:vAlign w:val="bottom"/>
          </w:tcPr>
          <w:p>
            <w:pPr>
              <w:ind w:left="260"/>
              <w:spacing w:after="0"/>
              <w:rPr>
                <w:sz w:val="20"/>
                <w:szCs w:val="20"/>
                <w:color w:val="auto"/>
              </w:rPr>
            </w:pPr>
            <w:r>
              <w:rPr>
                <w:rFonts w:ascii="Arial" w:cs="Arial" w:eastAsia="Arial" w:hAnsi="Arial"/>
                <w:sz w:val="14"/>
                <w:szCs w:val="14"/>
                <w:color w:val="auto"/>
              </w:rPr>
              <w:t>Each director nominee must receive the affirmative vote of a majority of the votes cast on his or her election to hold office until the 2029 AGM</w:t>
            </w:r>
          </w:p>
        </w:tc>
      </w:tr>
      <w:tr>
        <w:trPr>
          <w:trHeight w:val="22"/>
        </w:trPr>
        <w:tc>
          <w:tcPr>
            <w:tcW w:w="500" w:type="dxa"/>
            <w:vAlign w:val="bottom"/>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9460" w:type="dxa"/>
            <w:vAlign w:val="bottom"/>
            <w:tcBorders>
              <w:bottom w:val="single" w:sz="8" w:color="5673B8"/>
            </w:tcBorders>
          </w:tcPr>
          <w:p>
            <w:pPr>
              <w:spacing w:after="0" w:line="20" w:lineRule="exact"/>
              <w:rPr>
                <w:sz w:val="1"/>
                <w:szCs w:val="1"/>
                <w:color w:val="auto"/>
              </w:rPr>
            </w:pPr>
          </w:p>
        </w:tc>
      </w:tr>
      <w:tr>
        <w:trPr>
          <w:trHeight w:val="201"/>
        </w:trPr>
        <w:tc>
          <w:tcPr>
            <w:tcW w:w="50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4"/>
                <w:szCs w:val="14"/>
                <w:color w:val="auto"/>
              </w:rPr>
              <w:t>Proposal 2</w:t>
            </w:r>
          </w:p>
        </w:tc>
        <w:tc>
          <w:tcPr>
            <w:tcW w:w="9460" w:type="dxa"/>
            <w:vAlign w:val="bottom"/>
          </w:tcPr>
          <w:p>
            <w:pPr>
              <w:ind w:left="260"/>
              <w:spacing w:after="0"/>
              <w:rPr>
                <w:sz w:val="20"/>
                <w:szCs w:val="20"/>
                <w:color w:val="auto"/>
              </w:rPr>
            </w:pPr>
            <w:r>
              <w:rPr>
                <w:rFonts w:ascii="Arial" w:cs="Arial" w:eastAsia="Arial" w:hAnsi="Arial"/>
                <w:sz w:val="14"/>
                <w:szCs w:val="14"/>
                <w:color w:val="auto"/>
              </w:rPr>
              <w:t>Affirmative vote of a majority of the votes cast</w:t>
            </w:r>
          </w:p>
        </w:tc>
      </w:tr>
      <w:tr>
        <w:trPr>
          <w:trHeight w:val="22"/>
        </w:trPr>
        <w:tc>
          <w:tcPr>
            <w:tcW w:w="500" w:type="dxa"/>
            <w:vAlign w:val="bottom"/>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9460" w:type="dxa"/>
            <w:vAlign w:val="bottom"/>
            <w:tcBorders>
              <w:bottom w:val="single" w:sz="8" w:color="5673B8"/>
            </w:tcBorders>
          </w:tcPr>
          <w:p>
            <w:pPr>
              <w:spacing w:after="0" w:line="20" w:lineRule="exact"/>
              <w:rPr>
                <w:sz w:val="1"/>
                <w:szCs w:val="1"/>
                <w:color w:val="auto"/>
              </w:rPr>
            </w:pPr>
          </w:p>
        </w:tc>
      </w:tr>
      <w:tr>
        <w:trPr>
          <w:trHeight w:val="202"/>
        </w:trPr>
        <w:tc>
          <w:tcPr>
            <w:tcW w:w="50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4"/>
                <w:szCs w:val="14"/>
                <w:color w:val="auto"/>
              </w:rPr>
              <w:t>Proposal 3</w:t>
            </w:r>
          </w:p>
        </w:tc>
        <w:tc>
          <w:tcPr>
            <w:tcW w:w="9460" w:type="dxa"/>
            <w:vAlign w:val="bottom"/>
          </w:tcPr>
          <w:p>
            <w:pPr>
              <w:ind w:left="260"/>
              <w:spacing w:after="0"/>
              <w:rPr>
                <w:sz w:val="20"/>
                <w:szCs w:val="20"/>
                <w:color w:val="auto"/>
              </w:rPr>
            </w:pPr>
            <w:r>
              <w:rPr>
                <w:rFonts w:ascii="Arial" w:cs="Arial" w:eastAsia="Arial" w:hAnsi="Arial"/>
                <w:sz w:val="14"/>
                <w:szCs w:val="14"/>
                <w:color w:val="auto"/>
              </w:rPr>
              <w:t>Affirmative vote of a majority of the votes cast</w:t>
            </w:r>
          </w:p>
        </w:tc>
      </w:tr>
      <w:tr>
        <w:trPr>
          <w:trHeight w:val="22"/>
        </w:trPr>
        <w:tc>
          <w:tcPr>
            <w:tcW w:w="500" w:type="dxa"/>
            <w:vAlign w:val="bottom"/>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9460" w:type="dxa"/>
            <w:vAlign w:val="bottom"/>
            <w:tcBorders>
              <w:bottom w:val="single" w:sz="8" w:color="5673B8"/>
            </w:tcBorders>
          </w:tcPr>
          <w:p>
            <w:pPr>
              <w:spacing w:after="0" w:line="20" w:lineRule="exact"/>
              <w:rPr>
                <w:sz w:val="1"/>
                <w:szCs w:val="1"/>
                <w:color w:val="auto"/>
              </w:rPr>
            </w:pPr>
          </w:p>
        </w:tc>
      </w:tr>
      <w:tr>
        <w:trPr>
          <w:trHeight w:val="201"/>
        </w:trPr>
        <w:tc>
          <w:tcPr>
            <w:tcW w:w="50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4"/>
                <w:szCs w:val="14"/>
                <w:color w:val="auto"/>
              </w:rPr>
              <w:t>Proposal 4</w:t>
            </w:r>
          </w:p>
        </w:tc>
        <w:tc>
          <w:tcPr>
            <w:tcW w:w="9460" w:type="dxa"/>
            <w:vAlign w:val="bottom"/>
          </w:tcPr>
          <w:p>
            <w:pPr>
              <w:ind w:left="260"/>
              <w:spacing w:after="0"/>
              <w:rPr>
                <w:sz w:val="20"/>
                <w:szCs w:val="20"/>
                <w:color w:val="auto"/>
              </w:rPr>
            </w:pPr>
            <w:r>
              <w:rPr>
                <w:rFonts w:ascii="Arial" w:cs="Arial" w:eastAsia="Arial" w:hAnsi="Arial"/>
                <w:sz w:val="14"/>
                <w:szCs w:val="14"/>
                <w:color w:val="auto"/>
              </w:rPr>
              <w:t>Affirmative vote of a majority of the votes cast</w:t>
            </w:r>
          </w:p>
        </w:tc>
      </w:tr>
      <w:tr>
        <w:trPr>
          <w:trHeight w:val="22"/>
        </w:trPr>
        <w:tc>
          <w:tcPr>
            <w:tcW w:w="500" w:type="dxa"/>
            <w:vAlign w:val="bottom"/>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9460" w:type="dxa"/>
            <w:vAlign w:val="bottom"/>
            <w:tcBorders>
              <w:bottom w:val="single" w:sz="8" w:color="5673B8"/>
            </w:tcBorders>
          </w:tcPr>
          <w:p>
            <w:pPr>
              <w:spacing w:after="0" w:line="20" w:lineRule="exact"/>
              <w:rPr>
                <w:sz w:val="1"/>
                <w:szCs w:val="1"/>
                <w:color w:val="auto"/>
              </w:rPr>
            </w:pPr>
          </w:p>
        </w:tc>
      </w:tr>
      <w:tr>
        <w:trPr>
          <w:trHeight w:val="201"/>
        </w:trPr>
        <w:tc>
          <w:tcPr>
            <w:tcW w:w="50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4"/>
                <w:szCs w:val="14"/>
                <w:color w:val="auto"/>
              </w:rPr>
              <w:t>Proposal 5</w:t>
            </w:r>
          </w:p>
        </w:tc>
        <w:tc>
          <w:tcPr>
            <w:tcW w:w="9460" w:type="dxa"/>
            <w:vAlign w:val="bottom"/>
          </w:tcPr>
          <w:p>
            <w:pPr>
              <w:ind w:left="260"/>
              <w:spacing w:after="0"/>
              <w:rPr>
                <w:sz w:val="20"/>
                <w:szCs w:val="20"/>
                <w:color w:val="auto"/>
              </w:rPr>
            </w:pPr>
            <w:r>
              <w:rPr>
                <w:rFonts w:ascii="Arial" w:cs="Arial" w:eastAsia="Arial" w:hAnsi="Arial"/>
                <w:sz w:val="14"/>
                <w:szCs w:val="14"/>
                <w:color w:val="auto"/>
              </w:rPr>
              <w:t>Affirmative vote of 75% of the votes cast</w:t>
            </w:r>
          </w:p>
        </w:tc>
      </w:tr>
      <w:tr>
        <w:trPr>
          <w:trHeight w:val="22"/>
        </w:trPr>
        <w:tc>
          <w:tcPr>
            <w:tcW w:w="500" w:type="dxa"/>
            <w:vAlign w:val="bottom"/>
          </w:tcPr>
          <w:p>
            <w:pPr>
              <w:spacing w:after="0" w:line="20" w:lineRule="exact"/>
              <w:rPr>
                <w:sz w:val="1"/>
                <w:szCs w:val="1"/>
                <w:color w:val="auto"/>
              </w:rPr>
            </w:pPr>
          </w:p>
        </w:tc>
        <w:tc>
          <w:tcPr>
            <w:tcW w:w="1040" w:type="dxa"/>
            <w:vAlign w:val="bottom"/>
            <w:tcBorders>
              <w:bottom w:val="single" w:sz="8" w:color="5673B8"/>
            </w:tcBorders>
          </w:tcPr>
          <w:p>
            <w:pPr>
              <w:spacing w:after="0" w:line="20" w:lineRule="exact"/>
              <w:rPr>
                <w:sz w:val="1"/>
                <w:szCs w:val="1"/>
                <w:color w:val="auto"/>
              </w:rPr>
            </w:pPr>
          </w:p>
        </w:tc>
        <w:tc>
          <w:tcPr>
            <w:tcW w:w="9460" w:type="dxa"/>
            <w:vAlign w:val="bottom"/>
            <w:tcBorders>
              <w:bottom w:val="single" w:sz="8" w:color="5673B8"/>
            </w:tcBorders>
          </w:tcPr>
          <w:p>
            <w:pPr>
              <w:spacing w:after="0" w:line="20" w:lineRule="exact"/>
              <w:rPr>
                <w:sz w:val="1"/>
                <w:szCs w:val="1"/>
                <w:color w:val="auto"/>
              </w:rPr>
            </w:pPr>
          </w:p>
        </w:tc>
      </w:tr>
      <w:tr>
        <w:trPr>
          <w:trHeight w:val="201"/>
        </w:trPr>
        <w:tc>
          <w:tcPr>
            <w:tcW w:w="50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4"/>
                <w:szCs w:val="14"/>
                <w:color w:val="auto"/>
              </w:rPr>
              <w:t>Proposal 6</w:t>
            </w:r>
          </w:p>
        </w:tc>
        <w:tc>
          <w:tcPr>
            <w:tcW w:w="9460" w:type="dxa"/>
            <w:vAlign w:val="bottom"/>
          </w:tcPr>
          <w:p>
            <w:pPr>
              <w:ind w:left="260"/>
              <w:spacing w:after="0"/>
              <w:rPr>
                <w:sz w:val="20"/>
                <w:szCs w:val="20"/>
                <w:color w:val="auto"/>
              </w:rPr>
            </w:pPr>
            <w:r>
              <w:rPr>
                <w:rFonts w:ascii="Arial" w:cs="Arial" w:eastAsia="Arial" w:hAnsi="Arial"/>
                <w:sz w:val="14"/>
                <w:szCs w:val="14"/>
                <w:color w:val="auto"/>
              </w:rPr>
              <w:t>Affirmative vote of a majority of the votes cast</w:t>
            </w:r>
          </w:p>
        </w:tc>
      </w:tr>
      <w:tr>
        <w:trPr>
          <w:trHeight w:val="22"/>
        </w:trPr>
        <w:tc>
          <w:tcPr>
            <w:tcW w:w="500" w:type="dxa"/>
            <w:vAlign w:val="bottom"/>
          </w:tcPr>
          <w:p>
            <w:pPr>
              <w:spacing w:after="0" w:line="20" w:lineRule="exact"/>
              <w:rPr>
                <w:sz w:val="1"/>
                <w:szCs w:val="1"/>
                <w:color w:val="auto"/>
              </w:rPr>
            </w:pPr>
          </w:p>
        </w:tc>
        <w:tc>
          <w:tcPr>
            <w:tcW w:w="1040" w:type="dxa"/>
            <w:vAlign w:val="bottom"/>
            <w:tcBorders>
              <w:bottom w:val="single" w:sz="8" w:color="852166"/>
            </w:tcBorders>
          </w:tcPr>
          <w:p>
            <w:pPr>
              <w:spacing w:after="0" w:line="20" w:lineRule="exact"/>
              <w:rPr>
                <w:sz w:val="1"/>
                <w:szCs w:val="1"/>
                <w:color w:val="auto"/>
              </w:rPr>
            </w:pPr>
          </w:p>
        </w:tc>
        <w:tc>
          <w:tcPr>
            <w:tcW w:w="9460" w:type="dxa"/>
            <w:vAlign w:val="bottom"/>
            <w:tcBorders>
              <w:bottom w:val="single" w:sz="8" w:color="852166"/>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560" w:type="dxa"/>
            <w:vAlign w:val="bottom"/>
          </w:tcPr>
          <w:p>
            <w:pPr>
              <w:ind w:left="240"/>
              <w:spacing w:after="0"/>
              <w:rPr>
                <w:sz w:val="20"/>
                <w:szCs w:val="20"/>
                <w:color w:val="auto"/>
              </w:rPr>
            </w:pPr>
            <w:r>
              <w:rPr>
                <w:rFonts w:ascii="Arial" w:cs="Arial" w:eastAsia="Arial" w:hAnsi="Arial"/>
                <w:sz w:val="25"/>
                <w:szCs w:val="25"/>
                <w:color w:val="852166"/>
              </w:rPr>
              <w:t>Q:</w:t>
            </w:r>
          </w:p>
        </w:tc>
        <w:tc>
          <w:tcPr>
            <w:tcW w:w="10680" w:type="dxa"/>
            <w:vAlign w:val="bottom"/>
          </w:tcPr>
          <w:p>
            <w:pPr>
              <w:ind w:left="200"/>
              <w:spacing w:after="0"/>
              <w:rPr>
                <w:sz w:val="20"/>
                <w:szCs w:val="20"/>
                <w:color w:val="auto"/>
              </w:rPr>
            </w:pPr>
            <w:r>
              <w:rPr>
                <w:rFonts w:ascii="Arial" w:cs="Arial" w:eastAsia="Arial" w:hAnsi="Arial"/>
                <w:sz w:val="25"/>
                <w:szCs w:val="25"/>
                <w:color w:val="852166"/>
              </w:rPr>
              <w:t>What are the treatment and effect of abstentions and broker non-votes?</w:t>
            </w:r>
          </w:p>
        </w:tc>
      </w:tr>
      <w:tr>
        <w:trPr>
          <w:trHeight w:val="313"/>
        </w:trPr>
        <w:tc>
          <w:tcPr>
            <w:tcW w:w="560" w:type="dxa"/>
            <w:vAlign w:val="bottom"/>
          </w:tcPr>
          <w:p>
            <w:pPr>
              <w:ind w:left="260"/>
              <w:spacing w:after="0"/>
              <w:rPr>
                <w:sz w:val="20"/>
                <w:szCs w:val="20"/>
                <w:color w:val="auto"/>
              </w:rPr>
            </w:pPr>
            <w:r>
              <w:rPr>
                <w:rFonts w:ascii="Arial" w:cs="Arial" w:eastAsia="Arial" w:hAnsi="Arial"/>
                <w:sz w:val="25"/>
                <w:szCs w:val="25"/>
                <w:color w:val="636466"/>
              </w:rPr>
              <w:t>A:</w:t>
            </w:r>
          </w:p>
        </w:tc>
        <w:tc>
          <w:tcPr>
            <w:tcW w:w="10680" w:type="dxa"/>
            <w:vAlign w:val="bottom"/>
          </w:tcPr>
          <w:p>
            <w:pPr>
              <w:ind w:left="200"/>
              <w:spacing w:after="0"/>
              <w:rPr>
                <w:sz w:val="20"/>
                <w:szCs w:val="20"/>
                <w:color w:val="auto"/>
              </w:rPr>
            </w:pPr>
            <w:r>
              <w:rPr>
                <w:rFonts w:ascii="Arial" w:cs="Arial" w:eastAsia="Arial" w:hAnsi="Arial"/>
                <w:sz w:val="16"/>
                <w:szCs w:val="16"/>
                <w:color w:val="auto"/>
              </w:rPr>
              <w:t>Abstentions and broker non-votes will be treated as shares present for purposes of determining the presence of a quorum for the transaction of</w:t>
            </w:r>
          </w:p>
        </w:tc>
      </w:tr>
      <w:tr>
        <w:trPr>
          <w:trHeight w:val="200"/>
        </w:trPr>
        <w:tc>
          <w:tcPr>
            <w:tcW w:w="560" w:type="dxa"/>
            <w:vAlign w:val="bottom"/>
          </w:tcPr>
          <w:p>
            <w:pPr>
              <w:spacing w:after="0"/>
              <w:rPr>
                <w:sz w:val="17"/>
                <w:szCs w:val="17"/>
                <w:color w:val="auto"/>
              </w:rPr>
            </w:pPr>
          </w:p>
        </w:tc>
        <w:tc>
          <w:tcPr>
            <w:tcW w:w="10680" w:type="dxa"/>
            <w:vAlign w:val="bottom"/>
          </w:tcPr>
          <w:p>
            <w:pPr>
              <w:ind w:left="200"/>
              <w:spacing w:after="0"/>
              <w:rPr>
                <w:sz w:val="20"/>
                <w:szCs w:val="20"/>
                <w:color w:val="auto"/>
              </w:rPr>
            </w:pPr>
            <w:r>
              <w:rPr>
                <w:rFonts w:ascii="Arial" w:cs="Arial" w:eastAsia="Arial" w:hAnsi="Arial"/>
                <w:sz w:val="16"/>
                <w:szCs w:val="16"/>
                <w:color w:val="auto"/>
              </w:rPr>
              <w:t>business at our 2026 AGM. Abstentions and broker non-votes will not, however, be considered votes cast at our 2026 AGM. Because the</w:t>
            </w:r>
          </w:p>
        </w:tc>
      </w:tr>
      <w:tr>
        <w:trPr>
          <w:trHeight w:val="215"/>
        </w:trPr>
        <w:tc>
          <w:tcPr>
            <w:tcW w:w="560" w:type="dxa"/>
            <w:vAlign w:val="bottom"/>
          </w:tcPr>
          <w:p>
            <w:pPr>
              <w:spacing w:after="0"/>
              <w:rPr>
                <w:sz w:val="18"/>
                <w:szCs w:val="18"/>
                <w:color w:val="auto"/>
              </w:rPr>
            </w:pPr>
          </w:p>
        </w:tc>
        <w:tc>
          <w:tcPr>
            <w:tcW w:w="10680" w:type="dxa"/>
            <w:vAlign w:val="bottom"/>
          </w:tcPr>
          <w:p>
            <w:pPr>
              <w:ind w:left="200"/>
              <w:spacing w:after="0"/>
              <w:rPr>
                <w:sz w:val="20"/>
                <w:szCs w:val="20"/>
                <w:color w:val="auto"/>
              </w:rPr>
            </w:pPr>
            <w:r>
              <w:rPr>
                <w:rFonts w:ascii="Arial" w:cs="Arial" w:eastAsia="Arial" w:hAnsi="Arial"/>
                <w:sz w:val="16"/>
                <w:szCs w:val="16"/>
                <w:color w:val="auto"/>
              </w:rPr>
              <w:t>approval of all of the proposals is based on the votes cast at our 2026 AGM, abstentions and, as applicable, broker non-votes will not have any</w:t>
            </w:r>
          </w:p>
        </w:tc>
      </w:tr>
      <w:tr>
        <w:trPr>
          <w:trHeight w:val="216"/>
        </w:trPr>
        <w:tc>
          <w:tcPr>
            <w:tcW w:w="560" w:type="dxa"/>
            <w:vAlign w:val="bottom"/>
          </w:tcPr>
          <w:p>
            <w:pPr>
              <w:spacing w:after="0"/>
              <w:rPr>
                <w:sz w:val="18"/>
                <w:szCs w:val="18"/>
                <w:color w:val="auto"/>
              </w:rPr>
            </w:pPr>
          </w:p>
        </w:tc>
        <w:tc>
          <w:tcPr>
            <w:tcW w:w="10680" w:type="dxa"/>
            <w:vAlign w:val="bottom"/>
          </w:tcPr>
          <w:p>
            <w:pPr>
              <w:ind w:left="200"/>
              <w:spacing w:after="0"/>
              <w:rPr>
                <w:sz w:val="20"/>
                <w:szCs w:val="20"/>
                <w:color w:val="auto"/>
              </w:rPr>
            </w:pPr>
            <w:r>
              <w:rPr>
                <w:rFonts w:ascii="Arial" w:cs="Arial" w:eastAsia="Arial" w:hAnsi="Arial"/>
                <w:sz w:val="16"/>
                <w:szCs w:val="16"/>
                <w:color w:val="auto"/>
              </w:rPr>
              <w:t>effect on the outcome of voting on the proposals.</w:t>
            </w:r>
          </w:p>
        </w:tc>
      </w:tr>
      <w:tr>
        <w:trPr>
          <w:trHeight w:val="621"/>
        </w:trPr>
        <w:tc>
          <w:tcPr>
            <w:tcW w:w="560" w:type="dxa"/>
            <w:vAlign w:val="bottom"/>
          </w:tcPr>
          <w:p>
            <w:pPr>
              <w:jc w:val="right"/>
              <w:ind w:right="126"/>
              <w:spacing w:after="0"/>
              <w:rPr>
                <w:sz w:val="20"/>
                <w:szCs w:val="20"/>
                <w:color w:val="auto"/>
              </w:rPr>
            </w:pPr>
            <w:r>
              <w:rPr>
                <w:rFonts w:ascii="Arial" w:cs="Arial" w:eastAsia="Arial" w:hAnsi="Arial"/>
                <w:sz w:val="18"/>
                <w:szCs w:val="18"/>
                <w:b w:val="1"/>
                <w:bCs w:val="1"/>
                <w:color w:val="852166"/>
                <w:w w:val="99"/>
              </w:rPr>
              <w:t>112</w:t>
            </w:r>
          </w:p>
        </w:tc>
        <w:tc>
          <w:tcPr>
            <w:tcW w:w="10680" w:type="dxa"/>
            <w:vAlign w:val="bottom"/>
          </w:tcPr>
          <w:p>
            <w:pPr>
              <w:ind w:left="80"/>
              <w:spacing w:after="0"/>
              <w:rPr>
                <w:sz w:val="20"/>
                <w:szCs w:val="20"/>
                <w:color w:val="auto"/>
              </w:rPr>
            </w:pPr>
            <w:r>
              <w:rPr>
                <w:rFonts w:ascii="Arial" w:cs="Arial" w:eastAsia="Arial" w:hAnsi="Arial"/>
                <w:sz w:val="14"/>
                <w:szCs w:val="14"/>
                <w:color w:val="636466"/>
              </w:rPr>
              <w:t>2026 PROXY STATEMENT</w:t>
            </w:r>
          </w:p>
        </w:tc>
      </w:tr>
      <w:tr>
        <w:trPr>
          <w:trHeight w:val="494"/>
        </w:trPr>
        <w:tc>
          <w:tcPr>
            <w:tcW w:w="560" w:type="dxa"/>
            <w:vAlign w:val="bottom"/>
            <w:tcBorders>
              <w:bottom w:val="single" w:sz="8" w:color="9A9A9A"/>
            </w:tcBorders>
          </w:tcPr>
          <w:p>
            <w:pPr>
              <w:spacing w:after="0"/>
              <w:rPr>
                <w:sz w:val="24"/>
                <w:szCs w:val="24"/>
                <w:color w:val="auto"/>
              </w:rPr>
            </w:pPr>
          </w:p>
        </w:tc>
        <w:tc>
          <w:tcPr>
            <w:tcW w:w="10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-513715</wp:posOffset>
            </wp:positionV>
            <wp:extent cx="1242695" cy="20574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376"/>
        </w:trPr>
        <w:tc>
          <w:tcPr>
            <w:tcW w:w="64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720" w:type="dxa"/>
            <w:vAlign w:val="bottom"/>
            <w:gridSpan w:val="2"/>
            <w:shd w:val="clear" w:color="auto" w:fill="852166"/>
          </w:tcPr>
          <w:p>
            <w:pPr>
              <w:jc w:val="right"/>
              <w:ind w:right="30"/>
              <w:spacing w:after="0"/>
              <w:rPr>
                <w:sz w:val="20"/>
                <w:szCs w:val="20"/>
                <w:color w:val="auto"/>
              </w:rPr>
            </w:pPr>
            <w:r>
              <w:rPr>
                <w:rFonts w:ascii="Arial" w:cs="Arial" w:eastAsia="Arial" w:hAnsi="Arial"/>
                <w:sz w:val="14"/>
                <w:szCs w:val="14"/>
                <w:b w:val="1"/>
                <w:bCs w:val="1"/>
                <w:color w:val="FFFFFF"/>
              </w:rPr>
              <w:t>QUESTIONS AND ANSWERS</w:t>
            </w:r>
          </w:p>
        </w:tc>
      </w:tr>
      <w:tr>
        <w:trPr>
          <w:trHeight w:val="70"/>
        </w:trPr>
        <w:tc>
          <w:tcPr>
            <w:tcW w:w="640" w:type="dxa"/>
            <w:vAlign w:val="bottom"/>
          </w:tcPr>
          <w:p>
            <w:pPr>
              <w:spacing w:after="0"/>
              <w:rPr>
                <w:sz w:val="6"/>
                <w:szCs w:val="6"/>
                <w:color w:val="auto"/>
              </w:rPr>
            </w:pPr>
          </w:p>
        </w:tc>
        <w:tc>
          <w:tcPr>
            <w:tcW w:w="7880" w:type="dxa"/>
            <w:vAlign w:val="bottom"/>
          </w:tcPr>
          <w:p>
            <w:pPr>
              <w:spacing w:after="0"/>
              <w:rPr>
                <w:sz w:val="6"/>
                <w:szCs w:val="6"/>
                <w:color w:val="auto"/>
              </w:rPr>
            </w:pPr>
          </w:p>
        </w:tc>
        <w:tc>
          <w:tcPr>
            <w:tcW w:w="2420" w:type="dxa"/>
            <w:vAlign w:val="bottom"/>
            <w:shd w:val="clear" w:color="auto" w:fill="852166"/>
          </w:tcPr>
          <w:p>
            <w:pPr>
              <w:spacing w:after="0"/>
              <w:rPr>
                <w:sz w:val="6"/>
                <w:szCs w:val="6"/>
                <w:color w:val="auto"/>
              </w:rPr>
            </w:pPr>
          </w:p>
        </w:tc>
        <w:tc>
          <w:tcPr>
            <w:tcW w:w="300" w:type="dxa"/>
            <w:vAlign w:val="bottom"/>
            <w:shd w:val="clear" w:color="auto" w:fill="852166"/>
          </w:tcPr>
          <w:p>
            <w:pPr>
              <w:spacing w:after="0"/>
              <w:rPr>
                <w:sz w:val="6"/>
                <w:szCs w:val="6"/>
                <w:color w:val="auto"/>
              </w:rPr>
            </w:pPr>
          </w:p>
        </w:tc>
      </w:tr>
      <w:tr>
        <w:trPr>
          <w:trHeight w:val="985"/>
        </w:trPr>
        <w:tc>
          <w:tcPr>
            <w:tcW w:w="640" w:type="dxa"/>
            <w:vAlign w:val="bottom"/>
          </w:tcPr>
          <w:p>
            <w:pPr>
              <w:ind w:left="240"/>
              <w:spacing w:after="0"/>
              <w:rPr>
                <w:sz w:val="20"/>
                <w:szCs w:val="20"/>
                <w:color w:val="auto"/>
              </w:rPr>
            </w:pPr>
            <w:r>
              <w:rPr>
                <w:rFonts w:ascii="Arial" w:cs="Arial" w:eastAsia="Arial" w:hAnsi="Arial"/>
                <w:sz w:val="25"/>
                <w:szCs w:val="25"/>
                <w:color w:val="852166"/>
              </w:rPr>
              <w:t>Q:</w:t>
            </w:r>
          </w:p>
        </w:tc>
        <w:tc>
          <w:tcPr>
            <w:tcW w:w="10300" w:type="dxa"/>
            <w:vAlign w:val="bottom"/>
            <w:gridSpan w:val="2"/>
          </w:tcPr>
          <w:p>
            <w:pPr>
              <w:ind w:left="120"/>
              <w:spacing w:after="0"/>
              <w:rPr>
                <w:sz w:val="20"/>
                <w:szCs w:val="20"/>
                <w:color w:val="auto"/>
              </w:rPr>
            </w:pPr>
            <w:r>
              <w:rPr>
                <w:rFonts w:ascii="Arial" w:cs="Arial" w:eastAsia="Arial" w:hAnsi="Arial"/>
                <w:sz w:val="25"/>
                <w:szCs w:val="25"/>
                <w:color w:val="852166"/>
              </w:rPr>
              <w:t>What is the quorum requirement?</w:t>
            </w:r>
          </w:p>
        </w:tc>
        <w:tc>
          <w:tcPr>
            <w:tcW w:w="300" w:type="dxa"/>
            <w:vAlign w:val="bottom"/>
          </w:tcPr>
          <w:p>
            <w:pPr>
              <w:spacing w:after="0"/>
              <w:rPr>
                <w:sz w:val="24"/>
                <w:szCs w:val="24"/>
                <w:color w:val="auto"/>
              </w:rPr>
            </w:pPr>
          </w:p>
        </w:tc>
      </w:tr>
      <w:tr>
        <w:trPr>
          <w:trHeight w:val="313"/>
        </w:trPr>
        <w:tc>
          <w:tcPr>
            <w:tcW w:w="640" w:type="dxa"/>
            <w:vAlign w:val="bottom"/>
          </w:tcPr>
          <w:p>
            <w:pPr>
              <w:ind w:left="260"/>
              <w:spacing w:after="0"/>
              <w:rPr>
                <w:sz w:val="20"/>
                <w:szCs w:val="20"/>
                <w:color w:val="auto"/>
              </w:rPr>
            </w:pPr>
            <w:r>
              <w:rPr>
                <w:rFonts w:ascii="Arial" w:cs="Arial" w:eastAsia="Arial" w:hAnsi="Arial"/>
                <w:sz w:val="25"/>
                <w:szCs w:val="25"/>
                <w:color w:val="636466"/>
              </w:rPr>
              <w:t>A:</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A quorum of shareholders is necessary to hold a valid AGM. A quorum will be present if shareholders holding a majority of the issued and</w:t>
            </w:r>
          </w:p>
        </w:tc>
        <w:tc>
          <w:tcPr>
            <w:tcW w:w="300" w:type="dxa"/>
            <w:vAlign w:val="bottom"/>
          </w:tcPr>
          <w:p>
            <w:pPr>
              <w:spacing w:after="0"/>
              <w:rPr>
                <w:sz w:val="24"/>
                <w:szCs w:val="24"/>
                <w:color w:val="auto"/>
              </w:rPr>
            </w:pPr>
          </w:p>
        </w:tc>
      </w:tr>
      <w:tr>
        <w:trPr>
          <w:trHeight w:val="200"/>
        </w:trPr>
        <w:tc>
          <w:tcPr>
            <w:tcW w:w="640" w:type="dxa"/>
            <w:vAlign w:val="bottom"/>
          </w:tcPr>
          <w:p>
            <w:pPr>
              <w:spacing w:after="0"/>
              <w:rPr>
                <w:sz w:val="17"/>
                <w:szCs w:val="17"/>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outstanding ordinary shares entitled to vote as of the record date are present at our 2026 AGM or represented by proxy. On the record date, there</w:t>
            </w:r>
          </w:p>
        </w:tc>
      </w:tr>
      <w:tr>
        <w:trPr>
          <w:trHeight w:val="215"/>
        </w:trPr>
        <w:tc>
          <w:tcPr>
            <w:tcW w:w="640" w:type="dxa"/>
            <w:vAlign w:val="bottom"/>
          </w:tcPr>
          <w:p>
            <w:pPr>
              <w:spacing w:after="0"/>
              <w:rPr>
                <w:sz w:val="18"/>
                <w:szCs w:val="18"/>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were 62,817,628 ordinary shares outstanding and entitled to vote. Your shares will be counted towards the quorum only if you submit a valid proxy</w:t>
            </w:r>
          </w:p>
        </w:tc>
      </w:tr>
      <w:tr>
        <w:trPr>
          <w:trHeight w:val="216"/>
        </w:trPr>
        <w:tc>
          <w:tcPr>
            <w:tcW w:w="640" w:type="dxa"/>
            <w:vAlign w:val="bottom"/>
          </w:tcPr>
          <w:p>
            <w:pPr>
              <w:spacing w:after="0"/>
              <w:rPr>
                <w:sz w:val="18"/>
                <w:szCs w:val="18"/>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(or if one is submitted on your behalf by your broker, bank or other agent) or, provided that you are a shareholder of record, if you vote in person</w:t>
            </w:r>
          </w:p>
        </w:tc>
      </w:tr>
      <w:tr>
        <w:trPr>
          <w:trHeight w:val="216"/>
        </w:trPr>
        <w:tc>
          <w:tcPr>
            <w:tcW w:w="640" w:type="dxa"/>
            <w:vAlign w:val="bottom"/>
          </w:tcPr>
          <w:p>
            <w:pPr>
              <w:spacing w:after="0"/>
              <w:rPr>
                <w:sz w:val="18"/>
                <w:szCs w:val="18"/>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at our 2025 AGM. Abstentions and broker non-votes will be counted towards the quorum requirement. If there is no quorum within one hour of the</w:t>
            </w:r>
          </w:p>
        </w:tc>
      </w:tr>
      <w:tr>
        <w:trPr>
          <w:trHeight w:val="216"/>
        </w:trPr>
        <w:tc>
          <w:tcPr>
            <w:tcW w:w="640" w:type="dxa"/>
            <w:vAlign w:val="bottom"/>
          </w:tcPr>
          <w:p>
            <w:pPr>
              <w:spacing w:after="0"/>
              <w:rPr>
                <w:sz w:val="18"/>
                <w:szCs w:val="18"/>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time scheduled for our 2026 AGM, our 2026 AGM will stand adjourned to August 31, 2026 at 9:30 a.m. local time at the same location, or such</w:t>
            </w:r>
          </w:p>
        </w:tc>
      </w:tr>
      <w:tr>
        <w:trPr>
          <w:trHeight w:val="216"/>
        </w:trPr>
        <w:tc>
          <w:tcPr>
            <w:tcW w:w="640" w:type="dxa"/>
            <w:vAlign w:val="bottom"/>
          </w:tcPr>
          <w:p>
            <w:pPr>
              <w:spacing w:after="0"/>
              <w:rPr>
                <w:sz w:val="18"/>
                <w:szCs w:val="18"/>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other time or place as our Board may determine.</w:t>
            </w:r>
          </w:p>
        </w:tc>
        <w:tc>
          <w:tcPr>
            <w:tcW w:w="300" w:type="dxa"/>
            <w:vAlign w:val="bottom"/>
          </w:tcPr>
          <w:p>
            <w:pPr>
              <w:spacing w:after="0"/>
              <w:rPr>
                <w:sz w:val="18"/>
                <w:szCs w:val="18"/>
                <w:color w:val="auto"/>
              </w:rPr>
            </w:pPr>
          </w:p>
        </w:tc>
      </w:tr>
      <w:tr>
        <w:trPr>
          <w:trHeight w:val="622"/>
        </w:trPr>
        <w:tc>
          <w:tcPr>
            <w:tcW w:w="640" w:type="dxa"/>
            <w:vAlign w:val="bottom"/>
          </w:tcPr>
          <w:p>
            <w:pPr>
              <w:ind w:left="240"/>
              <w:spacing w:after="0"/>
              <w:rPr>
                <w:sz w:val="20"/>
                <w:szCs w:val="20"/>
                <w:color w:val="auto"/>
              </w:rPr>
            </w:pPr>
            <w:r>
              <w:rPr>
                <w:rFonts w:ascii="Arial" w:cs="Arial" w:eastAsia="Arial" w:hAnsi="Arial"/>
                <w:sz w:val="25"/>
                <w:szCs w:val="25"/>
                <w:color w:val="852166"/>
              </w:rPr>
              <w:t>Q:</w:t>
            </w:r>
          </w:p>
        </w:tc>
        <w:tc>
          <w:tcPr>
            <w:tcW w:w="10300" w:type="dxa"/>
            <w:vAlign w:val="bottom"/>
            <w:gridSpan w:val="2"/>
          </w:tcPr>
          <w:p>
            <w:pPr>
              <w:ind w:left="120"/>
              <w:spacing w:after="0"/>
              <w:rPr>
                <w:sz w:val="20"/>
                <w:szCs w:val="20"/>
                <w:color w:val="auto"/>
              </w:rPr>
            </w:pPr>
            <w:r>
              <w:rPr>
                <w:rFonts w:ascii="Arial" w:cs="Arial" w:eastAsia="Arial" w:hAnsi="Arial"/>
                <w:sz w:val="25"/>
                <w:szCs w:val="25"/>
                <w:color w:val="852166"/>
              </w:rPr>
              <w:t>How can I find out the results of the voting at the 2026 AGM?</w:t>
            </w:r>
          </w:p>
        </w:tc>
        <w:tc>
          <w:tcPr>
            <w:tcW w:w="300" w:type="dxa"/>
            <w:vAlign w:val="bottom"/>
          </w:tcPr>
          <w:p>
            <w:pPr>
              <w:spacing w:after="0"/>
              <w:rPr>
                <w:sz w:val="24"/>
                <w:szCs w:val="24"/>
                <w:color w:val="auto"/>
              </w:rPr>
            </w:pPr>
          </w:p>
        </w:tc>
      </w:tr>
      <w:tr>
        <w:trPr>
          <w:trHeight w:val="313"/>
        </w:trPr>
        <w:tc>
          <w:tcPr>
            <w:tcW w:w="640" w:type="dxa"/>
            <w:vAlign w:val="bottom"/>
          </w:tcPr>
          <w:p>
            <w:pPr>
              <w:ind w:left="260"/>
              <w:spacing w:after="0"/>
              <w:rPr>
                <w:sz w:val="20"/>
                <w:szCs w:val="20"/>
                <w:color w:val="auto"/>
              </w:rPr>
            </w:pPr>
            <w:r>
              <w:rPr>
                <w:rFonts w:ascii="Arial" w:cs="Arial" w:eastAsia="Arial" w:hAnsi="Arial"/>
                <w:sz w:val="25"/>
                <w:szCs w:val="25"/>
                <w:color w:val="636466"/>
              </w:rPr>
              <w:t>A:</w:t>
            </w: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Preliminary voting results will be announced at our 2026 AGM. In addition, final voting results will be published in a Quarterly Report on Form 10-</w:t>
            </w:r>
          </w:p>
        </w:tc>
      </w:tr>
      <w:tr>
        <w:trPr>
          <w:trHeight w:val="200"/>
        </w:trPr>
        <w:tc>
          <w:tcPr>
            <w:tcW w:w="640" w:type="dxa"/>
            <w:vAlign w:val="bottom"/>
          </w:tcPr>
          <w:p>
            <w:pPr>
              <w:spacing w:after="0"/>
              <w:rPr>
                <w:sz w:val="17"/>
                <w:szCs w:val="17"/>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Q or a Current Report on Form 8-K that we expect to file with the SEC within four business days after our 2026 AGM. If final voting results are not</w:t>
            </w:r>
          </w:p>
        </w:tc>
      </w:tr>
      <w:tr>
        <w:trPr>
          <w:trHeight w:val="215"/>
        </w:trPr>
        <w:tc>
          <w:tcPr>
            <w:tcW w:w="640" w:type="dxa"/>
            <w:vAlign w:val="bottom"/>
          </w:tcPr>
          <w:p>
            <w:pPr>
              <w:spacing w:after="0"/>
              <w:rPr>
                <w:sz w:val="18"/>
                <w:szCs w:val="18"/>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available to us in time to file a Quarterly Report on Form 10-Q or a Current Report on Form 8-K within four business days after our 2026 AGM, we</w:t>
            </w:r>
          </w:p>
        </w:tc>
      </w:tr>
      <w:tr>
        <w:trPr>
          <w:trHeight w:val="216"/>
        </w:trPr>
        <w:tc>
          <w:tcPr>
            <w:tcW w:w="640" w:type="dxa"/>
            <w:vAlign w:val="bottom"/>
          </w:tcPr>
          <w:p>
            <w:pPr>
              <w:spacing w:after="0"/>
              <w:rPr>
                <w:sz w:val="18"/>
                <w:szCs w:val="18"/>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intend to file a Current Report on Form 8-K to publish preliminary results and, within four business days after the final results are known to us, file</w:t>
            </w:r>
          </w:p>
        </w:tc>
      </w:tr>
      <w:tr>
        <w:trPr>
          <w:trHeight w:val="216"/>
        </w:trPr>
        <w:tc>
          <w:tcPr>
            <w:tcW w:w="640" w:type="dxa"/>
            <w:vAlign w:val="bottom"/>
          </w:tcPr>
          <w:p>
            <w:pPr>
              <w:spacing w:after="0"/>
              <w:rPr>
                <w:sz w:val="18"/>
                <w:szCs w:val="18"/>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an additional Current Report on Form 8-K to publish the final results.</w:t>
            </w:r>
          </w:p>
        </w:tc>
        <w:tc>
          <w:tcPr>
            <w:tcW w:w="300" w:type="dxa"/>
            <w:vAlign w:val="bottom"/>
          </w:tcPr>
          <w:p>
            <w:pPr>
              <w:spacing w:after="0"/>
              <w:rPr>
                <w:sz w:val="18"/>
                <w:szCs w:val="18"/>
                <w:color w:val="auto"/>
              </w:rPr>
            </w:pPr>
          </w:p>
        </w:tc>
      </w:tr>
      <w:tr>
        <w:trPr>
          <w:trHeight w:val="622"/>
        </w:trPr>
        <w:tc>
          <w:tcPr>
            <w:tcW w:w="640" w:type="dxa"/>
            <w:vAlign w:val="bottom"/>
          </w:tcPr>
          <w:p>
            <w:pPr>
              <w:ind w:left="240"/>
              <w:spacing w:after="0"/>
              <w:rPr>
                <w:sz w:val="20"/>
                <w:szCs w:val="20"/>
                <w:color w:val="auto"/>
              </w:rPr>
            </w:pPr>
            <w:r>
              <w:rPr>
                <w:rFonts w:ascii="Arial" w:cs="Arial" w:eastAsia="Arial" w:hAnsi="Arial"/>
                <w:sz w:val="25"/>
                <w:szCs w:val="25"/>
                <w:color w:val="852166"/>
              </w:rPr>
              <w:t>Q:</w:t>
            </w:r>
          </w:p>
        </w:tc>
        <w:tc>
          <w:tcPr>
            <w:tcW w:w="10300" w:type="dxa"/>
            <w:vAlign w:val="bottom"/>
            <w:gridSpan w:val="2"/>
          </w:tcPr>
          <w:p>
            <w:pPr>
              <w:ind w:left="120"/>
              <w:spacing w:after="0"/>
              <w:rPr>
                <w:sz w:val="20"/>
                <w:szCs w:val="20"/>
                <w:color w:val="auto"/>
              </w:rPr>
            </w:pPr>
            <w:r>
              <w:rPr>
                <w:rFonts w:ascii="Arial" w:cs="Arial" w:eastAsia="Arial" w:hAnsi="Arial"/>
                <w:sz w:val="25"/>
                <w:szCs w:val="25"/>
                <w:color w:val="852166"/>
              </w:rPr>
              <w:t>What are the Irish statutory financial statements and where can I access them?</w:t>
            </w:r>
          </w:p>
        </w:tc>
        <w:tc>
          <w:tcPr>
            <w:tcW w:w="300" w:type="dxa"/>
            <w:vAlign w:val="bottom"/>
          </w:tcPr>
          <w:p>
            <w:pPr>
              <w:spacing w:after="0"/>
              <w:rPr>
                <w:sz w:val="24"/>
                <w:szCs w:val="24"/>
                <w:color w:val="auto"/>
              </w:rPr>
            </w:pPr>
          </w:p>
        </w:tc>
      </w:tr>
      <w:tr>
        <w:trPr>
          <w:trHeight w:val="313"/>
        </w:trPr>
        <w:tc>
          <w:tcPr>
            <w:tcW w:w="640" w:type="dxa"/>
            <w:vAlign w:val="bottom"/>
          </w:tcPr>
          <w:p>
            <w:pPr>
              <w:ind w:left="260"/>
              <w:spacing w:after="0"/>
              <w:rPr>
                <w:sz w:val="20"/>
                <w:szCs w:val="20"/>
                <w:color w:val="auto"/>
              </w:rPr>
            </w:pPr>
            <w:r>
              <w:rPr>
                <w:rFonts w:ascii="Arial" w:cs="Arial" w:eastAsia="Arial" w:hAnsi="Arial"/>
                <w:sz w:val="25"/>
                <w:szCs w:val="25"/>
                <w:color w:val="636466"/>
              </w:rPr>
              <w:t>A:</w:t>
            </w: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We are presenting for consideration our Irish statutory financial statements, and the respective reports of our directors and our auditors thereon, at</w:t>
            </w:r>
          </w:p>
        </w:tc>
      </w:tr>
      <w:tr>
        <w:trPr>
          <w:trHeight w:val="200"/>
        </w:trPr>
        <w:tc>
          <w:tcPr>
            <w:tcW w:w="640" w:type="dxa"/>
            <w:vAlign w:val="bottom"/>
          </w:tcPr>
          <w:p>
            <w:pPr>
              <w:spacing w:after="0"/>
              <w:rPr>
                <w:sz w:val="17"/>
                <w:szCs w:val="17"/>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our 2026 AGM. Since we are an Irish company, we are required to prepare Irish statutory financial statements under applicable Irish company law</w:t>
            </w:r>
          </w:p>
        </w:tc>
      </w:tr>
      <w:tr>
        <w:trPr>
          <w:trHeight w:val="215"/>
        </w:trPr>
        <w:tc>
          <w:tcPr>
            <w:tcW w:w="640" w:type="dxa"/>
            <w:vAlign w:val="bottom"/>
          </w:tcPr>
          <w:p>
            <w:pPr>
              <w:spacing w:after="0"/>
              <w:rPr>
                <w:sz w:val="18"/>
                <w:szCs w:val="18"/>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and to deliver those financial statements together with the respective reports of the directors and the auditors thereon to shareholders of record in</w:t>
            </w:r>
          </w:p>
        </w:tc>
      </w:tr>
      <w:tr>
        <w:trPr>
          <w:trHeight w:val="216"/>
        </w:trPr>
        <w:tc>
          <w:tcPr>
            <w:tcW w:w="640" w:type="dxa"/>
            <w:vAlign w:val="bottom"/>
          </w:tcPr>
          <w:p>
            <w:pPr>
              <w:spacing w:after="0"/>
              <w:rPr>
                <w:sz w:val="18"/>
                <w:szCs w:val="18"/>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connection with our 2026 AGM. The Irish statutory financial statements cover the results of operations and financial position of our Company for</w:t>
            </w:r>
          </w:p>
        </w:tc>
      </w:tr>
      <w:tr>
        <w:trPr>
          <w:trHeight w:val="216"/>
        </w:trPr>
        <w:tc>
          <w:tcPr>
            <w:tcW w:w="640" w:type="dxa"/>
            <w:vAlign w:val="bottom"/>
          </w:tcPr>
          <w:p>
            <w:pPr>
              <w:spacing w:after="0"/>
              <w:rPr>
                <w:sz w:val="18"/>
                <w:szCs w:val="18"/>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the year ended December 31, 2025. The Irish statutory financial statements were prepared in accordance with the International Financial</w:t>
            </w:r>
          </w:p>
        </w:tc>
        <w:tc>
          <w:tcPr>
            <w:tcW w:w="3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Reporting Standards as adopted by the European Union and as applied in accordance with the 2014 Act. There is no requirement under Irish law</w:t>
            </w:r>
          </w:p>
        </w:tc>
      </w:tr>
      <w:tr>
        <w:trPr>
          <w:trHeight w:val="216"/>
        </w:trPr>
        <w:tc>
          <w:tcPr>
            <w:tcW w:w="640" w:type="dxa"/>
            <w:vAlign w:val="bottom"/>
          </w:tcPr>
          <w:p>
            <w:pPr>
              <w:spacing w:after="0"/>
              <w:rPr>
                <w:sz w:val="18"/>
                <w:szCs w:val="18"/>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that the Irish statutory financial statements be approved by the shareholders, and no such approval will be sought at our 2026 AGM.</w:t>
            </w:r>
          </w:p>
        </w:tc>
        <w:tc>
          <w:tcPr>
            <w:tcW w:w="300" w:type="dxa"/>
            <w:vAlign w:val="bottom"/>
          </w:tcPr>
          <w:p>
            <w:pPr>
              <w:spacing w:after="0"/>
              <w:rPr>
                <w:sz w:val="18"/>
                <w:szCs w:val="18"/>
                <w:color w:val="auto"/>
              </w:rPr>
            </w:pPr>
          </w:p>
        </w:tc>
      </w:tr>
      <w:tr>
        <w:trPr>
          <w:trHeight w:val="378"/>
        </w:trPr>
        <w:tc>
          <w:tcPr>
            <w:tcW w:w="640" w:type="dxa"/>
            <w:vAlign w:val="bottom"/>
          </w:tcPr>
          <w:p>
            <w:pPr>
              <w:spacing w:after="0"/>
              <w:rPr>
                <w:sz w:val="24"/>
                <w:szCs w:val="24"/>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Our Irish statutory financial statements, and the respective reports of the directors and the auditors thereon, will be delivered to shareholders of</w:t>
            </w:r>
          </w:p>
        </w:tc>
      </w:tr>
      <w:tr>
        <w:trPr>
          <w:trHeight w:val="216"/>
        </w:trPr>
        <w:tc>
          <w:tcPr>
            <w:tcW w:w="640" w:type="dxa"/>
            <w:vAlign w:val="bottom"/>
          </w:tcPr>
          <w:p>
            <w:pPr>
              <w:spacing w:after="0"/>
              <w:rPr>
                <w:sz w:val="18"/>
                <w:szCs w:val="18"/>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record in accordance with our obligations under Irish law. We will mail without charge, upon written request, a copy of the Irish statutory financial</w:t>
            </w:r>
          </w:p>
        </w:tc>
      </w:tr>
      <w:tr>
        <w:trPr>
          <w:trHeight w:val="216"/>
        </w:trPr>
        <w:tc>
          <w:tcPr>
            <w:tcW w:w="640" w:type="dxa"/>
            <w:vAlign w:val="bottom"/>
          </w:tcPr>
          <w:p>
            <w:pPr>
              <w:spacing w:after="0"/>
              <w:rPr>
                <w:sz w:val="18"/>
                <w:szCs w:val="18"/>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statements, together with the respective reports of our directors and our auditors thereon, to beneficial “street name” owners of our shares.</w:t>
            </w:r>
          </w:p>
        </w:tc>
        <w:tc>
          <w:tcPr>
            <w:tcW w:w="3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Requests should be sent to: Jazz Pharmaceuticals plc, Attention: Company Secretary, Fifth Floor, Waterloo Exchange, Waterloo Road, Dublin 4,</w:t>
            </w:r>
          </w:p>
        </w:tc>
      </w:tr>
      <w:tr>
        <w:trPr>
          <w:trHeight w:val="216"/>
        </w:trPr>
        <w:tc>
          <w:tcPr>
            <w:tcW w:w="640" w:type="dxa"/>
            <w:vAlign w:val="bottom"/>
          </w:tcPr>
          <w:p>
            <w:pPr>
              <w:spacing w:after="0"/>
              <w:rPr>
                <w:sz w:val="18"/>
                <w:szCs w:val="18"/>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Ireland.</w:t>
            </w:r>
          </w:p>
        </w:tc>
        <w:tc>
          <w:tcPr>
            <w:tcW w:w="300" w:type="dxa"/>
            <w:vAlign w:val="bottom"/>
          </w:tcPr>
          <w:p>
            <w:pPr>
              <w:spacing w:after="0"/>
              <w:rPr>
                <w:sz w:val="18"/>
                <w:szCs w:val="18"/>
                <w:color w:val="auto"/>
              </w:rPr>
            </w:pPr>
          </w:p>
        </w:tc>
      </w:tr>
      <w:tr>
        <w:trPr>
          <w:trHeight w:val="676"/>
        </w:trPr>
        <w:tc>
          <w:tcPr>
            <w:tcW w:w="640" w:type="dxa"/>
            <w:vAlign w:val="bottom"/>
          </w:tcPr>
          <w:p>
            <w:pPr>
              <w:ind w:left="240"/>
              <w:spacing w:after="0"/>
              <w:rPr>
                <w:sz w:val="20"/>
                <w:szCs w:val="20"/>
                <w:color w:val="auto"/>
              </w:rPr>
            </w:pPr>
            <w:r>
              <w:rPr>
                <w:rFonts w:ascii="Arial" w:cs="Arial" w:eastAsia="Arial" w:hAnsi="Arial"/>
                <w:sz w:val="25"/>
                <w:szCs w:val="25"/>
                <w:color w:val="852166"/>
              </w:rPr>
              <w:t>Q:</w:t>
            </w:r>
          </w:p>
        </w:tc>
        <w:tc>
          <w:tcPr>
            <w:tcW w:w="10300" w:type="dxa"/>
            <w:vAlign w:val="bottom"/>
            <w:gridSpan w:val="2"/>
          </w:tcPr>
          <w:p>
            <w:pPr>
              <w:ind w:left="120"/>
              <w:spacing w:after="0"/>
              <w:rPr>
                <w:sz w:val="20"/>
                <w:szCs w:val="20"/>
                <w:color w:val="auto"/>
              </w:rPr>
            </w:pPr>
            <w:r>
              <w:rPr>
                <w:rFonts w:ascii="Arial" w:cs="Arial" w:eastAsia="Arial" w:hAnsi="Arial"/>
                <w:sz w:val="25"/>
                <w:szCs w:val="25"/>
                <w:color w:val="852166"/>
              </w:rPr>
              <w:t>What proxy materials are available on the internet?</w:t>
            </w:r>
          </w:p>
        </w:tc>
        <w:tc>
          <w:tcPr>
            <w:tcW w:w="300" w:type="dxa"/>
            <w:vAlign w:val="bottom"/>
          </w:tcPr>
          <w:p>
            <w:pPr>
              <w:spacing w:after="0"/>
              <w:rPr>
                <w:sz w:val="24"/>
                <w:szCs w:val="24"/>
                <w:color w:val="auto"/>
              </w:rPr>
            </w:pPr>
          </w:p>
        </w:tc>
      </w:tr>
      <w:tr>
        <w:trPr>
          <w:trHeight w:val="313"/>
        </w:trPr>
        <w:tc>
          <w:tcPr>
            <w:tcW w:w="640" w:type="dxa"/>
            <w:vAlign w:val="bottom"/>
          </w:tcPr>
          <w:p>
            <w:pPr>
              <w:ind w:left="260"/>
              <w:spacing w:after="0"/>
              <w:rPr>
                <w:sz w:val="20"/>
                <w:szCs w:val="20"/>
                <w:color w:val="auto"/>
              </w:rPr>
            </w:pPr>
            <w:r>
              <w:rPr>
                <w:rFonts w:ascii="Arial" w:cs="Arial" w:eastAsia="Arial" w:hAnsi="Arial"/>
                <w:sz w:val="25"/>
                <w:szCs w:val="25"/>
                <w:color w:val="636466"/>
              </w:rPr>
              <w:t>A:</w:t>
            </w: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Our proxy statement, our letter to shareholders and the 2025 Annual Report and our Irish financial statements for the fiscal year ended December</w:t>
            </w:r>
          </w:p>
        </w:tc>
      </w:tr>
      <w:tr>
        <w:trPr>
          <w:trHeight w:val="200"/>
        </w:trPr>
        <w:tc>
          <w:tcPr>
            <w:tcW w:w="640" w:type="dxa"/>
            <w:vAlign w:val="bottom"/>
          </w:tcPr>
          <w:p>
            <w:pPr>
              <w:spacing w:after="0"/>
              <w:rPr>
                <w:sz w:val="17"/>
                <w:szCs w:val="17"/>
                <w:color w:val="auto"/>
              </w:rPr>
            </w:pPr>
          </w:p>
        </w:tc>
        <w:tc>
          <w:tcPr>
            <w:tcW w:w="10600" w:type="dxa"/>
            <w:vAlign w:val="bottom"/>
            <w:gridSpan w:val="3"/>
          </w:tcPr>
          <w:p>
            <w:pPr>
              <w:ind w:left="120"/>
              <w:spacing w:after="0"/>
              <w:rPr>
                <w:sz w:val="20"/>
                <w:szCs w:val="20"/>
                <w:color w:val="auto"/>
              </w:rPr>
            </w:pPr>
            <w:r>
              <w:rPr>
                <w:rFonts w:ascii="Arial" w:cs="Arial" w:eastAsia="Arial" w:hAnsi="Arial"/>
                <w:sz w:val="16"/>
                <w:szCs w:val="16"/>
                <w:color w:val="auto"/>
              </w:rPr>
              <w:t xml:space="preserve">31, 2025 are available at https://materials.proxyvote.com/G50871. </w:t>
            </w:r>
            <w:r>
              <w:rPr>
                <w:rFonts w:ascii="Arial" w:cs="Arial" w:eastAsia="Arial" w:hAnsi="Arial"/>
                <w:sz w:val="16"/>
                <w:szCs w:val="16"/>
                <w:b w:val="1"/>
                <w:bCs w:val="1"/>
                <w:color w:val="001C71"/>
              </w:rPr>
              <w:t>In addition, we will mail without charge, upon written request, a copy of</w:t>
            </w:r>
          </w:p>
        </w:tc>
      </w:tr>
      <w:tr>
        <w:trPr>
          <w:trHeight w:val="216"/>
        </w:trPr>
        <w:tc>
          <w:tcPr>
            <w:tcW w:w="640" w:type="dxa"/>
            <w:vAlign w:val="bottom"/>
          </w:tcPr>
          <w:p>
            <w:pPr>
              <w:spacing w:after="0"/>
              <w:rPr>
                <w:sz w:val="18"/>
                <w:szCs w:val="18"/>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b w:val="1"/>
                <w:bCs w:val="1"/>
                <w:color w:val="001C71"/>
              </w:rPr>
              <w:t>our 2025 Annual Report on Form 10-K, including the consolidated financial statements, schedules and list of exhibits, and any</w:t>
            </w:r>
          </w:p>
        </w:tc>
        <w:tc>
          <w:tcPr>
            <w:tcW w:w="3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b w:val="1"/>
                <w:bCs w:val="1"/>
                <w:color w:val="001C71"/>
              </w:rPr>
              <w:t>particular exhibit specifically requested. Requests should be sent to: Jazz Pharmaceuticals plc, Attention: Aislinn Doody, Company</w:t>
            </w:r>
          </w:p>
        </w:tc>
        <w:tc>
          <w:tcPr>
            <w:tcW w:w="300" w:type="dxa"/>
            <w:vAlign w:val="bottom"/>
          </w:tcPr>
          <w:p>
            <w:pPr>
              <w:spacing w:after="0"/>
              <w:rPr>
                <w:sz w:val="18"/>
                <w:szCs w:val="18"/>
                <w:color w:val="auto"/>
              </w:rPr>
            </w:pPr>
          </w:p>
        </w:tc>
      </w:tr>
      <w:tr>
        <w:trPr>
          <w:trHeight w:val="223"/>
        </w:trPr>
        <w:tc>
          <w:tcPr>
            <w:tcW w:w="640" w:type="dxa"/>
            <w:vAlign w:val="bottom"/>
          </w:tcPr>
          <w:p>
            <w:pPr>
              <w:spacing w:after="0"/>
              <w:rPr>
                <w:sz w:val="19"/>
                <w:szCs w:val="19"/>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b w:val="1"/>
                <w:bCs w:val="1"/>
                <w:color w:val="001C71"/>
              </w:rPr>
              <w:t>Secretary, Fifth Floor, Waterloo Exchange, Waterloo Road, Dublin 4, Ireland.</w:t>
            </w:r>
          </w:p>
        </w:tc>
        <w:tc>
          <w:tcPr>
            <w:tcW w:w="300" w:type="dxa"/>
            <w:vAlign w:val="bottom"/>
          </w:tcPr>
          <w:p>
            <w:pPr>
              <w:spacing w:after="0"/>
              <w:rPr>
                <w:sz w:val="19"/>
                <w:szCs w:val="19"/>
                <w:color w:val="auto"/>
              </w:rPr>
            </w:pPr>
          </w:p>
        </w:tc>
      </w:tr>
      <w:tr>
        <w:trPr>
          <w:trHeight w:val="722"/>
        </w:trPr>
        <w:tc>
          <w:tcPr>
            <w:tcW w:w="640" w:type="dxa"/>
            <w:vAlign w:val="bottom"/>
          </w:tcPr>
          <w:p>
            <w:pPr>
              <w:ind w:left="240"/>
              <w:spacing w:after="0"/>
              <w:rPr>
                <w:sz w:val="20"/>
                <w:szCs w:val="20"/>
                <w:color w:val="auto"/>
              </w:rPr>
            </w:pPr>
            <w:r>
              <w:rPr>
                <w:rFonts w:ascii="Arial" w:cs="Arial" w:eastAsia="Arial" w:hAnsi="Arial"/>
                <w:sz w:val="25"/>
                <w:szCs w:val="25"/>
                <w:color w:val="852166"/>
              </w:rPr>
              <w:t>Q:</w:t>
            </w:r>
          </w:p>
        </w:tc>
        <w:tc>
          <w:tcPr>
            <w:tcW w:w="10300" w:type="dxa"/>
            <w:vAlign w:val="bottom"/>
            <w:gridSpan w:val="2"/>
          </w:tcPr>
          <w:p>
            <w:pPr>
              <w:ind w:left="120"/>
              <w:spacing w:after="0"/>
              <w:rPr>
                <w:sz w:val="20"/>
                <w:szCs w:val="20"/>
                <w:color w:val="auto"/>
              </w:rPr>
            </w:pPr>
            <w:r>
              <w:rPr>
                <w:rFonts w:ascii="Arial" w:cs="Arial" w:eastAsia="Arial" w:hAnsi="Arial"/>
                <w:sz w:val="25"/>
                <w:szCs w:val="25"/>
                <w:color w:val="852166"/>
              </w:rPr>
              <w:t>Who should I call if I have any questions?</w:t>
            </w:r>
          </w:p>
        </w:tc>
        <w:tc>
          <w:tcPr>
            <w:tcW w:w="300" w:type="dxa"/>
            <w:vAlign w:val="bottom"/>
          </w:tcPr>
          <w:p>
            <w:pPr>
              <w:spacing w:after="0"/>
              <w:rPr>
                <w:sz w:val="24"/>
                <w:szCs w:val="24"/>
                <w:color w:val="auto"/>
              </w:rPr>
            </w:pPr>
          </w:p>
        </w:tc>
      </w:tr>
      <w:tr>
        <w:trPr>
          <w:trHeight w:val="313"/>
        </w:trPr>
        <w:tc>
          <w:tcPr>
            <w:tcW w:w="640" w:type="dxa"/>
            <w:vAlign w:val="bottom"/>
          </w:tcPr>
          <w:p>
            <w:pPr>
              <w:ind w:left="260"/>
              <w:spacing w:after="0"/>
              <w:rPr>
                <w:sz w:val="20"/>
                <w:szCs w:val="20"/>
                <w:color w:val="auto"/>
              </w:rPr>
            </w:pPr>
            <w:r>
              <w:rPr>
                <w:rFonts w:ascii="Arial" w:cs="Arial" w:eastAsia="Arial" w:hAnsi="Arial"/>
                <w:sz w:val="25"/>
                <w:szCs w:val="25"/>
                <w:color w:val="636466"/>
              </w:rPr>
              <w:t>A:</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If you require any assistance with voting your shares or have any questions or have any other questions, please contact Alliance Advisors, our</w:t>
            </w:r>
          </w:p>
        </w:tc>
        <w:tc>
          <w:tcPr>
            <w:tcW w:w="300" w:type="dxa"/>
            <w:vAlign w:val="bottom"/>
          </w:tcPr>
          <w:p>
            <w:pPr>
              <w:spacing w:after="0"/>
              <w:rPr>
                <w:sz w:val="24"/>
                <w:szCs w:val="24"/>
                <w:color w:val="auto"/>
              </w:rPr>
            </w:pPr>
          </w:p>
        </w:tc>
      </w:tr>
      <w:tr>
        <w:trPr>
          <w:trHeight w:val="215"/>
        </w:trPr>
        <w:tc>
          <w:tcPr>
            <w:tcW w:w="640" w:type="dxa"/>
            <w:vAlign w:val="bottom"/>
          </w:tcPr>
          <w:p>
            <w:pPr>
              <w:spacing w:after="0"/>
              <w:rPr>
                <w:sz w:val="18"/>
                <w:szCs w:val="18"/>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proxy solicitor, toll-free at +1.833.202.1361, outside of the U.S. at +1.973.284.7477 or JAZZ@allianceadvisors.com.</w:t>
            </w:r>
          </w:p>
        </w:tc>
        <w:tc>
          <w:tcPr>
            <w:tcW w:w="300" w:type="dxa"/>
            <w:vAlign w:val="bottom"/>
          </w:tcPr>
          <w:p>
            <w:pPr>
              <w:spacing w:after="0"/>
              <w:rPr>
                <w:sz w:val="18"/>
                <w:szCs w:val="18"/>
                <w:color w:val="auto"/>
              </w:rPr>
            </w:pPr>
          </w:p>
        </w:tc>
      </w:tr>
      <w:tr>
        <w:trPr>
          <w:trHeight w:val="605"/>
        </w:trPr>
        <w:tc>
          <w:tcPr>
            <w:tcW w:w="64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420" w:type="dxa"/>
            <w:vAlign w:val="bottom"/>
          </w:tcPr>
          <w:p>
            <w:pPr>
              <w:ind w:left="320"/>
              <w:spacing w:after="0"/>
              <w:rPr>
                <w:sz w:val="20"/>
                <w:szCs w:val="20"/>
                <w:color w:val="auto"/>
              </w:rPr>
            </w:pPr>
            <w:r>
              <w:rPr>
                <w:rFonts w:ascii="Arial" w:cs="Arial" w:eastAsia="Arial" w:hAnsi="Arial"/>
                <w:sz w:val="14"/>
                <w:szCs w:val="14"/>
                <w:color w:val="636466"/>
              </w:rPr>
              <w:t>2026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852166"/>
                <w:w w:val="86"/>
              </w:rPr>
              <w:t>113</w:t>
            </w:r>
          </w:p>
        </w:tc>
      </w:tr>
      <w:tr>
        <w:trPr>
          <w:trHeight w:val="494"/>
        </w:trPr>
        <w:tc>
          <w:tcPr>
            <w:tcW w:w="640" w:type="dxa"/>
            <w:vAlign w:val="bottom"/>
            <w:tcBorders>
              <w:bottom w:val="single" w:sz="8" w:color="9A9A9A"/>
            </w:tcBorders>
          </w:tcPr>
          <w:p>
            <w:pPr>
              <w:spacing w:after="0"/>
              <w:rPr>
                <w:sz w:val="24"/>
                <w:szCs w:val="24"/>
                <w:color w:val="auto"/>
              </w:rPr>
            </w:pPr>
          </w:p>
        </w:tc>
        <w:tc>
          <w:tcPr>
            <w:tcW w:w="78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-513715</wp:posOffset>
            </wp:positionV>
            <wp:extent cx="1242695" cy="20574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00557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57720" cy="9005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369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243205</wp:posOffset>
            </wp:positionV>
            <wp:extent cx="6789420" cy="877824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5"/>
      <w:numFmt w:val="bullet"/>
      <w:start w:val="1"/>
    </w:lvl>
  </w:abstractNum>
  <w:abstractNum w:abstractNumId="4">
    <w:nsid w:val="1CF10FD8"/>
    <w:multiLevelType w:val="hybridMultilevel"/>
    <w:lvl w:ilvl="0">
      <w:lvlJc w:val="left"/>
      <w:lvlText w:val="(%1)"/>
      <w:numFmt w:val="decimal"/>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6"/>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1"/>
      <w:numFmt w:val="decimal"/>
      <w:start w:val="10"/>
    </w:lvl>
  </w:abstractNum>
  <w:abstractNum w:abstractNumId="13">
    <w:nsid w:val="3F6AB60F"/>
    <w:multiLevelType w:val="hybridMultilevel"/>
    <w:lvl w:ilvl="0">
      <w:lvlJc w:val="left"/>
      <w:lvlText w:val="(%1)"/>
      <w:numFmt w:val="decimal"/>
      <w:start w:val="1"/>
    </w:lvl>
  </w:abstractNum>
  <w:abstractNum w:abstractNumId="14">
    <w:nsid w:val="61574095"/>
    <w:multiLevelType w:val="hybridMultilevel"/>
    <w:lvl w:ilvl="0">
      <w:lvlJc w:val="left"/>
      <w:lvlText w:val="%1"/>
      <w:numFmt w:val="decimal"/>
      <w:start w:val="14"/>
    </w:lvl>
  </w:abstractNum>
  <w:abstractNum w:abstractNumId="15">
    <w:nsid w:val="7E0C57B1"/>
    <w:multiLevelType w:val="hybridMultilevel"/>
    <w:lvl w:ilvl="0">
      <w:lvlJc w:val="left"/>
      <w:lvlText w:val="%1"/>
      <w:numFmt w:val="decimal"/>
      <w:start w:val="16"/>
    </w:lvl>
  </w:abstractNum>
  <w:abstractNum w:abstractNumId="16">
    <w:nsid w:val="77AE35EB"/>
    <w:multiLevelType w:val="hybridMultilevel"/>
    <w:lvl w:ilvl="0">
      <w:lvlJc w:val="left"/>
      <w:lvlText w:val="%1"/>
      <w:numFmt w:val="decimal"/>
      <w:start w:val="18"/>
    </w:lvl>
  </w:abstractNum>
  <w:abstractNum w:abstractNumId="17">
    <w:nsid w:val="579BE4F1"/>
    <w:multiLevelType w:val="hybridMultilevel"/>
    <w:lvl w:ilvl="0">
      <w:lvlJc w:val="left"/>
      <w:lvlText w:val="(%1)"/>
      <w:numFmt w:val="decimal"/>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1"/>
      <w:numFmt w:val="decimal"/>
      <w:start w:val="24"/>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1)"/>
      <w:numFmt w:val="decimal"/>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1"/>
      <w:numFmt w:val="decimal"/>
      <w:start w:val="34"/>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1)"/>
      <w:numFmt w:val="decimal"/>
      <w:start w:val="1"/>
    </w:lvl>
  </w:abstractNum>
  <w:abstractNum w:abstractNumId="37">
    <w:nsid w:val="661E3F1E"/>
    <w:multiLevelType w:val="hybridMultilevel"/>
    <w:lvl w:ilvl="0">
      <w:lvlJc w:val="left"/>
      <w:lvlText w:val="%1"/>
      <w:numFmt w:val="decimal"/>
      <w:start w:val="44"/>
    </w:lvl>
  </w:abstractNum>
  <w:abstractNum w:abstractNumId="38">
    <w:nsid w:val="5DC79EA8"/>
    <w:multiLevelType w:val="hybridMultilevel"/>
    <w:lvl w:ilvl="0">
      <w:lvlJc w:val="left"/>
      <w:lvlText w:val="&amp;"/>
      <w:numFmt w:val="bullet"/>
      <w:start w:val="1"/>
    </w:lvl>
  </w:abstractNum>
  <w:abstractNum w:abstractNumId="39">
    <w:nsid w:val="540A471C"/>
    <w:multiLevelType w:val="hybridMultilevel"/>
    <w:lvl w:ilvl="0">
      <w:lvlJc w:val="left"/>
      <w:lvlText w:val="%1"/>
      <w:numFmt w:val="decimal"/>
      <w:start w:val="46"/>
    </w:lvl>
  </w:abstractNum>
  <w:abstractNum w:abstractNumId="40">
    <w:nsid w:val="7BD3EE7B"/>
    <w:multiLevelType w:val="hybridMultilevel"/>
    <w:lvl w:ilvl="0">
      <w:lvlJc w:val="left"/>
      <w:lvlText w:val="(%1)"/>
      <w:numFmt w:val="decimal"/>
      <w:start w:val="1"/>
    </w:lvl>
  </w:abstractNum>
  <w:abstractNum w:abstractNumId="41">
    <w:nsid w:val="51D9C564"/>
    <w:multiLevelType w:val="hybridMultilevel"/>
    <w:lvl w:ilvl="0">
      <w:lvlJc w:val="left"/>
      <w:lvlText w:val="%1"/>
      <w:numFmt w:val="decimal"/>
      <w:start w:val="48"/>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ü"/>
      <w:numFmt w:val="bullet"/>
      <w:start w:val="1"/>
    </w:lvl>
  </w:abstractNum>
  <w:abstractNum w:abstractNumId="47">
    <w:nsid w:val="8F2B15E"/>
    <w:multiLevelType w:val="hybridMultilevel"/>
    <w:lvl w:ilvl="0">
      <w:lvlJc w:val="left"/>
      <w:lvlText w:val="û"/>
      <w:numFmt w:val="bullet"/>
      <w:start w:val="1"/>
    </w:lvl>
  </w:abstractNum>
  <w:abstractNum w:abstractNumId="48">
    <w:nsid w:val="1A32234B"/>
    <w:multiLevelType w:val="hybridMultilevel"/>
    <w:lvl w:ilvl="0">
      <w:lvlJc w:val="left"/>
      <w:lvlText w:val="ü"/>
      <w:numFmt w:val="bullet"/>
      <w:start w:val="1"/>
    </w:lvl>
  </w:abstractNum>
  <w:abstractNum w:abstractNumId="49">
    <w:nsid w:val="3B0FD379"/>
    <w:multiLevelType w:val="hybridMultilevel"/>
    <w:lvl w:ilvl="0">
      <w:lvlJc w:val="left"/>
      <w:lvlText w:val="•"/>
      <w:numFmt w:val="bullet"/>
      <w:start w:val="1"/>
    </w:lvl>
  </w:abstractNum>
  <w:abstractNum w:abstractNumId="50">
    <w:nsid w:val="68EB2F63"/>
    <w:multiLevelType w:val="hybridMultilevel"/>
    <w:lvl w:ilvl="0">
      <w:lvlJc w:val="left"/>
      <w:lvlText w:val="ü"/>
      <w:numFmt w:val="bullet"/>
      <w:start w:val="1"/>
    </w:lvl>
  </w:abstractNum>
  <w:abstractNum w:abstractNumId="51">
    <w:nsid w:val="4962813B"/>
    <w:multiLevelType w:val="hybridMultilevel"/>
    <w:lvl w:ilvl="0">
      <w:lvlJc w:val="left"/>
      <w:lvlText w:val="ü"/>
      <w:numFmt w:val="bullet"/>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1."/>
      <w:numFmt w:val="decimal"/>
      <w:start w:val="1"/>
    </w:lvl>
  </w:abstractNum>
  <w:abstractNum w:abstractNumId="56">
    <w:nsid w:val="1A27709E"/>
    <w:multiLevelType w:val="hybridMultilevel"/>
    <w:lvl w:ilvl="0">
      <w:lvlJc w:val="left"/>
      <w:lvlText w:val="%1."/>
      <w:numFmt w:val="decimal"/>
      <w:start w:val="2"/>
    </w:lvl>
  </w:abstractNum>
  <w:abstractNum w:abstractNumId="57">
    <w:nsid w:val="71EA1109"/>
    <w:multiLevelType w:val="hybridMultilevel"/>
    <w:lvl w:ilvl="0">
      <w:lvlJc w:val="left"/>
      <w:lvlText w:val="%1."/>
      <w:numFmt w:val="decimal"/>
      <w:start w:val="3"/>
    </w:lvl>
  </w:abstractNum>
  <w:abstractNum w:abstractNumId="58">
    <w:nsid w:val="100F59DC"/>
    <w:multiLevelType w:val="hybridMultilevel"/>
    <w:lvl w:ilvl="0">
      <w:lvlJc w:val="left"/>
      <w:lvlText w:val="(%1)"/>
      <w:numFmt w:val="decimal"/>
      <w:start w:val="1"/>
    </w:lvl>
  </w:abstractNum>
  <w:abstractNum w:abstractNumId="59">
    <w:nsid w:val="7FB7E0AA"/>
    <w:multiLevelType w:val="hybridMultilevel"/>
    <w:lvl w:ilvl="0">
      <w:lvlJc w:val="left"/>
      <w:lvlText w:val="(%1)"/>
      <w:numFmt w:val="decimal"/>
      <w:start w:val="5"/>
    </w:lvl>
  </w:abstractNum>
  <w:abstractNum w:abstractNumId="60">
    <w:nsid w:val="6EB5BD4"/>
    <w:multiLevelType w:val="hybridMultilevel"/>
    <w:lvl w:ilvl="0">
      <w:lvlJc w:val="left"/>
      <w:lvlText w:val="(%1)"/>
      <w:numFmt w:val="decimal"/>
      <w:start w:val="1"/>
    </w:lvl>
  </w:abstractNum>
  <w:abstractNum w:abstractNumId="61">
    <w:nsid w:val="6F6DD9AC"/>
    <w:multiLevelType w:val="hybridMultilevel"/>
    <w:lvl w:ilvl="0">
      <w:lvlJc w:val="left"/>
      <w:lvlText w:val="%1."/>
      <w:numFmt w:val="lowerLetter"/>
      <w:start w:val="1"/>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1)"/>
      <w:numFmt w:val="decimal"/>
      <w:start w:val="1"/>
    </w:lvl>
  </w:abstractNum>
  <w:abstractNum w:abstractNumId="64">
    <w:nsid w:val="76272110"/>
    <w:multiLevelType w:val="hybridMultilevel"/>
    <w:lvl w:ilvl="0">
      <w:lvlJc w:val="left"/>
      <w:lvlText w:val="(%1)"/>
      <w:numFmt w:val="decimal"/>
      <w:start w:val="1"/>
    </w:lvl>
  </w:abstractNum>
  <w:abstractNum w:abstractNumId="65">
    <w:nsid w:val="4C04A8AF"/>
    <w:multiLevelType w:val="hybridMultilevel"/>
    <w:lvl w:ilvl="0">
      <w:lvlJc w:val="left"/>
      <w:lvlText w:val="(%1)"/>
      <w:numFmt w:val="decimal"/>
      <w:start w:val="1"/>
    </w:lvl>
  </w:abstractNum>
  <w:abstractNum w:abstractNumId="66">
    <w:nsid w:val="1716703B"/>
    <w:multiLevelType w:val="hybridMultilevel"/>
    <w:lvl w:ilvl="0">
      <w:lvlJc w:val="left"/>
      <w:lvlText w:val="(%1)"/>
      <w:numFmt w:val="decimal"/>
      <w:start w:val="1"/>
    </w:lvl>
  </w:abstractNum>
  <w:abstractNum w:abstractNumId="67">
    <w:nsid w:val="14E17E33"/>
    <w:multiLevelType w:val="hybridMultilevel"/>
    <w:lvl w:ilvl="0">
      <w:lvlJc w:val="left"/>
      <w:lvlText w:val="(%1)"/>
      <w:numFmt w:val="decimal"/>
      <w:start w:val="1"/>
    </w:lvl>
  </w:abstractNum>
  <w:abstractNum w:abstractNumId="68">
    <w:nsid w:val="3222E7CD"/>
    <w:multiLevelType w:val="hybridMultilevel"/>
    <w:lvl w:ilvl="0">
      <w:lvlJc w:val="left"/>
      <w:lvlText w:val="(%1)"/>
      <w:numFmt w:val="decimal"/>
      <w:start w:val="1"/>
    </w:lvl>
  </w:abstractNum>
  <w:abstractNum w:abstractNumId="69">
    <w:nsid w:val="74DE0EE3"/>
    <w:multiLevelType w:val="hybridMultilevel"/>
    <w:lvl w:ilvl="0">
      <w:lvlJc w:val="left"/>
      <w:lvlText w:val="(%1)"/>
      <w:numFmt w:val="decimal"/>
      <w:start w:val="1"/>
    </w:lvl>
  </w:abstractNum>
  <w:abstractNum w:abstractNumId="70">
    <w:nsid w:val="68EBC550"/>
    <w:multiLevelType w:val="hybridMultilevel"/>
    <w:lvl w:ilvl="0">
      <w:lvlJc w:val="left"/>
      <w:lvlText w:val="(%1)"/>
      <w:numFmt w:val="decimal"/>
      <w:start w:val="1"/>
    </w:lvl>
  </w:abstractNum>
  <w:abstractNum w:abstractNumId="71">
    <w:nsid w:val="2DF6D648"/>
    <w:multiLevelType w:val="hybridMultilevel"/>
    <w:lvl w:ilvl="0">
      <w:lvlJc w:val="left"/>
      <w:lvlText w:val="•"/>
      <w:numFmt w:val="bullet"/>
      <w:start w:val="1"/>
    </w:lvl>
  </w:abstractNum>
  <w:abstractNum w:abstractNumId="72">
    <w:nsid w:val="46B7D447"/>
    <w:multiLevelType w:val="hybridMultilevel"/>
    <w:lvl w:ilvl="0">
      <w:lvlJc w:val="left"/>
      <w:lvlText w:val="(%1)"/>
      <w:numFmt w:val="decimal"/>
      <w:start w:val="1"/>
    </w:lvl>
  </w:abstractNum>
  <w:abstractNum w:abstractNumId="73">
    <w:nsid w:val="4A2AC315"/>
    <w:multiLevelType w:val="hybridMultilevel"/>
    <w:lvl w:ilvl="0">
      <w:lvlJc w:val="left"/>
      <w:lvlText w:val="(%1)"/>
      <w:numFmt w:val="decimal"/>
      <w:start w:val="1"/>
    </w:lvl>
  </w:abstractNum>
  <w:abstractNum w:abstractNumId="74">
    <w:nsid w:val="39EE015C"/>
    <w:multiLevelType w:val="hybridMultilevel"/>
    <w:lvl w:ilvl="0">
      <w:lvlJc w:val="left"/>
      <w:lvlText w:val="(%1)"/>
      <w:numFmt w:val="decimal"/>
      <w:start w:val="4"/>
    </w:lvl>
  </w:abstractNum>
  <w:abstractNum w:abstractNumId="75">
    <w:nsid w:val="57FC4FBB"/>
    <w:multiLevelType w:val="hybridMultilevel"/>
    <w:lvl w:ilvl="0">
      <w:lvlJc w:val="left"/>
      <w:lvlText w:val="(%1)"/>
      <w:numFmt w:val="decimal"/>
      <w:start w:val="1"/>
    </w:lvl>
  </w:abstractNum>
  <w:abstractNum w:abstractNumId="76">
    <w:nsid w:val="CC1016F"/>
    <w:multiLevelType w:val="hybridMultilevel"/>
    <w:lvl w:ilvl="0">
      <w:lvlJc w:val="left"/>
      <w:lvlText w:val="(%1)"/>
      <w:numFmt w:val="decimal"/>
      <w:start w:val="2"/>
    </w:lvl>
  </w:abstractNum>
  <w:abstractNum w:abstractNumId="77">
    <w:nsid w:val="43F18422"/>
    <w:multiLevelType w:val="hybridMultilevel"/>
    <w:lvl w:ilvl="0">
      <w:lvlJc w:val="left"/>
      <w:lvlText w:val="•"/>
      <w:numFmt w:val="bullet"/>
      <w:start w:val="1"/>
    </w:lvl>
  </w:abstractNum>
  <w:abstractNum w:abstractNumId="78">
    <w:nsid w:val="60EF0119"/>
    <w:multiLevelType w:val="hybridMultilevel"/>
    <w:lvl w:ilvl="0">
      <w:lvlJc w:val="left"/>
      <w:lvlText w:val="(%1)"/>
      <w:numFmt w:val="decimal"/>
      <w:start w:val="1"/>
    </w:lvl>
  </w:abstractNum>
  <w:abstractNum w:abstractNumId="79">
    <w:nsid w:val="26F324BA"/>
    <w:multiLevelType w:val="hybridMultilevel"/>
    <w:lvl w:ilvl="0">
      <w:lvlJc w:val="left"/>
      <w:lvlText w:val="(%1)"/>
      <w:numFmt w:val="decimal"/>
      <w:start w:val="2"/>
    </w:lvl>
  </w:abstractNum>
  <w:abstractNum w:abstractNumId="80">
    <w:nsid w:val="7F01579B"/>
    <w:multiLevelType w:val="hybridMultilevel"/>
    <w:lvl w:ilvl="0">
      <w:lvlJc w:val="left"/>
      <w:lvlText w:val="(%1)"/>
      <w:numFmt w:val="decimal"/>
      <w:start w:val="1"/>
    </w:lvl>
  </w:abstractNum>
  <w:abstractNum w:abstractNumId="81">
    <w:nsid w:val="49DA307D"/>
    <w:multiLevelType w:val="hybridMultilevel"/>
    <w:lvl w:ilvl="0">
      <w:lvlJc w:val="left"/>
      <w:lvlText w:val="•"/>
      <w:numFmt w:val="bullet"/>
      <w:start w:val="1"/>
    </w:lvl>
    <w:lvl w:ilvl="1">
      <w:lvlJc w:val="left"/>
      <w:lvlText w:val="◦"/>
      <w:numFmt w:val="bullet"/>
      <w:start w:val="1"/>
    </w:lvl>
  </w:abstractNum>
  <w:abstractNum w:abstractNumId="82">
    <w:nsid w:val="7055A5F5"/>
    <w:multiLevelType w:val="hybridMultilevel"/>
    <w:lvl w:ilvl="0">
      <w:lvlJc w:val="left"/>
      <w:lvlText w:val="•"/>
      <w:numFmt w:val="bullet"/>
      <w:start w:val="1"/>
    </w:lvl>
  </w:abstractNum>
  <w:abstractNum w:abstractNumId="83">
    <w:nsid w:val="5FB8370B"/>
    <w:multiLevelType w:val="hybridMultilevel"/>
    <w:lvl w:ilvl="0">
      <w:lvlJc w:val="left"/>
      <w:lvlText w:val="•"/>
      <w:numFmt w:val="bullet"/>
      <w:start w:val="1"/>
    </w:lvl>
  </w:abstractNum>
  <w:abstractNum w:abstractNumId="84">
    <w:nsid w:val="50801EE1"/>
    <w:multiLevelType w:val="hybridMultilevel"/>
    <w:lvl w:ilvl="0">
      <w:lvlJc w:val="left"/>
      <w:lvlText w:val="•"/>
      <w:numFmt w:val="bullet"/>
      <w:start w:val="1"/>
    </w:lvl>
  </w:abstractNum>
  <w:abstractNum w:abstractNumId="85">
    <w:nsid w:val="488AC1A"/>
    <w:multiLevelType w:val="hybridMultilevel"/>
    <w:lvl w:ilvl="0">
      <w:lvlJc w:val="left"/>
      <w:lvlText w:val="•"/>
      <w:numFmt w:val="bullet"/>
      <w:start w:val="1"/>
    </w:lvl>
  </w:abstractNum>
  <w:abstractNum w:abstractNumId="86">
    <w:nsid w:val="5FB8011C"/>
    <w:multiLevelType w:val="hybridMultilevel"/>
    <w:lvl w:ilvl="0">
      <w:lvlJc w:val="left"/>
      <w:lvlText w:val="(%1)"/>
      <w:numFmt w:val="lowerRoman"/>
      <w:start w:val="3"/>
    </w:lvl>
  </w:abstractNum>
  <w:abstractNum w:abstractNumId="87">
    <w:nsid w:val="6AA78F7F"/>
    <w:multiLevelType w:val="hybridMultilevel"/>
    <w:lvl w:ilvl="0">
      <w:lvlJc w:val="left"/>
      <w:lvlText w:val="(%1)"/>
      <w:numFmt w:val="lowerRoman"/>
      <w:start w:val="1"/>
    </w:lvl>
  </w:abstractNum>
  <w:abstractNum w:abstractNumId="88">
    <w:nsid w:val="7672BD23"/>
    <w:multiLevelType w:val="hybridMultilevel"/>
    <w:lvl w:ilvl="0">
      <w:lvlJc w:val="left"/>
      <w:lvlText w:val="(%1)"/>
      <w:numFmt w:val="decimal"/>
      <w:start w:val="1"/>
    </w:lvl>
  </w:abstractNum>
  <w:abstractNum w:abstractNumId="89">
    <w:nsid w:val="6FC75AF8"/>
    <w:multiLevelType w:val="hybridMultilevel"/>
    <w:lvl w:ilvl="0">
      <w:lvlJc w:val="left"/>
      <w:lvlText w:val="(%1)"/>
      <w:numFmt w:val="decimal"/>
      <w:start w:val="1"/>
    </w:lvl>
  </w:abstractNum>
  <w:abstractNum w:abstractNumId="90">
    <w:nsid w:val="6A5F7029"/>
    <w:multiLevelType w:val="hybridMultilevel"/>
    <w:lvl w:ilvl="0">
      <w:lvlJc w:val="left"/>
      <w:lvlText w:val="•"/>
      <w:numFmt w:val="bullet"/>
      <w:start w:val="1"/>
    </w:lvl>
  </w:abstractNum>
  <w:abstractNum w:abstractNumId="91">
    <w:nsid w:val="7D5E18F8"/>
    <w:multiLevelType w:val="hybridMultilevel"/>
    <w:lvl w:ilvl="0">
      <w:lvlJc w:val="left"/>
      <w:lvlText w:val="(%1)"/>
      <w:numFmt w:val="decimal"/>
      <w:start w:val="1"/>
    </w:lvl>
  </w:abstractNum>
  <w:abstractNum w:abstractNumId="92">
    <w:nsid w:val="5F3534A4"/>
    <w:multiLevelType w:val="hybridMultilevel"/>
    <w:lvl w:ilvl="0">
      <w:lvlJc w:val="left"/>
      <w:lvlText w:val="(%1)"/>
      <w:numFmt w:val="decimal"/>
      <w:start w:val="2"/>
    </w:lvl>
  </w:abstractNum>
  <w:abstractNum w:abstractNumId="93">
    <w:nsid w:val="73A1821B"/>
    <w:multiLevelType w:val="hybridMultilevel"/>
    <w:lvl w:ilvl="0">
      <w:lvlJc w:val="left"/>
      <w:lvlText w:val="(%1)"/>
      <w:numFmt w:val="decimal"/>
      <w:start w:val="3"/>
    </w:lvl>
  </w:abstractNum>
  <w:abstractNum w:abstractNumId="94">
    <w:nsid w:val="7DE67713"/>
    <w:multiLevelType w:val="hybridMultilevel"/>
    <w:lvl w:ilvl="0">
      <w:lvlJc w:val="left"/>
      <w:lvlText w:val="•"/>
      <w:numFmt w:val="bullet"/>
      <w:start w:val="1"/>
    </w:lvl>
  </w:abstractNum>
  <w:abstractNum w:abstractNumId="95">
    <w:nsid w:val="555C55B5"/>
    <w:multiLevelType w:val="hybridMultilevel"/>
    <w:lvl w:ilvl="0">
      <w:lvlJc w:val="left"/>
      <w:lvlText w:val="•"/>
      <w:numFmt w:val="bullet"/>
      <w:start w:val="1"/>
    </w:lvl>
  </w:abstractNum>
  <w:abstractNum w:abstractNumId="96">
    <w:nsid w:val="3FA62ACA"/>
    <w:multiLevelType w:val="hybridMultilevel"/>
    <w:lvl w:ilvl="0">
      <w:lvlJc w:val="left"/>
      <w:lvlText w:val="•"/>
      <w:numFmt w:val="bullet"/>
      <w:start w:val="1"/>
    </w:lvl>
  </w:abstractNum>
  <w:abstractNum w:abstractNumId="97">
    <w:nsid w:val="14FCE74E"/>
    <w:multiLevelType w:val="hybridMultilevel"/>
    <w:lvl w:ilvl="0">
      <w:lvlJc w:val="left"/>
      <w:lvlText w:val="•"/>
      <w:numFmt w:val="bullet"/>
      <w:start w:val="1"/>
    </w:lvl>
  </w:abstractNum>
  <w:abstractNum w:abstractNumId="98">
    <w:nsid w:val="6A3DD3E8"/>
    <w:multiLevelType w:val="hybridMultilevel"/>
    <w:lvl w:ilvl="0">
      <w:lvlJc w:val="left"/>
      <w:lvlText w:val="(%1)"/>
      <w:numFmt w:val="decimal"/>
      <w:start w:val="1"/>
    </w:lvl>
  </w:abstractNum>
  <w:abstractNum w:abstractNumId="99">
    <w:nsid w:val="71C91298"/>
    <w:multiLevelType w:val="hybridMultilevel"/>
    <w:lvl w:ilvl="0">
      <w:lvlJc w:val="left"/>
      <w:lvlText w:val="(%1)"/>
      <w:numFmt w:val="decimal"/>
      <w:start w:val="3"/>
    </w:lvl>
  </w:abstractNum>
  <w:abstractNum w:abstractNumId="100">
    <w:nsid w:val="9DAF632"/>
    <w:multiLevelType w:val="hybridMultilevel"/>
    <w:lvl w:ilvl="0">
      <w:lvlJc w:val="left"/>
      <w:lvlText w:val="%1:"/>
      <w:numFmt w:val="upperLetter"/>
      <w:start w:val="17"/>
    </w:lvl>
  </w:abstractNum>
  <w:abstractNum w:abstractNumId="101">
    <w:nsid w:val="53299938"/>
    <w:multiLevelType w:val="hybridMultilevel"/>
    <w:lvl w:ilvl="0">
      <w:lvlJc w:val="left"/>
      <w:lvlText w:val="%1:"/>
      <w:numFmt w:val="upperLetter"/>
      <w:start w:val="17"/>
    </w:lvl>
  </w:abstractNum>
  <w:abstractNum w:abstractNumId="102">
    <w:nsid w:val="1FBFE8E0"/>
    <w:multiLevelType w:val="hybridMultilevel"/>
    <w:lvl w:ilvl="0">
      <w:lvlJc w:val="left"/>
      <w:lvlText w:val="%1:"/>
      <w:numFmt w:val="upperLetter"/>
      <w:start w:val="17"/>
    </w:lvl>
  </w:abstractNum>
  <w:abstractNum w:abstractNumId="103">
    <w:nsid w:val="5092CA79"/>
    <w:multiLevelType w:val="hybridMultilevel"/>
    <w:lvl w:ilvl="0">
      <w:lvlJc w:val="left"/>
      <w:lvlText w:val="%1:"/>
      <w:numFmt w:val="upperLetter"/>
      <w:start w:val="16"/>
    </w:lvl>
    <w:lvl w:ilvl="1">
      <w:lvlJc w:val="left"/>
      <w:lvlText w:val="•"/>
      <w:numFmt w:val="bullet"/>
      <w:start w:val="1"/>
    </w:lvl>
  </w:abstractNum>
  <w:abstractNum w:abstractNumId="104">
    <w:nsid w:val="1D545C4D"/>
    <w:multiLevelType w:val="hybridMultilevel"/>
    <w:lvl w:ilvl="0">
      <w:lvlJc w:val="left"/>
      <w:lvlText w:val="•"/>
      <w:numFmt w:val="bullet"/>
      <w:start w:val="1"/>
    </w:lvl>
  </w:abstractNum>
  <w:abstractNum w:abstractNumId="105">
    <w:nsid w:val="59ADEA3D"/>
    <w:multiLevelType w:val="hybridMultilevel"/>
    <w:lvl w:ilvl="0">
      <w:lvlJc w:val="left"/>
      <w:lvlText w:val="%1:"/>
      <w:numFmt w:val="upperLetter"/>
      <w:start w:val="17"/>
    </w:lvl>
  </w:abstractNum>
  <w:abstractNum w:abstractNumId="106">
    <w:nsid w:val="288F1A34"/>
    <w:multiLevelType w:val="hybridMultilevel"/>
    <w:lvl w:ilvl="0">
      <w:lvlJc w:val="left"/>
      <w:lvlText w:val="%1:"/>
      <w:numFmt w:val="upperLetter"/>
      <w:start w:val="17"/>
    </w:lvl>
  </w:abstractNum>
  <w:abstractNum w:abstractNumId="107">
    <w:nsid w:val="2A155DBC"/>
    <w:multiLevelType w:val="hybridMultilevel"/>
    <w:lvl w:ilvl="0">
      <w:lvlJc w:val="left"/>
      <w:lvlText w:val="%1:"/>
      <w:numFmt w:val="upperLetter"/>
      <w:start w:val="17"/>
    </w:lvl>
  </w:abstractNum>
  <w:abstractNum w:abstractNumId="108">
    <w:nsid w:val="1D9F6E5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jpe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jpe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jpe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jpe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jpe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jpe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jpe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jpe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jpe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jpe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jpe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jpe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jpe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jpe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jpe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jpe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jpe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jpe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jpeg"/><Relationship Id="rId632" Type="http://schemas.openxmlformats.org/officeDocument/2006/relationships/image" Target="media/image625.jpeg"/><Relationship Id="rId633" Type="http://schemas.openxmlformats.org/officeDocument/2006/relationships/image" Target="media/image626.png"/><Relationship Id="rId634" Type="http://schemas.openxmlformats.org/officeDocument/2006/relationships/image" Target="media/image627.jpeg"/><Relationship Id="rId635" Type="http://schemas.openxmlformats.org/officeDocument/2006/relationships/image" Target="media/image628.png"/><Relationship Id="rId636" Type="http://schemas.openxmlformats.org/officeDocument/2006/relationships/image" Target="media/image629.jpe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jpe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jpe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jpeg"/><Relationship Id="rId649" Type="http://schemas.openxmlformats.org/officeDocument/2006/relationships/image" Target="media/image642.png"/><Relationship Id="rId650" Type="http://schemas.openxmlformats.org/officeDocument/2006/relationships/image" Target="media/image643.jpeg"/><Relationship Id="rId651" Type="http://schemas.openxmlformats.org/officeDocument/2006/relationships/image" Target="media/image644.png"/><Relationship Id="rId652" Type="http://schemas.openxmlformats.org/officeDocument/2006/relationships/image" Target="media/image645.jpe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jpeg"/><Relationship Id="rId658" Type="http://schemas.openxmlformats.org/officeDocument/2006/relationships/image" Target="media/image651.png"/><Relationship Id="rId659" Type="http://schemas.openxmlformats.org/officeDocument/2006/relationships/image" Target="media/image652.jpe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jpe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jpeg"/><Relationship Id="rId666" Type="http://schemas.openxmlformats.org/officeDocument/2006/relationships/image" Target="media/image659.jpe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jpe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jpeg"/><Relationship Id="rId673" Type="http://schemas.openxmlformats.org/officeDocument/2006/relationships/image" Target="media/image666.jpe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jpe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jpeg"/><Relationship Id="rId680" Type="http://schemas.openxmlformats.org/officeDocument/2006/relationships/image" Target="media/image673.jpe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jpeg"/><Relationship Id="rId686" Type="http://schemas.openxmlformats.org/officeDocument/2006/relationships/image" Target="media/image679.png"/><Relationship Id="rId687" Type="http://schemas.openxmlformats.org/officeDocument/2006/relationships/image" Target="media/image680.jpe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jpe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jpe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jpe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2026-06-08T15:17:53Z</dcterms:created>
  <dcterms:modified xsi:type="dcterms:W3CDTF">2026-06-08T15:17:53Z</dcterms:modified>
</cp:coreProperties>
</file>