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295910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186690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8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04"/>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Ireland</w:t>
            </w:r>
          </w:p>
        </w:tc>
        <w:tc>
          <w:tcPr>
            <w:tcW w:w="5100" w:type="dxa"/>
            <w:vAlign w:val="bottom"/>
          </w:tcPr>
          <w:p>
            <w:pPr>
              <w:jc w:val="center"/>
              <w:ind w:left="3884"/>
              <w:spacing w:after="0"/>
              <w:rPr>
                <w:sz w:val="20"/>
                <w:szCs w:val="20"/>
                <w:color w:val="auto"/>
              </w:rPr>
            </w:pPr>
            <w:r>
              <w:rPr>
                <w:rFonts w:ascii="Arial" w:cs="Arial" w:eastAsia="Arial" w:hAnsi="Arial"/>
                <w:sz w:val="18"/>
                <w:szCs w:val="18"/>
                <w:b w:val="1"/>
                <w:bCs w:val="1"/>
                <w:color w:val="auto"/>
                <w:w w:val="89"/>
              </w:rPr>
              <w:t>98-1032470</w:t>
            </w:r>
          </w:p>
        </w:tc>
      </w:tr>
      <w:tr>
        <w:trPr>
          <w:trHeight w:val="180"/>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88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167640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100" w:firstLine="432"/>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8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55" w:lineRule="exact"/>
        <w:rPr>
          <w:sz w:val="24"/>
          <w:szCs w:val="24"/>
          <w:color w:val="auto"/>
        </w:rPr>
      </w:pPr>
    </w:p>
    <w:p>
      <w:pPr>
        <w:ind w:right="6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20"/>
          </w:cols>
          <w:pgMar w:left="320" w:top="233" w:right="3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right="49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28, 2020, 55,330,359 ordinary shares of the registrant, nominal value $0.0001 per share, were outstanding.</w:t>
      </w:r>
    </w:p>
    <w:p>
      <w:pPr>
        <w:sectPr>
          <w:pgSz w:w="11900" w:h="16838" w:orient="portrait"/>
          <w:cols w:equalWidth="0" w:num="1">
            <w:col w:w="10139"/>
          </w:cols>
          <w:pgMar w:left="32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229"/>
        </w:trPr>
        <w:tc>
          <w:tcPr>
            <w:tcW w:w="9740" w:type="dxa"/>
            <w:vAlign w:val="bottom"/>
            <w:gridSpan w:val="4"/>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1460" w:type="dxa"/>
            <w:vAlign w:val="bottom"/>
          </w:tcPr>
          <w:p>
            <w:pPr>
              <w:spacing w:after="0"/>
              <w:rPr>
                <w:sz w:val="19"/>
                <w:szCs w:val="19"/>
                <w:color w:val="auto"/>
              </w:rPr>
            </w:pP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 March 31, 2020 and December 31,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 (Loss) – Three Months Ended March 31, 2020 and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r>
      <w:tr>
        <w:trPr>
          <w:trHeight w:val="229"/>
        </w:trPr>
        <w:tc>
          <w:tcPr>
            <w:tcW w:w="1120" w:type="dxa"/>
            <w:vAlign w:val="bottom"/>
          </w:tcPr>
          <w:p>
            <w:pPr>
              <w:spacing w:after="0"/>
              <w:rPr>
                <w:sz w:val="19"/>
                <w:szCs w:val="19"/>
                <w:color w:val="auto"/>
              </w:rPr>
            </w:pPr>
          </w:p>
        </w:tc>
        <w:tc>
          <w:tcPr>
            <w:tcW w:w="8620" w:type="dxa"/>
            <w:vAlign w:val="bottom"/>
            <w:gridSpan w:val="3"/>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Comprehensive Income (Loss) – Three Months Ended March 31, 2020 and</w:t>
              </w:r>
            </w:hyperlink>
          </w:p>
        </w:tc>
        <w:tc>
          <w:tcPr>
            <w:tcW w:w="14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79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center"/>
              <w:spacing w:after="0" w:line="196" w:lineRule="exact"/>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r>
      <w:tr>
        <w:trPr>
          <w:trHeight w:val="291"/>
        </w:trPr>
        <w:tc>
          <w:tcPr>
            <w:tcW w:w="1120" w:type="dxa"/>
            <w:vAlign w:val="bottom"/>
          </w:tcPr>
          <w:p>
            <w:pPr>
              <w:spacing w:after="0"/>
              <w:rPr>
                <w:sz w:val="24"/>
                <w:szCs w:val="24"/>
                <w:color w:val="auto"/>
              </w:rPr>
            </w:pPr>
          </w:p>
        </w:tc>
        <w:tc>
          <w:tcPr>
            <w:tcW w:w="8620" w:type="dxa"/>
            <w:vAlign w:val="bottom"/>
            <w:gridSpan w:val="3"/>
          </w:tcPr>
          <w:p>
            <w:pPr>
              <w:spacing w:after="0"/>
              <w:rPr>
                <w:rFonts w:ascii="Arial" w:cs="Arial" w:eastAsia="Arial" w:hAnsi="Arial"/>
                <w:sz w:val="18"/>
                <w:szCs w:val="18"/>
                <w:u w:val="single" w:color="auto"/>
                <w:color w:val="0000EE"/>
                <w:w w:val="97"/>
              </w:rPr>
            </w:pPr>
            <w:hyperlink w:anchor="page7">
              <w:r>
                <w:rPr>
                  <w:rFonts w:ascii="Arial" w:cs="Arial" w:eastAsia="Arial" w:hAnsi="Arial"/>
                  <w:sz w:val="18"/>
                  <w:szCs w:val="18"/>
                  <w:u w:val="single" w:color="auto"/>
                  <w:color w:val="0000EE"/>
                  <w:w w:val="97"/>
                </w:rPr>
                <w:t>Condensed Consolidated Statements of Shareholders’ Equity - Three Months Ended March 31, 2020 and 2019</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6</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 Three Months Ended March 31, 2020 and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8</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3"/>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24</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62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36</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862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36</w:t>
              </w:r>
            </w:hyperlink>
          </w:p>
        </w:tc>
      </w:tr>
      <w:tr>
        <w:trPr>
          <w:trHeight w:val="392"/>
        </w:trPr>
        <w:tc>
          <w:tcPr>
            <w:tcW w:w="9740" w:type="dxa"/>
            <w:vAlign w:val="bottom"/>
            <w:gridSpan w:val="4"/>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 OTHER INFORMATION</w:t>
              </w:r>
            </w:hyperlink>
          </w:p>
        </w:tc>
        <w:tc>
          <w:tcPr>
            <w:tcW w:w="1460" w:type="dxa"/>
            <w:vAlign w:val="bottom"/>
          </w:tcPr>
          <w:p>
            <w:pPr>
              <w:spacing w:after="0"/>
              <w:rPr>
                <w:sz w:val="24"/>
                <w:szCs w:val="24"/>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62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Unregistered Sales of Equity Securities and Use of Proceeds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3"/>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Exhibits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67">
              <w:r>
                <w:rPr>
                  <w:rFonts w:ascii="Arial" w:cs="Arial" w:eastAsia="Arial" w:hAnsi="Arial"/>
                  <w:sz w:val="18"/>
                  <w:szCs w:val="18"/>
                  <w:u w:val="single" w:color="auto"/>
                  <w:color w:val="0000EE"/>
                  <w:w w:val="89"/>
                </w:rPr>
                <w:t>66</w:t>
              </w:r>
            </w:hyperlink>
          </w:p>
        </w:tc>
      </w:tr>
      <w:tr>
        <w:trPr>
          <w:trHeight w:val="392"/>
        </w:trPr>
        <w:tc>
          <w:tcPr>
            <w:tcW w:w="1120" w:type="dxa"/>
            <w:vAlign w:val="bottom"/>
          </w:tcPr>
          <w:p>
            <w:pPr>
              <w:spacing w:after="0"/>
              <w:rPr>
                <w:rFonts w:ascii="Arial" w:cs="Arial" w:eastAsia="Arial" w:hAnsi="Arial"/>
                <w:sz w:val="18"/>
                <w:szCs w:val="18"/>
                <w:u w:val="single" w:color="auto"/>
                <w:color w:val="0000EE"/>
                <w:w w:val="93"/>
              </w:rPr>
            </w:pPr>
            <w:hyperlink w:anchor="page69">
              <w:r>
                <w:rPr>
                  <w:rFonts w:ascii="Arial" w:cs="Arial" w:eastAsia="Arial" w:hAnsi="Arial"/>
                  <w:sz w:val="18"/>
                  <w:szCs w:val="18"/>
                  <w:u w:val="single" w:color="auto"/>
                  <w:color w:val="0000EE"/>
                  <w:w w:val="93"/>
                </w:rPr>
                <w:t>SIGNATURES</w:t>
              </w:r>
            </w:hyperlink>
          </w:p>
        </w:tc>
        <w:tc>
          <w:tcPr>
            <w:tcW w:w="3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jc w:val="center"/>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68</w:t>
              </w:r>
            </w:hyperlink>
          </w:p>
        </w:tc>
      </w:tr>
    </w:tbl>
    <w:p>
      <w:pPr>
        <w:spacing w:after="0" w:line="310" w:lineRule="exact"/>
        <w:rPr>
          <w:sz w:val="20"/>
          <w:szCs w:val="20"/>
          <w:color w:val="auto"/>
        </w:rPr>
      </w:pPr>
    </w:p>
    <w:p>
      <w:pPr>
        <w:ind w:right="40" w:firstLine="432"/>
        <w:spacing w:after="0" w:line="250"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6"/>
          <w:szCs w:val="16"/>
          <w:color w:val="auto"/>
        </w:rPr>
        <w:t>, Xyrem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2"/>
          <w:szCs w:val="22"/>
          <w:color w:val="auto"/>
          <w:vertAlign w:val="superscript"/>
        </w:rPr>
        <w:t>®</w:t>
      </w:r>
      <w:r>
        <w:rPr>
          <w:rFonts w:ascii="Arial" w:cs="Arial" w:eastAsia="Arial" w:hAnsi="Arial"/>
          <w:sz w:val="16"/>
          <w:szCs w:val="16"/>
          <w:color w:val="auto"/>
        </w:rPr>
        <w:t>, CombiPlex</w:t>
      </w:r>
      <w:r>
        <w:rPr>
          <w:rFonts w:ascii="Arial" w:cs="Arial" w:eastAsia="Arial" w:hAnsi="Arial"/>
          <w:sz w:val="22"/>
          <w:szCs w:val="22"/>
          <w:color w:val="auto"/>
          <w:vertAlign w:val="superscript"/>
        </w:rPr>
        <w:t>®</w:t>
      </w:r>
      <w:r>
        <w:rPr>
          <w:rFonts w:ascii="Arial" w:cs="Arial" w:eastAsia="Arial" w:hAnsi="Arial"/>
          <w:sz w:val="16"/>
          <w:szCs w:val="16"/>
          <w:color w:val="auto"/>
        </w:rPr>
        <w:t>, 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(daunorubicin and cytarabine) liposome for injection and 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liposomal 44 mg/100 mg powder for concentrate for solution for infusion.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637,344</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355,987</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85,610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39,434</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94,300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78,895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1,630,268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129,562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2,238,658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230,242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221,403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5,215,295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66,308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267,873</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364,490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1,573,870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147,110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224,095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117,258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109,374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Non-voting euro deferred shares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2,294,474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2,266,026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770,929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1,067,815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2,808,500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3,110,981</w:t>
            </w:r>
          </w:p>
        </w:tc>
        <w:tc>
          <w:tcPr>
            <w:tcW w:w="0" w:type="dxa"/>
            <w:vAlign w:val="bottom"/>
          </w:tcPr>
          <w:p>
            <w:pPr>
              <w:spacing w:after="0"/>
              <w:rPr>
                <w:sz w:val="1"/>
                <w:szCs w:val="1"/>
                <w:color w:val="auto"/>
              </w:rPr>
            </w:pPr>
          </w:p>
        </w:tc>
      </w:tr>
      <w:tr>
        <w:trPr>
          <w:trHeight w:val="236"/>
        </w:trPr>
        <w:tc>
          <w:tcPr>
            <w:tcW w:w="77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5,215,295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5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5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530,205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503,331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534,726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508,186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33,506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167,947</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86,107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60,105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56,885</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724,400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374,443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133,743</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(loss) before income tax provision (benefit) and equity in loss (gain) of investees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115,210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Equity in loss (gain) of investees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85,201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57,206</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ordinary shares used in per share calculations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85,201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Unrealized loss on hedging activities, net of income tax benefit of $579 and $249, respectively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(22,883)</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62,318</w:t>
            </w:r>
          </w:p>
        </w:tc>
      </w:tr>
      <w:tr>
        <w:trPr>
          <w:trHeight w:val="27"/>
        </w:trPr>
        <w:tc>
          <w:tcPr>
            <w:tcW w:w="8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40" w:type="dxa"/>
            <w:vAlign w:val="bottom"/>
            <w:gridSpan w:val="4"/>
            <w:vMerge w:val="restart"/>
          </w:tcPr>
          <w:p>
            <w:pPr>
              <w:jc w:val="right"/>
              <w:ind w:right="26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Non-voting Euro Deferred</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74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2,266,026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1,067,815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3,110,981</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243"/>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2,294,474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770,929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2,808,500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120" w:type="dxa"/>
            <w:vAlign w:val="bottom"/>
          </w:tcPr>
          <w:p>
            <w:pPr>
              <w:spacing w:after="0"/>
              <w:rPr>
                <w:sz w:val="24"/>
                <w:szCs w:val="24"/>
                <w:color w:val="auto"/>
              </w:rPr>
            </w:pPr>
          </w:p>
        </w:tc>
        <w:tc>
          <w:tcPr>
            <w:tcW w:w="1740" w:type="dxa"/>
            <w:vAlign w:val="bottom"/>
            <w:gridSpan w:val="4"/>
            <w:vMerge w:val="restart"/>
          </w:tcPr>
          <w:p>
            <w:pPr>
              <w:jc w:val="right"/>
              <w:ind w:right="26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24"/>
                <w:szCs w:val="2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Non-voting Euro Deferred</w:t>
            </w:r>
          </w:p>
        </w:tc>
        <w:tc>
          <w:tcPr>
            <w:tcW w:w="1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74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2,113,630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841,050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2,757,422</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w w:val="97"/>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(22,883)</w:t>
            </w:r>
          </w:p>
        </w:tc>
        <w:tc>
          <w:tcPr>
            <w:tcW w:w="0" w:type="dxa"/>
            <w:vAlign w:val="bottom"/>
          </w:tcPr>
          <w:p>
            <w:pPr>
              <w:spacing w:after="0"/>
              <w:rPr>
                <w:sz w:val="1"/>
                <w:szCs w:val="1"/>
                <w:color w:val="auto"/>
              </w:rPr>
            </w:pPr>
          </w:p>
        </w:tc>
      </w:tr>
      <w:tr>
        <w:trPr>
          <w:trHeight w:val="270"/>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56,903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2,130,738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(220,674)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819,850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2,730,447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85,201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56,885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Impairment charge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11,133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39,726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6,773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202,253</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maturity of investments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345,000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investments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(115,000)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166,052</w:t>
            </w: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0"/>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(111,249)</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(130,349)</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637,344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309,622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701,602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547,466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for people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and solid tumors. We actively explore new options for patients including novel compounds, small molecule advancements, biologics and innovative drug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40" w:hanging="321"/>
        <w:spacing w:after="0" w:line="257"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(sodium oxybate) oral solution</w:t>
      </w:r>
      <w:r>
        <w:rPr>
          <w:rFonts w:ascii="Arial" w:cs="Arial" w:eastAsia="Arial" w:hAnsi="Arial"/>
          <w:sz w:val="16"/>
          <w:szCs w:val="16"/>
          <w:color w:val="auto"/>
        </w:rPr>
        <w:t>, the only product approved by the U.S. Food and Drug Administration, or FDA, and marketed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for the treatment of both cataplexy and excessive daytime sleepiness, or EDS, in both adult and pediatric patients with narcolepsy;</w:t>
      </w:r>
    </w:p>
    <w:p>
      <w:pPr>
        <w:spacing w:after="0" w:line="72" w:lineRule="exact"/>
        <w:rPr>
          <w:rFonts w:ascii="Arial" w:cs="Arial" w:eastAsia="Arial" w:hAnsi="Arial"/>
          <w:sz w:val="16"/>
          <w:szCs w:val="16"/>
          <w:b w:val="1"/>
          <w:bCs w:val="1"/>
          <w:color w:val="auto"/>
        </w:rPr>
      </w:pPr>
    </w:p>
    <w:p>
      <w:pPr>
        <w:ind w:left="720" w:hanging="321"/>
        <w:spacing w:after="0" w:line="257"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Sunosi</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(solriamfetol)</w:t>
      </w:r>
      <w:r>
        <w:rPr>
          <w:rFonts w:ascii="Arial" w:cs="Arial" w:eastAsia="Arial" w:hAnsi="Arial"/>
          <w:sz w:val="16"/>
          <w:szCs w:val="16"/>
          <w:color w:val="auto"/>
        </w:rPr>
        <w:t>, a product approved by FDA and marketed in the U.S. to improve wakefulness in adult patients with EDS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narcolepsy or obstructive sleep apnea, and also recently approved in Europe in January 2020 by the European Commission;</w:t>
      </w:r>
    </w:p>
    <w:p>
      <w:pPr>
        <w:spacing w:after="0" w:line="72" w:lineRule="exact"/>
        <w:rPr>
          <w:rFonts w:ascii="Arial" w:cs="Arial" w:eastAsia="Arial" w:hAnsi="Arial"/>
          <w:sz w:val="16"/>
          <w:szCs w:val="16"/>
          <w:b w:val="1"/>
          <w:bCs w:val="1"/>
          <w:color w:val="auto"/>
        </w:rPr>
      </w:pPr>
    </w:p>
    <w:p>
      <w:pPr>
        <w:ind w:left="720" w:right="80" w:hanging="321"/>
        <w:spacing w:after="0" w:line="21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20" w:right="240" w:hanging="321"/>
        <w:spacing w:after="0" w:line="260"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280" w:hanging="321"/>
        <w:spacing w:after="0" w:line="201"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260" w:hanging="327"/>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corporate development transactions; and</w:t>
      </w:r>
    </w:p>
    <w:p>
      <w:pPr>
        <w:spacing w:after="0" w:line="75" w:lineRule="exact"/>
        <w:rPr>
          <w:rFonts w:ascii="Arial" w:cs="Arial" w:eastAsia="Arial" w:hAnsi="Arial"/>
          <w:sz w:val="18"/>
          <w:szCs w:val="18"/>
          <w:color w:val="auto"/>
        </w:rPr>
      </w:pPr>
    </w:p>
    <w:p>
      <w:pPr>
        <w:ind w:left="740" w:right="660" w:hanging="327"/>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Maximizing the value of our products and product candidates by continuing to implement our comprehensive global development plans, including through generating additional clinical data and seeking regulatory approval for new indications and new geographies.</w:t>
      </w:r>
    </w:p>
    <w:p>
      <w:pPr>
        <w:spacing w:after="0" w:line="16"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10-K for the year ended December 31, 2019.</w:t>
      </w:r>
    </w:p>
    <w:p>
      <w:pPr>
        <w:spacing w:after="0" w:line="97"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months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ended March 31, 2020 are not necessarily indicative of the results to be expected for the year ending December 31, 2020, for any other interim period or for any future period.</w:t>
      </w:r>
    </w:p>
    <w:p>
      <w:pPr>
        <w:spacing w:after="0" w:line="6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2019.</w:t>
      </w:r>
    </w:p>
    <w:p>
      <w:pPr>
        <w:spacing w:after="0" w:line="6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August 2018, the Financial Accounting Standards Board, or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We adopted this standard on January 1, 2020 and adoption did not have a material impact on our consolidated financial statements.</w:t>
      </w:r>
    </w:p>
    <w:p>
      <w:pPr>
        <w:spacing w:after="0" w:line="8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which simplifies the accounting for goodwill impairment by eliminating Step 2 of the current goodwill impairment test. Goodwill impairment will now be the amount by which the reporting unit’s carrying value exceeds its fair value, limited to the carrying value of the goodwill. We adopted this standard on January 1, 2020 and adoption did not have a material impact on our consolidated financial statements.</w:t>
      </w:r>
    </w:p>
    <w:p>
      <w:pPr>
        <w:spacing w:after="0" w:line="63" w:lineRule="exact"/>
        <w:rPr>
          <w:sz w:val="20"/>
          <w:szCs w:val="20"/>
          <w:color w:val="auto"/>
        </w:rPr>
      </w:pPr>
    </w:p>
    <w:p>
      <w:pPr>
        <w:jc w:val="both"/>
        <w:ind w:right="240" w:firstLine="432"/>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that credit losses on financial assets measured at amortized cost be determined using an expected loss model, instead of the current incurred loss model, and requires that credit losses related to available-for-sale debt securities be recorded through an allowance for credit losses and limited to the amount by which carrying value exceeds fair value. We adopted this standard on January 1, 2020 and adoption did not have a material impact on our consolidated financial statements.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customers and our business. Given the global economic slowdown, the overall disruption of global healthcare systems and the other risks and uncertainties associated with the pandemic, we expect that our business, financial condition, results of operations and growth prospects will be adversely affected in the future. With respect to our commercialization activities, the evolving effects of the COVID-19 pandemic are having a negative impact on demand for our products, primarily due to the inherent limitations of telemedicine and a reprioritization of healthcare resources toward COVID-19.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of or reemergence of outbreaks, governmental “stay-at-home” orders and travel restrictions, quarantines, social distancing and business closure requirements in the U.S., Ireland and other countries, and the effectiveness of actions taken globally to contain and treat the disease.</w:t>
      </w:r>
    </w:p>
    <w:p>
      <w:pPr>
        <w:spacing w:after="0" w:line="7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financial results are significantly influenced by sales of Xyrem. Our ability to maintain or increase Xyrem product sales is subject to a number of risks and uncertainties including, without limitation, the introduction of authorized generic and generic versions of sodium oxybate and/or new products for treatment of cataplexy and/or EDS in narcolepsy in the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market, the potential impacts of the ongoing COVID-19 pandemic, including disruption of demand for our products and our ability to meet commercial demand, increased pricing pressure from, changes in policies by, or restrictions on reimbursement imposed by, third party payors, challenges to our intellectual property around Xyrem, and continued acceptance of Xyrem by physicians and patients.</w:t>
      </w:r>
    </w:p>
    <w:p>
      <w:pPr>
        <w:spacing w:after="0" w:line="7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addition to risks related specifically to Xyrem, we are subject to other challenges and risks related to successfully commercializing a portfolio of hematology/oncology products, including Defitelio, Erwinaze and Vyxeos,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including both JZP-258 and lurbinectedin in the U.S.; effectively commercializing our approved products such as Sunosi in the U.S. and EU and, if approved, JZP-258 and lurbinectedin;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to the extent the ongoing COVID-19 pandemic adversely affects our business and results of operations, it may also have the effect of heightening many of the other risks and uncertainties discussed above.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March 31, 2020, we had foreign exchange forward contracts with notional amounts totaling $225.4 million. As of March 31, 2020, the outstanding foreign exchange forward contracts had a net liability fair value of $3.6 million. As of March 31, 2020, we had interest rate swap contracts with notional amounts totaling $300.0 million. These outstanding interest rate swap contracts had a net liability fair value of $6.2 million as of March 31, 2020. The counterparties to these contracts are large multinational commercial banks, and we believe the risk of nonperformance is not significant.</w:t>
      </w:r>
    </w:p>
    <w:p>
      <w:pPr>
        <w:spacing w:after="0" w:line="7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2020 and December 31, 2019, allowances on receivables were not material. As of March 31, 2020, two customers accounted for 88% of gross accounts receivable, Express Scripts Specialty Distribution Services, Inc. and its affiliates, or ESSDS, which accounted for 81% of gross accounts receivable, and McKesson Corporation and affiliates, or McKesson, which accounted for 7% of gross accounts receivable. As of December 31, 2019, two customers accounted for 89% of gross accounts receivable, ESSDS, which accounted for 77% of gross accounts receivable, and McKesson, which accounted for 12% of gross accounts receivable.</w:t>
      </w:r>
    </w:p>
    <w:p>
      <w:pPr>
        <w:spacing w:after="0" w:line="6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Xyrem, the API is manufactured for us by a single source supplier and the finished product is manufactured both by us in our facility in Athlone, Ireland and by our U.S.-based Xyrem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reporting periods beginning after December 15, 2020 with early adoption permitted. We are currently evaluating the impact of adopting this new accounting guidance.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 Agreement</w:t>
      </w:r>
    </w:p>
    <w:p>
      <w:pPr>
        <w:spacing w:after="0" w:line="17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On December 19, 2019, we entered into an exclusive license agreement with Pharma Mar, S.A., or PharmaMar, for development and U.S. commercialization of lurbinectedin, a product candidate under clinical investigation for the treatment of patients with relapsed small cell lung cancer, or SCLC. Lurbinectedin was granted orphan drug designation for SCLC by FDA in August 2018. In December 2019, PharmaMar submitted a new drug application, or NDA to FDA for accelerated approval of lurbinectedin for relapsed SCLC based on data from a Phase 2 trial, and in February 2020, FDA accepted the NDA for filing with priority review.</w:t>
      </w:r>
    </w:p>
    <w:p>
      <w:pPr>
        <w:spacing w:after="0" w:line="134"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Under the terms of this agreement, which became effective in January 2020 upon expiration of the waiting period under the Hart-Scott-Rodino Antitrust Improvements Act of 1976, as amended, we paid PharmaMar an upfront payment of $200.0 million, which was recorded as acquired IPR&amp;D expense in our consolidated statements of income (loss) for the three months ended March 31, 2020.</w:t>
      </w:r>
    </w:p>
    <w:p>
      <w:pPr>
        <w:spacing w:after="0" w:line="130" w:lineRule="exact"/>
        <w:rPr>
          <w:sz w:val="20"/>
          <w:szCs w:val="20"/>
          <w:color w:val="auto"/>
        </w:rPr>
      </w:pPr>
    </w:p>
    <w:p>
      <w:pPr>
        <w:ind w:right="180" w:firstLine="432"/>
        <w:spacing w:after="0" w:line="275" w:lineRule="auto"/>
        <w:rPr>
          <w:sz w:val="20"/>
          <w:szCs w:val="20"/>
          <w:color w:val="auto"/>
        </w:rPr>
      </w:pPr>
      <w:r>
        <w:rPr>
          <w:rFonts w:ascii="Arial" w:cs="Arial" w:eastAsia="Arial" w:hAnsi="Arial"/>
          <w:sz w:val="17"/>
          <w:szCs w:val="17"/>
          <w:color w:val="auto"/>
        </w:rPr>
        <w:t>PharmaMar is eligible to receive potential regulatory milestone payments of up to $250.0 million upon the achievement of accelerated and/or full regulatory approval of lurbinectedin by FDA within certain timelines. PharmaMar is also eligible to receive up to $550.0 million in potential commercial milestone payments, as well as incremental tiered royalties on future net sales of lurbinectedin ranging from the high teens up to 30 percent. PharmaMar may receive additional payments on approval of other indications, with any such payments creditable against commercial milestone payment obligations. PharmaMar retains production rights for lurbinectedin and will supply the product to Jazz.</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226,349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226,349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630,000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125,253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125,253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125,253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981,602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981,602</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701,602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1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333,172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284,172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284,172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1,077,344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1,077,344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637,344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440,000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$4.4 million and $4.8 million in the three months ended March 31, 2020 and 2019,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that were measured at fair value on a recurring basis and were categorized using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Prices 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Active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9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96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125,253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125,253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284,172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284,172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125,253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630,316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755,569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284,172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462,508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746,680</w:t>
            </w:r>
          </w:p>
        </w:tc>
        <w:tc>
          <w:tcPr>
            <w:tcW w:w="0" w:type="dxa"/>
            <w:vAlign w:val="bottom"/>
          </w:tcPr>
          <w:p>
            <w:pPr>
              <w:spacing w:after="0"/>
              <w:rPr>
                <w:sz w:val="1"/>
                <w:szCs w:val="1"/>
                <w:color w:val="auto"/>
              </w:rPr>
            </w:pPr>
          </w:p>
        </w:tc>
      </w:tr>
      <w:tr>
        <w:trPr>
          <w:trHeight w:val="67"/>
        </w:trPr>
        <w:tc>
          <w:tcPr>
            <w:tcW w:w="3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March 31, 2020,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134"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2020 or 2019.</w:t>
      </w:r>
    </w:p>
    <w:p>
      <w:pPr>
        <w:spacing w:after="0" w:line="117" w:lineRule="exact"/>
        <w:rPr>
          <w:sz w:val="20"/>
          <w:szCs w:val="20"/>
          <w:color w:val="auto"/>
        </w:rPr>
      </w:pPr>
    </w:p>
    <w:p>
      <w:pPr>
        <w:jc w:val="both"/>
        <w:ind w:right="360" w:firstLine="432"/>
        <w:spacing w:after="0" w:line="263" w:lineRule="auto"/>
        <w:rPr>
          <w:sz w:val="20"/>
          <w:szCs w:val="20"/>
          <w:color w:val="auto"/>
        </w:rPr>
      </w:pPr>
      <w:r>
        <w:rPr>
          <w:rFonts w:ascii="Arial" w:cs="Arial" w:eastAsia="Arial" w:hAnsi="Arial"/>
          <w:sz w:val="18"/>
          <w:szCs w:val="18"/>
          <w:color w:val="auto"/>
        </w:rPr>
        <w:t>As of March 31, 2020,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7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of March 31, 2020, the estimated fair values of our 1.875% exchangeable senior notes due 2021, or the 2021 Notes, and our 1.50% exchangeable senior notes due 2024, or the 2024 Notes, were approximately $550 million and $502 million, respectively. The fair values of the 2021 Notes and the 2024 Notes, which we refer to together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March 31, 2020 and December 31, 2019, the interest rate swap agreements had a notional amount of $300.0 million.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 result of these agreements, the interest rate on a portion of our term loan borrowings was fixed at 1.895%, plus the borrowing spread, until July 12, 2021.</w:t>
      </w:r>
    </w:p>
    <w:p>
      <w:pPr>
        <w:spacing w:after="0" w:line="14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for the three months ended March 31, 2020 and 2019 was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recognized in accumulated other comprehensive loss, net of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Loss (gain) reclassified from accumulated other comprehensive loss to interest expense, net of tax</w:t>
            </w:r>
          </w:p>
        </w:tc>
        <w:tc>
          <w:tcPr>
            <w:tcW w:w="34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bl>
    <w:p>
      <w:pPr>
        <w:spacing w:after="0" w:line="391" w:lineRule="exact"/>
        <w:rPr>
          <w:sz w:val="20"/>
          <w:szCs w:val="20"/>
          <w:color w:val="auto"/>
        </w:rPr>
      </w:pPr>
    </w:p>
    <w:p>
      <w:pPr>
        <w:ind w:right="760" w:firstLine="405"/>
        <w:spacing w:after="0" w:line="30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ssuming no change in LIBOR-based interest rates from market rates as of March 31, 2020, $4.1 million of losses, net of tax, recognized in</w:t>
      </w:r>
      <w:r>
        <w:rPr>
          <w:rFonts w:ascii="Arial" w:cs="Arial" w:eastAsia="Arial" w:hAnsi="Arial"/>
          <w:sz w:val="16"/>
          <w:szCs w:val="16"/>
          <w:color w:val="auto"/>
        </w:rPr>
        <w:t xml:space="preserve"> </w:t>
      </w:r>
      <w:r>
        <w:rPr>
          <w:rFonts w:ascii="Arial" w:cs="Arial" w:eastAsia="Arial" w:hAnsi="Arial"/>
          <w:sz w:val="17"/>
          <w:szCs w:val="17"/>
          <w:color w:val="auto"/>
        </w:rPr>
        <w:t>accumulated other comprehensive loss will be reclassified to earnings over the next 12 months.</w:t>
      </w:r>
    </w:p>
    <w:p>
      <w:pPr>
        <w:spacing w:after="0" w:line="3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March 31, 2020 and December 31, 2019, the notional amount of foreign exchange contracts where hedge accounting is not applied was $225.4 million and $180.9 million, respectively.</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foreign exchange loss in our condensed consolidated statements of income (loss) included the following losses associated with foreign exchange contracts not designated as hedging instruments (in thousands):</w:t>
      </w: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Exchange Forward Contracts: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recognized in foreign exchange loss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7"/>
        </w:trPr>
        <w:tc>
          <w:tcPr>
            <w:tcW w:w="8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cash flow effects of our derivative contracts for the three months ended March 31, 2020 and 2019 are included within net cash provided by operating activities in the condensed consolidated statements of cash flows.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Asset Derivatives</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22"/>
                <w:szCs w:val="22"/>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w w:val="98"/>
              </w:rPr>
              <w:t>Other current assets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non-current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8"/>
              </w:rPr>
              <w:t>Other current assets</w:t>
            </w: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vMerge w:val="restart"/>
          </w:tcPr>
          <w:p>
            <w:pPr>
              <w:ind w:left="9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6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3"/>
        </w:trPr>
        <w:tc>
          <w:tcPr>
            <w:tcW w:w="4620" w:type="dxa"/>
            <w:vAlign w:val="bottom"/>
          </w:tcPr>
          <w:p>
            <w:pPr>
              <w:spacing w:after="0"/>
              <w:rPr>
                <w:sz w:val="22"/>
                <w:szCs w:val="22"/>
                <w:color w:val="auto"/>
              </w:rPr>
            </w:pPr>
          </w:p>
        </w:tc>
        <w:tc>
          <w:tcPr>
            <w:tcW w:w="21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89"/>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Liability Derivatives</w:t>
            </w:r>
          </w:p>
        </w:tc>
      </w:tr>
      <w:tr>
        <w:trPr>
          <w:trHeight w:val="264"/>
        </w:trPr>
        <w:tc>
          <w:tcPr>
            <w:tcW w:w="4620" w:type="dxa"/>
            <w:vAlign w:val="bottom"/>
          </w:tcPr>
          <w:p>
            <w:pPr>
              <w:spacing w:after="0"/>
              <w:rPr>
                <w:sz w:val="22"/>
                <w:szCs w:val="22"/>
                <w:color w:val="auto"/>
              </w:rPr>
            </w:pPr>
          </w:p>
        </w:tc>
        <w:tc>
          <w:tcPr>
            <w:tcW w:w="21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2"/>
                <w:szCs w:val="2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22"/>
                <w:szCs w:val="22"/>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160" w:type="dxa"/>
            <w:vAlign w:val="bottom"/>
            <w:gridSpan w:val="3"/>
          </w:tcPr>
          <w:p>
            <w:pPr>
              <w:ind w:left="80"/>
              <w:spacing w:after="0"/>
              <w:rPr>
                <w:sz w:val="20"/>
                <w:szCs w:val="20"/>
                <w:color w:val="auto"/>
              </w:rPr>
            </w:pPr>
            <w:r>
              <w:rPr>
                <w:rFonts w:ascii="Arial" w:cs="Arial" w:eastAsia="Arial" w:hAnsi="Arial"/>
                <w:sz w:val="18"/>
                <w:szCs w:val="18"/>
                <w:color w:val="auto"/>
              </w:rPr>
              <w:t>Other current assets   $</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855</w:t>
            </w: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6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non-current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8"/>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700" w:type="dxa"/>
            <w:vAlign w:val="bottom"/>
            <w:gridSpan w:val="2"/>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1,697</w:t>
            </w: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390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Assets/ Liabilities</w:t>
            </w:r>
          </w:p>
        </w:tc>
        <w:tc>
          <w:tcPr>
            <w:tcW w:w="390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 Assets/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750"/>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December 31, 2019</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390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Assets/ Liabilities</w:t>
            </w:r>
          </w:p>
        </w:tc>
        <w:tc>
          <w:tcPr>
            <w:tcW w:w="390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 Assets/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729"/>
        </w:trPr>
        <w:tc>
          <w:tcPr>
            <w:tcW w:w="328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4"/>
          </w:tcPr>
          <w:p>
            <w:pPr>
              <w:ind w:left="440"/>
              <w:spacing w:after="0"/>
              <w:rPr>
                <w:sz w:val="20"/>
                <w:szCs w:val="20"/>
                <w:color w:val="auto"/>
              </w:rPr>
            </w:pPr>
            <w:r>
              <w:rPr>
                <w:rFonts w:ascii="Arial" w:cs="Arial" w:eastAsia="Arial" w:hAnsi="Arial"/>
                <w:sz w:val="18"/>
                <w:szCs w:val="18"/>
                <w:color w:val="auto"/>
              </w:rPr>
              <w:t>Inventories consisted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4"/>
          </w:tcPr>
          <w:p>
            <w:pPr>
              <w:ind w:left="5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4"/>
                <w:szCs w:val="24"/>
                <w:color w:val="auto"/>
              </w:rPr>
            </w:pPr>
          </w:p>
        </w:tc>
        <w:tc>
          <w:tcPr>
            <w:tcW w:w="134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37,689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36,658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28,355</w:t>
            </w:r>
          </w:p>
        </w:tc>
        <w:tc>
          <w:tcPr>
            <w:tcW w:w="0" w:type="dxa"/>
            <w:vAlign w:val="bottom"/>
          </w:tcPr>
          <w:p>
            <w:pPr>
              <w:spacing w:after="0"/>
              <w:rPr>
                <w:sz w:val="1"/>
                <w:szCs w:val="1"/>
                <w:color w:val="auto"/>
              </w:rPr>
            </w:pPr>
          </w:p>
        </w:tc>
      </w:tr>
      <w:tr>
        <w:trPr>
          <w:trHeight w:val="236"/>
        </w:trPr>
        <w:tc>
          <w:tcPr>
            <w:tcW w:w="328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85,610</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ind w:left="7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9560" w:type="dxa"/>
            <w:vAlign w:val="bottom"/>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956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920,018</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(10,792)</w:t>
            </w:r>
          </w:p>
        </w:tc>
      </w:tr>
      <w:tr>
        <w:trPr>
          <w:trHeight w:val="27"/>
        </w:trPr>
        <w:tc>
          <w:tcPr>
            <w:tcW w:w="95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909,226</w:t>
            </w:r>
          </w:p>
        </w:tc>
      </w:tr>
      <w:tr>
        <w:trPr>
          <w:trHeight w:val="20"/>
        </w:trPr>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Acquired developed technologies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3,152,634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2,238,658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3,166,485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2,301,651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11,728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Priority review voucher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finite-lived intangible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3,167,245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2,238,658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3,292,501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2,301,651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Acquired IPR&amp;D assets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139,326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139,326</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3,167,245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2,238,658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3,431,827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2,440,977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432"/>
        <w:spacing w:after="0" w:line="296" w:lineRule="auto"/>
        <w:rPr>
          <w:sz w:val="20"/>
          <w:szCs w:val="20"/>
          <w:color w:val="auto"/>
        </w:rPr>
      </w:pPr>
      <w:r>
        <w:rPr>
          <w:rFonts w:ascii="Arial" w:cs="Arial" w:eastAsia="Arial" w:hAnsi="Arial"/>
          <w:sz w:val="16"/>
          <w:szCs w:val="16"/>
          <w:color w:val="auto"/>
        </w:rPr>
        <w:t>The decrease in the gross carrying amount of intangible assets as of March 31, 2020 compared to December 31, 2019 reflects the impairment of our acquired IPR&amp;D asset of $136.1 million following the decision to stop enrollment in our Phase 3 clinical study of defibrotide due to a determination that the study is highly unlikely to reach one of its primary endpoints, the prevention of VOD, the redemption of the Priority Review Voucher in January 2020 and the negative impact of foreign currency translation adjustments due to the weakening of the euro against the U.S. dollar, partially offset by the capitalization of milestone payments of $13.0 million triggered by European Marketing Authorization of Sunosi in January 2020.</w:t>
      </w:r>
    </w:p>
    <w:p>
      <w:pPr>
        <w:spacing w:after="0" w:line="53"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Based on finite-lived intangible assets recorded as of March 31, 2020, and assuming the underlying assets will not be impaired and that we will not change the expected lives of the assets, future amortization expenses were estimated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2"/>
                <w:szCs w:val="12"/>
                <w:color w:val="auto"/>
              </w:rPr>
            </w:pPr>
          </w:p>
        </w:tc>
        <w:tc>
          <w:tcPr>
            <w:tcW w:w="144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5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495"/>
              <w:spacing w:after="0" w:line="158"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186,372</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203,041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159,167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159,167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1,371,744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2,238,658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52,294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Land and buildings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equipment and machinery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185,005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186,763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(55,257)</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129,562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24"/>
                <w:szCs w:val="24"/>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96,860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52,080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80,290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Derivative instrument liabilities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accruals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Inventory-related accruals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Accrued collaboration expenses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Royalties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Clinical trial accruals</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construction-in-progress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30,641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28,737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261,041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267,873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2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20" w:type="dxa"/>
            <w:vAlign w:val="bottom"/>
            <w:tcBorders>
              <w:bottom w:val="single" w:sz="8" w:color="CCEEFF"/>
            </w:tcBorders>
          </w:tcPr>
          <w:p>
            <w:pPr>
              <w:spacing w:after="0"/>
              <w:rPr>
                <w:sz w:val="16"/>
                <w:szCs w:val="16"/>
                <w:color w:val="auto"/>
              </w:rPr>
            </w:pPr>
          </w:p>
        </w:tc>
        <w:tc>
          <w:tcPr>
            <w:tcW w:w="7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2021 Notes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(38,865)</w:t>
            </w:r>
          </w:p>
        </w:tc>
      </w:tr>
      <w:tr>
        <w:trPr>
          <w:trHeight w:val="27"/>
        </w:trPr>
        <w:tc>
          <w:tcPr>
            <w:tcW w:w="42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536,135</w:t>
            </w:r>
          </w:p>
        </w:tc>
      </w:tr>
      <w:tr>
        <w:trPr>
          <w:trHeight w:val="324"/>
        </w:trPr>
        <w:tc>
          <w:tcPr>
            <w:tcW w:w="4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2024 Notes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(117,859)</w:t>
            </w:r>
          </w:p>
        </w:tc>
      </w:tr>
      <w:tr>
        <w:trPr>
          <w:trHeight w:val="27"/>
        </w:trPr>
        <w:tc>
          <w:tcPr>
            <w:tcW w:w="42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457,141</w:t>
            </w:r>
          </w:p>
        </w:tc>
      </w:tr>
      <w:tr>
        <w:trPr>
          <w:trHeight w:val="324"/>
        </w:trPr>
        <w:tc>
          <w:tcPr>
            <w:tcW w:w="77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605,912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613,981</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1,610,371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1,607,257</w:t>
            </w:r>
          </w:p>
        </w:tc>
      </w:tr>
      <w:tr>
        <w:trPr>
          <w:trHeight w:val="27"/>
        </w:trPr>
        <w:tc>
          <w:tcPr>
            <w:tcW w:w="77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33,387</w:t>
            </w:r>
          </w:p>
        </w:tc>
      </w:tr>
      <w:tr>
        <w:trPr>
          <w:trHeight w:val="25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1,576,984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1,573,870</w:t>
            </w:r>
          </w:p>
        </w:tc>
      </w:tr>
      <w:tr>
        <w:trPr>
          <w:trHeight w:val="20"/>
        </w:trPr>
        <w:tc>
          <w:tcPr>
            <w:tcW w:w="4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March 31, 2020, the carrying values of the equity component of the 2021 Notes and the 2024 Notes, net of equity issuance costs, were $126.9 million and $149.8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Scheduled maturities with respect to our long-term debt principal balances outstanding as of March 31, 2020 were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 (remainder)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Scheduled Long-Term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Debt Maturities</w:t>
      </w:r>
    </w:p>
    <w:p>
      <w:pPr>
        <w:spacing w:after="0" w:line="47" w:lineRule="exact"/>
        <w:rPr>
          <w:sz w:val="20"/>
          <w:szCs w:val="20"/>
          <w:color w:val="auto"/>
        </w:rPr>
      </w:pPr>
    </w:p>
    <w:p>
      <w:pPr>
        <w:ind w:left="1061" w:hanging="1061"/>
        <w:spacing w:after="0"/>
        <w:tabs>
          <w:tab w:leader="none" w:pos="1061" w:val="left"/>
        </w:tabs>
        <w:numPr>
          <w:ilvl w:val="0"/>
          <w:numId w:val="5"/>
        </w:numPr>
        <w:rPr>
          <w:rFonts w:ascii="Arial" w:cs="Arial" w:eastAsia="Arial" w:hAnsi="Arial"/>
          <w:sz w:val="16"/>
          <w:szCs w:val="16"/>
          <w:color w:val="auto"/>
        </w:rPr>
      </w:pPr>
      <w:r>
        <w:rPr>
          <w:rFonts w:ascii="Arial" w:cs="Arial" w:eastAsia="Arial" w:hAnsi="Arial"/>
          <w:sz w:val="16"/>
          <w:szCs w:val="16"/>
          <w:color w:val="auto"/>
        </w:rPr>
        <w:t>25,040</w:t>
      </w:r>
    </w:p>
    <w:p>
      <w:pPr>
        <w:spacing w:after="0" w:line="86" w:lineRule="exact"/>
        <w:rPr>
          <w:rFonts w:ascii="Arial" w:cs="Arial" w:eastAsia="Arial" w:hAnsi="Arial"/>
          <w:sz w:val="16"/>
          <w:szCs w:val="16"/>
          <w:color w:val="auto"/>
        </w:rPr>
      </w:pPr>
    </w:p>
    <w:p>
      <w:pPr>
        <w:ind w:left="961"/>
        <w:spacing w:after="0"/>
        <w:rPr>
          <w:rFonts w:ascii="Arial" w:cs="Arial" w:eastAsia="Arial" w:hAnsi="Arial"/>
          <w:sz w:val="16"/>
          <w:szCs w:val="16"/>
          <w:color w:val="auto"/>
        </w:rPr>
      </w:pPr>
      <w:r>
        <w:rPr>
          <w:rFonts w:ascii="Arial" w:cs="Arial" w:eastAsia="Arial" w:hAnsi="Arial"/>
          <w:sz w:val="16"/>
          <w:szCs w:val="16"/>
          <w:color w:val="auto"/>
        </w:rPr>
        <w:t>608,387</w:t>
      </w:r>
    </w:p>
    <w:p>
      <w:pPr>
        <w:spacing w:after="0" w:line="86" w:lineRule="exact"/>
        <w:rPr>
          <w:rFonts w:ascii="Arial" w:cs="Arial" w:eastAsia="Arial" w:hAnsi="Arial"/>
          <w:sz w:val="16"/>
          <w:szCs w:val="16"/>
          <w:color w:val="auto"/>
        </w:rPr>
      </w:pPr>
    </w:p>
    <w:p>
      <w:pPr>
        <w:ind w:left="1061"/>
        <w:spacing w:after="0"/>
        <w:rPr>
          <w:rFonts w:ascii="Arial" w:cs="Arial" w:eastAsia="Arial" w:hAnsi="Arial"/>
          <w:sz w:val="16"/>
          <w:szCs w:val="16"/>
          <w:color w:val="auto"/>
        </w:rPr>
      </w:pPr>
      <w:r>
        <w:rPr>
          <w:rFonts w:ascii="Arial" w:cs="Arial" w:eastAsia="Arial" w:hAnsi="Arial"/>
          <w:sz w:val="16"/>
          <w:szCs w:val="16"/>
          <w:color w:val="auto"/>
        </w:rPr>
        <w:t>33,387</w:t>
      </w:r>
    </w:p>
    <w:p>
      <w:pPr>
        <w:spacing w:after="0" w:line="86" w:lineRule="exact"/>
        <w:rPr>
          <w:rFonts w:ascii="Arial" w:cs="Arial" w:eastAsia="Arial" w:hAnsi="Arial"/>
          <w:sz w:val="16"/>
          <w:szCs w:val="16"/>
          <w:color w:val="auto"/>
        </w:rPr>
      </w:pPr>
    </w:p>
    <w:p>
      <w:pPr>
        <w:ind w:left="961"/>
        <w:spacing w:after="0"/>
        <w:rPr>
          <w:rFonts w:ascii="Arial" w:cs="Arial" w:eastAsia="Arial" w:hAnsi="Arial"/>
          <w:sz w:val="16"/>
          <w:szCs w:val="16"/>
          <w:color w:val="auto"/>
        </w:rPr>
      </w:pPr>
      <w:r>
        <w:rPr>
          <w:rFonts w:ascii="Arial" w:cs="Arial" w:eastAsia="Arial" w:hAnsi="Arial"/>
          <w:sz w:val="16"/>
          <w:szCs w:val="16"/>
          <w:color w:val="auto"/>
        </w:rPr>
        <w:t>517,494</w:t>
      </w:r>
    </w:p>
    <w:p>
      <w:pPr>
        <w:spacing w:after="0" w:line="86" w:lineRule="exact"/>
        <w:rPr>
          <w:rFonts w:ascii="Arial" w:cs="Arial" w:eastAsia="Arial" w:hAnsi="Arial"/>
          <w:sz w:val="16"/>
          <w:szCs w:val="16"/>
          <w:color w:val="auto"/>
        </w:rPr>
      </w:pPr>
    </w:p>
    <w:p>
      <w:pPr>
        <w:ind w:left="961"/>
        <w:spacing w:after="0"/>
        <w:rPr>
          <w:rFonts w:ascii="Arial" w:cs="Arial" w:eastAsia="Arial" w:hAnsi="Arial"/>
          <w:sz w:val="16"/>
          <w:szCs w:val="16"/>
          <w:color w:val="auto"/>
        </w:rPr>
      </w:pPr>
      <w:r>
        <w:rPr>
          <w:rFonts w:ascii="Arial" w:cs="Arial" w:eastAsia="Arial" w:hAnsi="Arial"/>
          <w:sz w:val="16"/>
          <w:szCs w:val="16"/>
          <w:color w:val="auto"/>
        </w:rPr>
        <w:t>575,000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071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80" w:lineRule="exact"/>
        <w:rPr>
          <w:sz w:val="20"/>
          <w:szCs w:val="20"/>
          <w:color w:val="auto"/>
        </w:rPr>
      </w:pPr>
    </w:p>
    <w:p>
      <w:pPr>
        <w:ind w:left="841" w:hanging="841"/>
        <w:spacing w:after="0"/>
        <w:tabs>
          <w:tab w:leader="none" w:pos="841" w:val="left"/>
        </w:tabs>
        <w:numPr>
          <w:ilvl w:val="0"/>
          <w:numId w:val="6"/>
        </w:numPr>
        <w:rPr>
          <w:rFonts w:ascii="Arial" w:cs="Arial" w:eastAsia="Arial" w:hAnsi="Arial"/>
          <w:sz w:val="16"/>
          <w:szCs w:val="16"/>
          <w:color w:val="auto"/>
        </w:rPr>
      </w:pPr>
      <w:r>
        <w:rPr>
          <w:rFonts w:ascii="Arial" w:cs="Arial" w:eastAsia="Arial" w:hAnsi="Arial"/>
          <w:sz w:val="16"/>
          <w:szCs w:val="16"/>
          <w:color w:val="auto"/>
        </w:rPr>
        <w:t>1,759,308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071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1071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859" w:space="720"/>
            <w:col w:w="1661"/>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lease expense for the three months ended March 31, 2020 and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96"/>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Cost</w:t>
            </w:r>
          </w:p>
        </w:tc>
        <w:tc>
          <w:tcPr>
            <w:tcW w:w="5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cost</w:t>
            </w:r>
          </w:p>
        </w:tc>
        <w:tc>
          <w:tcPr>
            <w:tcW w:w="5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ind w:left="440"/>
              <w:spacing w:after="0"/>
              <w:rPr>
                <w:sz w:val="20"/>
                <w:szCs w:val="20"/>
                <w:color w:val="auto"/>
              </w:rPr>
            </w:pPr>
            <w:r>
              <w:rPr>
                <w:rFonts w:ascii="Arial" w:cs="Arial" w:eastAsia="Arial" w:hAnsi="Arial"/>
                <w:sz w:val="18"/>
                <w:szCs w:val="18"/>
                <w:color w:val="auto"/>
                <w:w w:val="99"/>
              </w:rPr>
              <w:t>Supplemental balance sheet information related to operating leases was as follows (in thousands):</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2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5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24"/>
                <w:szCs w:val="2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53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5320" w:type="dxa"/>
            <w:vAlign w:val="bottom"/>
            <w:gridSpan w:val="2"/>
          </w:tcPr>
          <w:p>
            <w:pPr>
              <w:ind w:left="28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135,976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shd w:val="clear" w:color="auto" w:fill="CCEEFF"/>
          </w:tcPr>
          <w:p>
            <w:pPr>
              <w:spacing w:after="0"/>
              <w:rPr>
                <w:sz w:val="23"/>
                <w:szCs w:val="23"/>
                <w:color w:val="auto"/>
              </w:rPr>
            </w:pPr>
          </w:p>
        </w:tc>
        <w:tc>
          <w:tcPr>
            <w:tcW w:w="5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5320" w:type="dxa"/>
            <w:vAlign w:val="bottom"/>
            <w:gridSpan w:val="2"/>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5320" w:type="dxa"/>
            <w:vAlign w:val="bottom"/>
            <w:gridSpan w:val="2"/>
          </w:tcPr>
          <w:p>
            <w:pPr>
              <w:ind w:left="28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147,110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5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159,467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163,954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567"/>
        </w:trPr>
        <w:tc>
          <w:tcPr>
            <w:tcW w:w="8220" w:type="dxa"/>
            <w:vAlign w:val="bottom"/>
            <w:gridSpan w:val="3"/>
          </w:tcPr>
          <w:p>
            <w:pPr>
              <w:ind w:left="44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96"/>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tcPr>
          <w:p>
            <w:pPr>
              <w:spacing w:after="0"/>
              <w:rPr>
                <w:sz w:val="22"/>
                <w:szCs w:val="22"/>
                <w:color w:val="auto"/>
              </w:rPr>
            </w:pPr>
          </w:p>
        </w:tc>
        <w:tc>
          <w:tcPr>
            <w:tcW w:w="5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activities:</w:t>
            </w:r>
          </w:p>
        </w:tc>
        <w:tc>
          <w:tcPr>
            <w:tcW w:w="5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151,029</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w w:val="99"/>
              </w:rPr>
              <w:t>_____________________________</w:t>
            </w:r>
          </w:p>
        </w:tc>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540" w:right="1540" w:hanging="5316"/>
        <w:spacing w:after="0" w:line="511" w:lineRule="auto"/>
        <w:tabs>
          <w:tab w:leader="none" w:pos="5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March 31, 2019 disclosure includes the balances recognized on January 1, 2019 on adoption of ASU No. 2016-02, Leases. 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operating lease liabilities were as follows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4"/>
                <w:szCs w:val="14"/>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Operating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15,097</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21,023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21,044</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21,368</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23,711</w:t>
            </w:r>
          </w:p>
        </w:tc>
      </w:tr>
      <w:tr>
        <w:trPr>
          <w:trHeight w:val="243"/>
        </w:trPr>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104,655</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206,898</w:t>
            </w:r>
          </w:p>
        </w:tc>
      </w:tr>
      <w:tr>
        <w:trPr>
          <w:trHeight w:val="243"/>
        </w:trPr>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(47,431)</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2020 and December 31, 2019.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31, 2020, we had $90.5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litigation pending that could have, individually or in the aggregate, a material adverse effect on our results of operations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November 2016, our board of directors authorized a share repurchase program and as of March 31,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that we entered into in June 2015 and subsequently amended, which we refer to as the amended credit agreement, corporate and regulatory requirements and market conditions. The share repurchase program may be modified, suspended or discontinued at any time without prior notice. In the three months ended March 31, 2020, we spent a total of $139.1 million to purchase 1.1 million of our ordinary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shares under the share repurchase program at an average total purchase price, including commissions, of $122.91 per share. All ordinary shares repurchased were canceled. As of March 31, 2020, the remaining amount authorized under the share repurchase program was $438.7 million.</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accumulated other comprehensive loss as of March 31, 2020 and December 31, 2019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Gain (Loss) From</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net</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(257,436)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During the three months ended March 31, 2020, other comprehensive loss reflects foreign currency translation adjustments, primarily due to the weakening of the euro against the U.S. dollar, and the net unrealized loss on derivatives that qualify as cash flow hedges.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Ordinary Share</w:t>
      </w:r>
    </w:p>
    <w:p>
      <w:pPr>
        <w:spacing w:after="0" w:line="12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71"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85,201</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57,206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employee equity incentive and purchase plans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55,956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58,081</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(loss) per ordinary share because the average price of our ordinary shares for the three months ended March 31, 2020 and 2019 did not exceed the effective exchange prices per ordinary share of the Exchangeable Senior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10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Options, RSUs and ESPP</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5,611</w:t>
            </w: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4,988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368,317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60,899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Vyxeos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28,943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3,672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503,331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4,855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534,726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462,862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41,556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35,401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9,923</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534,726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508,186</w:t>
            </w: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86"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13335</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49"/>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ESSDS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McKesson</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deferred revenue balance as of March 31, 2020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$1.2 million during the three months ended March 31, 2020 relating to these upfront payments.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deferred revenue balances are being recognized over an average of four years representing the period over which we expect to perform our research and developments obligations under each agreement.</w:t>
      </w:r>
    </w:p>
    <w:p>
      <w:pPr>
        <w:spacing w:after="0" w:line="6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three months ended March 31,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Amount recognized within royalties and contract revenues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15. Share-Based Compensation</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gridSpan w:val="4"/>
          </w:tcPr>
          <w:p>
            <w:pPr>
              <w:ind w:left="440"/>
              <w:spacing w:after="0"/>
              <w:rPr>
                <w:sz w:val="20"/>
                <w:szCs w:val="20"/>
                <w:color w:val="auto"/>
              </w:rPr>
            </w:pPr>
            <w:r>
              <w:rPr>
                <w:rFonts w:ascii="Arial" w:cs="Arial" w:eastAsia="Arial" w:hAnsi="Arial"/>
                <w:sz w:val="18"/>
                <w:szCs w:val="18"/>
                <w:color w:val="auto"/>
                <w:w w:val="91"/>
              </w:rPr>
              <w:t>Share-based compensation expense related to share options, RSUs and grants under our ESPP was as follows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28,654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share-based compensation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24,908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23,885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84"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13335</wp:posOffset>
            </wp:positionV>
            <wp:extent cx="2005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1,297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42.84</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term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r>
      <w:tr>
        <w:trPr>
          <w:trHeight w:val="243"/>
        </w:trPr>
        <w:tc>
          <w:tcPr>
            <w:tcW w:w="8080" w:type="dxa"/>
            <w:vAlign w:val="bottom"/>
          </w:tcPr>
          <w:p>
            <w:pPr>
              <w:ind w:left="18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2.4-2.5%</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18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139.38</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62"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As of March 31, 2020, compensation cost not yet recognized related to unvested share options and RSUs was $82.5 million and $166.0 million, respectively, which is expected to be recognized over a weighted-average period of 2.7 years and 3.2 years,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income tax benefit was $51.3 million in the three months ended March 31, 2020 compared to an income tax provision of $29.1 million for the same period in 2019. The effective tax rate was 24.5% in the three months ended March 31, 2020 compared to 25.3% for the same period in 2019. The decrease in the effective tax rate for the three months ended March 31, 2020 compared to the same period in 2019 was primarily due to the impact of the remeasurement of the deferred tax liability related to the Erwinaze intangible asset following the reduction in the estimated remaining useful life in February 2019 following receipt of a contract termination notice from PBL, partially offset by the impact of the defibrotide acquired IPR&amp;D asset impairment charge and the impact of the acquired IPR&amp;D expense related to the PharmaMar transaction. The effective tax rate for the three months ended March 31, 2020 was higher than the Irish statutory rate of 12.5% primarily due to income taxable at a higher rate than the Irish statutory rate and unrecognized tax benefits, partially offset by originating tax credits. We do not provide for Irish income taxes on undistributed earnings of our foreign operations that are intended to be indefinitely reinvested in our foreign subsidiaries.</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April 7, 2020 U.S. Treasury released final regulations implementing the hybrid mismatch rules under Internal Revenue Code Sections 245A(e) and 267A. Our financial statements are based on guidance that existed as of the reporting date and therefore do not include the tax implications of these final regulations. We will include any change in tax related to the regulations in the period in which they were enacted but estimate that they will not have a material impact on us.</w:t>
      </w:r>
    </w:p>
    <w:p>
      <w:pPr>
        <w:spacing w:after="0" w:line="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net deferred tax asset is comprised primarily of U.S. federal and state tax credits, U.S. federal and state and foreign net operating loss carryforwards and other temporary differences, and is net of deferred tax liabilities related to acquired intangible assets.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For Ireland we are no longer subject to income tax audits by taxing authorities for the years prior to 2015. The U.S. jurisdictions generally have statute of limitations three to four years from the later of the return due date or the date when the return was filed. However, in the U.S. (at the federal level and in most states), carryforward tax attributes that were generated in 2015 and earlier may still be adjusted upon examination by the tax authorities. Certain of our subsidiaries are currently under examination by the French tax authorities for the years ended December 31, 2012, 2013, 2015, 2016 and 2017. These examinations may lead to ordinary course adjustments or proposed adjustments to our taxes. In December 2015, we received proposed tax assessment notices, and, in October 2018 and December 2019, we received revised tax assessment notices from the French tax authorities for 2012 and 2013 and in December 2018 and September 2019, we received a proposed tax assessment notice for 2015, 2016 and 2017, relating to certain transfer pricing adjustments. The notices propose additional French tax of approximately $41.0 million for 2012 and 2013 and approximately $11.7 million for 2015, 2016 and 2017 including interest and penalties through the respective dates of the proposed assessments, translated at the foreign exchange rate as of March 31, 2020. We disagree with the assessments and are contesting them vigorously. Certain of our Italian subsidiaries are currently under examination by the Italian tax authorities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140" w:firstLine="432"/>
        <w:spacing w:after="0" w:line="311" w:lineRule="auto"/>
        <w:rPr>
          <w:sz w:val="20"/>
          <w:szCs w:val="20"/>
          <w:color w:val="auto"/>
        </w:rPr>
      </w:pPr>
      <w:r>
        <w:rPr>
          <w:rFonts w:ascii="Arial" w:cs="Arial" w:eastAsia="Arial" w:hAnsi="Arial"/>
          <w:sz w:val="16"/>
          <w:szCs w:val="16"/>
          <w:color w:val="auto"/>
        </w:rPr>
        <w:t>In April 2020, in an abundance of caution and as a proactive measure, we drew down $500.0 million under the revolving credit facility provided for under the amended credit agreement to increase our cash position and preserve financial flexibility for corporate development and other investment opportunities in light of the current uncertainties and disruption to the global financial markets resulting from the COVID-19 pandemic.</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for people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and solid tumors. We actively explore new options for patients including novel compounds, small molecule advancements, biologics and innovative drug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40" w:hanging="321"/>
        <w:spacing w:after="0" w:line="257" w:lineRule="auto"/>
        <w:tabs>
          <w:tab w:leader="none" w:pos="7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(sodium oxybate) oral solution</w:t>
      </w:r>
      <w:r>
        <w:rPr>
          <w:rFonts w:ascii="Arial" w:cs="Arial" w:eastAsia="Arial" w:hAnsi="Arial"/>
          <w:sz w:val="16"/>
          <w:szCs w:val="16"/>
          <w:color w:val="auto"/>
        </w:rPr>
        <w:t>, the only product approved by the U.S. Food and Drug Administration, or FDA, and marketed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for the treatment of both cataplexy and excessive daytime sleepiness, or EDS, in both adult and pediatric patients with narcolepsy;</w:t>
      </w:r>
    </w:p>
    <w:p>
      <w:pPr>
        <w:spacing w:after="0" w:line="72" w:lineRule="exact"/>
        <w:rPr>
          <w:rFonts w:ascii="Arial" w:cs="Arial" w:eastAsia="Arial" w:hAnsi="Arial"/>
          <w:sz w:val="16"/>
          <w:szCs w:val="16"/>
          <w:b w:val="1"/>
          <w:bCs w:val="1"/>
          <w:color w:val="auto"/>
        </w:rPr>
      </w:pPr>
    </w:p>
    <w:p>
      <w:pPr>
        <w:ind w:left="720" w:hanging="321"/>
        <w:spacing w:after="0" w:line="257" w:lineRule="auto"/>
        <w:tabs>
          <w:tab w:leader="none" w:pos="7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Sunosi</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(solriamfetol)</w:t>
      </w:r>
      <w:r>
        <w:rPr>
          <w:rFonts w:ascii="Arial" w:cs="Arial" w:eastAsia="Arial" w:hAnsi="Arial"/>
          <w:sz w:val="16"/>
          <w:szCs w:val="16"/>
          <w:color w:val="auto"/>
        </w:rPr>
        <w:t>, a product approved by FDA and marketed in the U.S. to improve wakefulness in adult patients with EDS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narcolepsy or obstructive sleep apnea, or OSA, and also recently approved in Europe in January 2020 by the European Commission, or EC;</w:t>
      </w:r>
    </w:p>
    <w:p>
      <w:pPr>
        <w:spacing w:after="0" w:line="72" w:lineRule="exact"/>
        <w:rPr>
          <w:rFonts w:ascii="Arial" w:cs="Arial" w:eastAsia="Arial" w:hAnsi="Arial"/>
          <w:sz w:val="16"/>
          <w:szCs w:val="16"/>
          <w:b w:val="1"/>
          <w:bCs w:val="1"/>
          <w:color w:val="auto"/>
        </w:rPr>
      </w:pPr>
    </w:p>
    <w:p>
      <w:pPr>
        <w:ind w:left="720" w:right="80" w:hanging="321"/>
        <w:spacing w:after="0" w:line="214" w:lineRule="auto"/>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20" w:right="240" w:hanging="321"/>
        <w:spacing w:after="0" w:line="260" w:lineRule="auto"/>
        <w:tabs>
          <w:tab w:leader="none" w:pos="7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280" w:hanging="321"/>
        <w:spacing w:after="0" w:line="201" w:lineRule="auto"/>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t-AML, or AML with myelodysplasia-related changes.</w:t>
      </w:r>
    </w:p>
    <w:p>
      <w:pPr>
        <w:spacing w:after="0" w:line="9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Over the last five years, we achieved multiple significant regulatory approvals, including most recently the European approval of Sunosi, and executed on five product launches. Over the next two years, we look forward to three additional potential regulatory approvals and related product launches (lurbinectedin, JZP-258 and JZP-458 in the U.S.), as well as the commencement of the rolling launch of Sunosi in Europe by mid-2020.</w:t>
      </w:r>
    </w:p>
    <w:p>
      <w:pPr>
        <w:spacing w:after="0" w:line="57" w:lineRule="exact"/>
        <w:rPr>
          <w:sz w:val="20"/>
          <w:szCs w:val="20"/>
          <w:color w:val="auto"/>
        </w:rPr>
      </w:pPr>
    </w:p>
    <w:p>
      <w:pPr>
        <w:jc w:val="both"/>
        <w:ind w:right="360" w:firstLine="432"/>
        <w:spacing w:after="0" w:line="263" w:lineRule="auto"/>
        <w:rPr>
          <w:sz w:val="20"/>
          <w:szCs w:val="20"/>
          <w:color w:val="auto"/>
        </w:rPr>
      </w:pPr>
      <w:r>
        <w:rPr>
          <w:rFonts w:ascii="Arial" w:cs="Arial" w:eastAsia="Arial" w:hAnsi="Arial"/>
          <w:sz w:val="18"/>
          <w:szCs w:val="18"/>
          <w:color w:val="auto"/>
        </w:rPr>
        <w:t>In February 2020, FDA accepted for filing with priority review the new drug application, or NDA, for lurbinectedin for the treatment of relapsed small cell lung cancer, or SCLC, a product candidate for which we recently acquired exclusive U.S. development and commercialization rights, with a Prescription Drug User Fee Act, or PDUFA, action date of August 16,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In January 2020, we submitted an NDA to FDA seeking marketing approval for JZP-258, an oxybate product candidate that contains 92% less sodium than Xyrem, for the treatment of cataplexy and EDS in narcolepsy patients seven years of age and older. In March 2020, FDA accepted our NDA for filing with priority review with a PDUFA action date of July 21, 2020. The 92% reduction of sodium in JZP-258 translates into a reduction of approximately 1,000 to 1,500 milligrams per day for a patient prescribed an oxybate product, depending on the dose. Given the well-accepted relationship between dietary sodium and blood pressure as well as published hypertension guidelines underscoring that excessive consumption of sodium is independently associated with an increased risk of stroke, cardiovascular disease and other adverse outcomes, we believe that the lower sodium content of JZP-258 has the potential to offer a clinically meaningful benefit to patients who are prescribed an oxybate product to treat the chronic condition of narcolepsy.</w:t>
      </w:r>
    </w:p>
    <w:p>
      <w:pPr>
        <w:spacing w:after="0" w:line="84"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 xml:space="preserve">In December 2019, we enrolled our first patient in our pivotal Phase 2/3 clinical study (conducted in collaboration with the Children’s Oncology Group) for JZP-458, a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product candidate, for the treatment of pediatric and adult patients with ALL or lymphoblastic lymphoma, or LBL, who are hypersensitive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products. The study continues to enroll, and we expect to submit a biologics license application, or BLA, to FDA for JZP-458 as early as the fourth quarter of 2020. JZP-458 was granted Fast Track designation by FDA in October 2019 for the treatment of this patient population.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240" w:hanging="327"/>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corporate development transactions; and</w:t>
      </w:r>
    </w:p>
    <w:p>
      <w:pPr>
        <w:spacing w:after="0" w:line="75" w:lineRule="exact"/>
        <w:rPr>
          <w:rFonts w:ascii="Arial" w:cs="Arial" w:eastAsia="Arial" w:hAnsi="Arial"/>
          <w:sz w:val="18"/>
          <w:szCs w:val="18"/>
          <w:color w:val="auto"/>
        </w:rPr>
      </w:pPr>
    </w:p>
    <w:p>
      <w:pPr>
        <w:ind w:left="740" w:right="640" w:hanging="327"/>
        <w:spacing w:after="0" w:line="34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Maximizing the value of our products and product candidates by continuing to implement our comprehensive global development plans, including through generating additional clinical data and seeking regulatory approval for new indications and new geographies.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Continued Emphasis on Research and Development</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During the three months ended March 31, 2020, consistent with our strategy, we continued our focus on research and development activities within our sleep/neuroscience and hematology/oncology therapeutic areas, such as our recent expansion into movement disorders and solid tumors, and exploring and investing in adjacent therapeutic areas that could further diversify our portfolio.</w:t>
      </w:r>
    </w:p>
    <w:p>
      <w:pPr>
        <w:spacing w:after="0" w:line="7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conduct a significant number of these activities by leveraging our growing internal research and development function, but we have also entered into collaborations with third parties for the research and development of innovative early-stage product candidates and have supported third party work seeking to perform additional clinical studies of our products. We also seek out investment opportunities in support of development of early-stage technologies in our therapeutic areas and adjacencies. Through third parties, we have a number of licensing and collaboration agreements related to preclinical and clinical research and development activities in hematology and in precision oncology.</w:t>
      </w:r>
    </w:p>
    <w:p>
      <w:pPr>
        <w:spacing w:after="0" w:line="8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Sleep and Neuroscience</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337"/>
        </w:trPr>
        <w:tc>
          <w:tcPr>
            <w:tcW w:w="60" w:type="dxa"/>
            <w:vAlign w:val="bottom"/>
          </w:tcPr>
          <w:p>
            <w:pPr>
              <w:spacing w:after="0"/>
              <w:rPr>
                <w:sz w:val="24"/>
                <w:szCs w:val="24"/>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 Candidates</w:t>
            </w:r>
          </w:p>
        </w:tc>
        <w:tc>
          <w:tcPr>
            <w:tcW w:w="7280" w:type="dxa"/>
            <w:vAlign w:val="bottom"/>
            <w:gridSpan w:val="3"/>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780" w:type="dxa"/>
            <w:vAlign w:val="bottom"/>
          </w:tcPr>
          <w:p>
            <w:pPr>
              <w:spacing w:after="0"/>
              <w:rPr>
                <w:sz w:val="4"/>
                <w:szCs w:val="4"/>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Submitted for Regulatory Approval</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7280" w:type="dxa"/>
            <w:vAlign w:val="bottom"/>
            <w:gridSpan w:val="3"/>
          </w:tcPr>
          <w:p>
            <w:pPr>
              <w:ind w:left="620"/>
              <w:spacing w:after="0"/>
              <w:rPr>
                <w:sz w:val="20"/>
                <w:szCs w:val="20"/>
                <w:color w:val="auto"/>
              </w:rPr>
            </w:pPr>
            <w:r>
              <w:rPr>
                <w:rFonts w:ascii="Arial" w:cs="Arial" w:eastAsia="Arial" w:hAnsi="Arial"/>
                <w:sz w:val="18"/>
                <w:szCs w:val="18"/>
                <w:color w:val="auto"/>
              </w:rPr>
              <w:t>Cataplexy and EDS in narcolepsy</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3</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7280" w:type="dxa"/>
            <w:vAlign w:val="bottom"/>
            <w:gridSpan w:val="3"/>
          </w:tcPr>
          <w:p>
            <w:pPr>
              <w:ind w:left="620"/>
              <w:spacing w:after="0"/>
              <w:rPr>
                <w:sz w:val="20"/>
                <w:szCs w:val="20"/>
                <w:color w:val="auto"/>
              </w:rPr>
            </w:pPr>
            <w:r>
              <w:rPr>
                <w:rFonts w:ascii="Arial" w:cs="Arial" w:eastAsia="Arial" w:hAnsi="Arial"/>
                <w:sz w:val="18"/>
                <w:szCs w:val="18"/>
                <w:color w:val="auto"/>
              </w:rPr>
              <w:t>Idiopathic hypersomnia</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2b</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JZP-385</w:t>
            </w:r>
          </w:p>
        </w:tc>
        <w:tc>
          <w:tcPr>
            <w:tcW w:w="7280" w:type="dxa"/>
            <w:vAlign w:val="bottom"/>
            <w:gridSpan w:val="3"/>
          </w:tcPr>
          <w:p>
            <w:pPr>
              <w:ind w:left="620"/>
              <w:spacing w:after="0"/>
              <w:rPr>
                <w:sz w:val="20"/>
                <w:szCs w:val="20"/>
                <w:color w:val="auto"/>
              </w:rPr>
            </w:pPr>
            <w:r>
              <w:rPr>
                <w:rFonts w:ascii="Arial" w:cs="Arial" w:eastAsia="Arial" w:hAnsi="Arial"/>
                <w:sz w:val="18"/>
                <w:szCs w:val="18"/>
                <w:color w:val="auto"/>
              </w:rPr>
              <w:t>Essential tremor (planned study)</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Preclinical</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JZP-324</w:t>
            </w:r>
          </w:p>
        </w:tc>
        <w:tc>
          <w:tcPr>
            <w:tcW w:w="7280" w:type="dxa"/>
            <w:vAlign w:val="bottom"/>
            <w:gridSpan w:val="3"/>
          </w:tcPr>
          <w:p>
            <w:pPr>
              <w:ind w:left="620"/>
              <w:spacing w:after="0"/>
              <w:rPr>
                <w:sz w:val="20"/>
                <w:szCs w:val="20"/>
                <w:color w:val="auto"/>
              </w:rPr>
            </w:pPr>
            <w:r>
              <w:rPr>
                <w:rFonts w:ascii="Arial" w:cs="Arial" w:eastAsia="Arial" w:hAnsi="Arial"/>
                <w:sz w:val="18"/>
                <w:szCs w:val="18"/>
                <w:color w:val="auto"/>
              </w:rPr>
              <w:t>Oxybate once-nightly formulation</w:t>
            </w:r>
          </w:p>
        </w:tc>
      </w:tr>
      <w:tr>
        <w:trPr>
          <w:trHeight w:val="459"/>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16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00"/>
          </w:cols>
          <w:pgMar w:left="320" w:top="125" w:right="37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756"/>
        </w:trPr>
        <w:tc>
          <w:tcPr>
            <w:tcW w:w="4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Hematology and Oncology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38"/>
        </w:trPr>
        <w:tc>
          <w:tcPr>
            <w:tcW w:w="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68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6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00" w:type="dxa"/>
            <w:vAlign w:val="bottom"/>
          </w:tcPr>
          <w:p>
            <w:pPr>
              <w:spacing w:after="0"/>
              <w:rPr>
                <w:sz w:val="4"/>
                <w:szCs w:val="4"/>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Submitted for Regulatory Approval</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Lurbinectedin</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Relapsed SCLC (exclusive U.S. license)</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w w:val="95"/>
              </w:rPr>
              <w:t>AML or high-risk Myelodysplastic Syndrome, or MDS (AML18 and AML19) (cooperative</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group studies)</w:t>
            </w:r>
          </w:p>
        </w:tc>
      </w:tr>
      <w:tr>
        <w:trPr>
          <w:trHeight w:val="256"/>
        </w:trPr>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w w:val="93"/>
              </w:rPr>
              <w:t>Newly diagnosed adults with standard- and high-risk AML (AML Study Group cooperative</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group study)</w:t>
            </w:r>
          </w:p>
        </w:tc>
      </w:tr>
      <w:tr>
        <w:trPr>
          <w:trHeight w:val="256"/>
        </w:trPr>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Newly diagnosed pediatric patients with AML (planned Children’s Oncology Group</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cooperative group study)</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Lurbinectedin</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Relapsed SCLC (ATLANTIS) (exclusive U.S. license)</w:t>
            </w:r>
          </w:p>
        </w:tc>
      </w:tr>
      <w:tr>
        <w:trPr>
          <w:trHeight w:val="243"/>
        </w:trPr>
        <w:tc>
          <w:tcPr>
            <w:tcW w:w="6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Phase 2/3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JZP-458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ALL/LBL</w:t>
            </w:r>
          </w:p>
        </w:tc>
      </w:tr>
      <w:tr>
        <w:trPr>
          <w:trHeight w:val="243"/>
        </w:trPr>
        <w:tc>
          <w:tcPr>
            <w:tcW w:w="6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4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Prevention of aGvHD following allogeneic HSCT</w:t>
            </w:r>
          </w:p>
        </w:tc>
      </w:tr>
      <w:tr>
        <w:trPr>
          <w:trHeight w:val="277"/>
        </w:trPr>
        <w:tc>
          <w:tcPr>
            <w:tcW w:w="60" w:type="dxa"/>
            <w:vAlign w:val="bottom"/>
            <w:tcBorders>
              <w:right w:val="single" w:sz="8" w:color="CCEEFF"/>
            </w:tcBorders>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4"/>
                <w:szCs w:val="24"/>
                <w:color w:val="auto"/>
              </w:rPr>
            </w:pP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Prevention of CAR T-cell therapy-associated neurotoxicity</w:t>
            </w:r>
          </w:p>
        </w:tc>
      </w:tr>
      <w:tr>
        <w:trPr>
          <w:trHeight w:val="229"/>
        </w:trPr>
        <w:tc>
          <w:tcPr>
            <w:tcW w:w="6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w w:val="96"/>
              </w:rPr>
              <w:t>High-risk MDS (European Myelodysplastic Syndromes Cooperative Group cooperative</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group study)</w:t>
            </w:r>
          </w:p>
        </w:tc>
      </w:tr>
      <w:tr>
        <w:trPr>
          <w:trHeight w:val="270"/>
        </w:trPr>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 novo or relapsed/refractory, or R/R, AML (MD Anderson collaboration study)</w:t>
            </w:r>
          </w:p>
        </w:tc>
      </w:tr>
      <w:tr>
        <w:trPr>
          <w:trHeight w:val="243"/>
        </w:trPr>
        <w:tc>
          <w:tcPr>
            <w:tcW w:w="6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43"/>
        </w:trPr>
        <w:tc>
          <w:tcPr>
            <w:tcW w:w="6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Vyxeos + other approved therapies</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70"/>
        </w:trPr>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First-line, fit AML (Phase 1b study)</w:t>
            </w:r>
          </w:p>
        </w:tc>
      </w:tr>
      <w:tr>
        <w:trPr>
          <w:trHeight w:val="270"/>
        </w:trPr>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4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IMGN632</w:t>
            </w: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R/R CD123+ hematological malignancies (Jazz opt-in opportunity with ImmunoGen, Inc.,</w:t>
            </w:r>
          </w:p>
        </w:tc>
      </w:tr>
      <w:tr>
        <w:trPr>
          <w:trHeight w:val="230"/>
        </w:trPr>
        <w:tc>
          <w:tcPr>
            <w:tcW w:w="60" w:type="dxa"/>
            <w:vAlign w:val="bottom"/>
            <w:tcBorders>
              <w:right w:val="single" w:sz="8" w:color="CCEEFF"/>
            </w:tcBorders>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or ImmunoGen)</w:t>
            </w:r>
          </w:p>
        </w:tc>
      </w:tr>
      <w:tr>
        <w:trPr>
          <w:trHeight w:val="256"/>
        </w:trPr>
        <w:tc>
          <w:tcPr>
            <w:tcW w:w="60" w:type="dxa"/>
            <w:vAlign w:val="bottom"/>
            <w:tcBorders>
              <w:right w:val="single" w:sz="8" w:color="CCEEFF"/>
            </w:tcBorders>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 venetoclax/azacitidine in CD123+ AML (Jazz opt-in opportunity with ImmunoGen;</w:t>
            </w:r>
          </w:p>
        </w:tc>
      </w:tr>
      <w:tr>
        <w:trPr>
          <w:trHeight w:val="237"/>
        </w:trPr>
        <w:tc>
          <w:tcPr>
            <w:tcW w:w="60" w:type="dxa"/>
            <w:vAlign w:val="bottom"/>
            <w:tcBorders>
              <w:right w:val="single" w:sz="8" w:color="CCEEFF"/>
            </w:tcBorders>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Phase 1b/2 study)</w:t>
            </w:r>
          </w:p>
        </w:tc>
      </w:tr>
      <w:tr>
        <w:trPr>
          <w:trHeight w:val="243"/>
        </w:trPr>
        <w:tc>
          <w:tcPr>
            <w:tcW w:w="6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CombiPlex</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Hematology/oncology exploratory activities</w:t>
            </w:r>
          </w:p>
        </w:tc>
      </w:tr>
      <w:tr>
        <w:trPr>
          <w:trHeight w:val="243"/>
        </w:trPr>
        <w:tc>
          <w:tcPr>
            <w:tcW w:w="6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w w:val="97"/>
              </w:rPr>
              <w:t>ALL and other hematological malignancies (collaboration with Pfenex, Inc., or Pfenex)</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Recombinant pegaspargase</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29"/>
        </w:trPr>
        <w:tc>
          <w:tcPr>
            <w:tcW w:w="6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Pan-RAF inhibitor program</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RAF and RAS mutant tumors (acquired from Redx Pharma, which is continuing</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development)</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Exosome targets (NRAS, STAT3 and 3 other candidates)</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7"/>
              </w:rPr>
              <w:t>Hematological malignancies/solid tumors (collaboration with Codiak BioSciences, Inc.)</w:t>
            </w:r>
          </w:p>
        </w:tc>
      </w:tr>
      <w:tr>
        <w:trPr>
          <w:trHeight w:val="243"/>
        </w:trPr>
        <w:tc>
          <w:tcPr>
            <w:tcW w:w="6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Exploratory activities</w:t>
            </w:r>
          </w:p>
        </w:tc>
      </w:tr>
    </w:tbl>
    <w:p>
      <w:pPr>
        <w:spacing w:after="0" w:line="121"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In April 2020, we announced our decision to stop enrollment in our Phase 3 clinical study of defibrotide due to a determination that the study is highly unlikely to reach one of its primary endpoints, the prevention of VOD. This does not impact the approved indication or other ongoing defibrotide studies. In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80"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 addition, we remain focused on continuing to build excellence in areas that will give us a competitive advantage, including building an increasingly agile and adaptable commercialization engine and strengthening our customer-focused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market expertise across patients, providers and markets. We are refining our approach to engaging our customers by strengthening alignment and integration across functions and across regions. To that end, in 2020, we have set out to make several important organizational shifts to accelerate our progress, including a more integrated approach to brand planning, a new North American regional business structure, and a new global medical affairs organization. These initiatives mark a significant operational evolution that is directly linked to our corporate strategy and better enable our teams to work collaboratively on an aligned and shared agenda.</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We experienced limited financial impacts during the first quarter of 2020. However, given the global economic slowdown, the overall disruption of global healthcare systems and the other risks and uncertainties associated with the pandemic, we expect that our business, financial condition, results of operations and growth prospects will be adversely affected in future quarters.</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support broad public health strategies designed to prevent the spread of COVID-19 and are focused on the health and welfare of our employees. In accordance with guidance issued by the Centers for Disease Control and Prevention, the World Health Organization and local authorities, in March 2020, our global workforce, including field-based teams, transitioned to working remotely. Our global organization has mobilized to enable our employees to accomplish our most critical goals in new ways, leveraging positivity, innovation and prioritization of resources to overcome new obstacles. In addition to rolling out new technologies and collaboration tools, we have implemented processes and resources to support our employees in the event an employee receives a positive COVID-19 diagnosis. We are now developing plans related to reopening our sites and enabling our employees to return to work in our global offices, the field and our manufacturing facilities, which plans will take into account applicable public health authority and local government guidelines and which are designed to ensure employee safety.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With respect to our commercialization activities, the evolving effects of the COVID-19 pandemic are having a negative impact on demand 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sales, market access and reimbursement, and medical employees out of the field and suspended work-related travel and in-person customer interactions, including in-person interactions with healthcare professionals and customers. Since then, we have been utilizing technology to continue to engage healthcare professionals virtually to support patient care. As clinics and institutions begin to allow in-person interactions pursuant to health authority and local government guidelines, our field teams will start to re-initiate in-person interactions with healthcare professionals and clinics, but the timing and level of engagement will vary by account, region and country, and may be adversely impacted in the future where reemergence or future outbreaks of COVID-19 occur.</w:t>
      </w:r>
    </w:p>
    <w:p>
      <w:pPr>
        <w:spacing w:after="0" w:line="7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 xml:space="preserve">For Xyrem, the impact is related to the reduced ability of prescribers to diagnose narcolepsy patients given the limitations in access to sleep testing, which reduction in demand is evidenced in decreases in new patient enrollments in the Xyrem REMs program. Going forward, a negative impact may potentially be seen on patient compliance and persistence with Xyrem treatment, and the ability to fill, access and pay for prescriptions. For Sunosi, the impact on demand is related to the minimized ability of our field-based teams to interact with new prescribers and patients’ ability to fill, access and pay for prescriptions, and is evidenced in slower than budgeted growth of new prescribers and new patient starts in the U.S. We also anticipate delays by certain European regulatory authorities in their pricing and reimbursement reviews due to the pandemic, which is likely to delay our rolling Sunosi launch in certain European Union, or EU, member states. </w:t>
      </w:r>
      <w:r>
        <w:rPr>
          <w:rFonts w:ascii="Arial" w:cs="Arial" w:eastAsia="Arial" w:hAnsi="Arial"/>
          <w:sz w:val="17"/>
          <w:szCs w:val="17"/>
          <w:color w:val="212529"/>
        </w:rPr>
        <w:t>In addition, the reprioritization of healthcare resources and related delays, postponements or suspensions of</w:t>
      </w:r>
      <w:r>
        <w:rPr>
          <w:rFonts w:ascii="Arial" w:cs="Arial" w:eastAsia="Arial" w:hAnsi="Arial"/>
          <w:sz w:val="17"/>
          <w:szCs w:val="17"/>
          <w:color w:val="auto"/>
        </w:rPr>
        <w:t xml:space="preserve"> </w:t>
      </w:r>
      <w:r>
        <w:rPr>
          <w:rFonts w:ascii="Arial" w:cs="Arial" w:eastAsia="Arial" w:hAnsi="Arial"/>
          <w:sz w:val="17"/>
          <w:szCs w:val="17"/>
          <w:color w:val="212529"/>
        </w:rPr>
        <w:t xml:space="preserve">certain medical procedures such as stem cell transplants is resulting in a decrease in demand for Defitelio. In the U.S., we are also seeing a shift </w:t>
      </w:r>
      <w:r>
        <w:rPr>
          <w:rFonts w:ascii="Arial" w:cs="Arial" w:eastAsia="Arial" w:hAnsi="Arial"/>
          <w:sz w:val="17"/>
          <w:szCs w:val="17"/>
          <w:color w:val="000000"/>
        </w:rPr>
        <w:t>toward less</w:t>
      </w:r>
      <w:r>
        <w:rPr>
          <w:rFonts w:ascii="Arial" w:cs="Arial" w:eastAsia="Arial" w:hAnsi="Arial"/>
          <w:sz w:val="17"/>
          <w:szCs w:val="17"/>
          <w:color w:val="212529"/>
        </w:rPr>
        <w:t xml:space="preserve"> </w:t>
      </w:r>
      <w:r>
        <w:rPr>
          <w:rFonts w:ascii="Arial" w:cs="Arial" w:eastAsia="Arial" w:hAnsi="Arial"/>
          <w:sz w:val="17"/>
          <w:szCs w:val="17"/>
          <w:color w:val="000000"/>
        </w:rPr>
        <w:t>intensive outpatient AML treatments due to COVID-19, which is directly negatively impacting the use of Vyxeos, which prescribers are still primarily utilizing in inpatient settings, despite its availability for use in outpatient settings.</w:t>
      </w:r>
    </w:p>
    <w:p>
      <w:pPr>
        <w:spacing w:after="0" w:line="185" w:lineRule="exact"/>
        <w:rPr>
          <w:sz w:val="20"/>
          <w:szCs w:val="20"/>
          <w:color w:val="auto"/>
        </w:rPr>
      </w:pPr>
    </w:p>
    <w:p>
      <w:pPr>
        <w:jc w:val="both"/>
        <w:ind w:right="140" w:firstLine="432"/>
        <w:spacing w:after="0" w:line="301" w:lineRule="auto"/>
        <w:rPr>
          <w:sz w:val="20"/>
          <w:szCs w:val="20"/>
          <w:color w:val="auto"/>
        </w:rPr>
      </w:pPr>
      <w:r>
        <w:rPr>
          <w:rFonts w:ascii="Arial" w:cs="Arial" w:eastAsia="Arial" w:hAnsi="Arial"/>
          <w:sz w:val="16"/>
          <w:szCs w:val="16"/>
          <w:color w:val="auto"/>
        </w:rPr>
        <w:t>Depending on the scale and ultimate duration the COVID-19 pandemic and the extent of a global economic slowdown, widespread unemployment and resulting loss of employer-sponsored insurance coverage, we may experience a shift from commercial payor coverage to government payor coverage or an increase in demand for patient assistance and/or free drug programs, which would adversely affect access to our products and our net sales. We have seen an upward trend in demand for patient support and free drug program services since the end of the first quarter of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currently expect to have adequate global supply of Xyrem, Sunosi, Defitelio and Vyxeos in 2020, as well as adequate commercial product availability for lurbinectedin and JZP-258 to support planned U.S. launches if these product candidates are approved by FDA this year. However, the manufacturer of Erwinaze continues to have supply disruptions unrelated to the impact of the COVID-19 pandemic, and we are experiencing supply disruptions of Erwinaze in the U.S. and expect to continue to experience supply disruptions globally in 2020. We are working closely with our third-party manufacturers, distributors and other partners to manage our supply chain activities and mitigate potential disruptions to our product supplies as a result of the COVID-19 pandemic.</w:t>
      </w:r>
    </w:p>
    <w:p>
      <w:pPr>
        <w:spacing w:after="0" w:line="8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manufacturing facility in Athlone, Ireland, which produces Xyrem and JZP-258, currently continues to be operational, but we are managing operations through limited “essential” on-site staff and flexible work arrangements. In March 2020, we temporarily ceased operations at our Villa Guardia, Italy manufacturing facility, which produces defibrotide, to ensure the safety of our employees and communities in northern Italy. We are developing plans for a phased reopening of our Villa Guardia facility that takes into account applicable public health authority and local government guidelines as well as employee safety. If the COVID-19 pandemic persists for an extended period of time and begins to impact essential distribution systems such as FedEx and postal delivery, we could experience disruptions to our supply chain and operations, and associated delays in the manufacturing and supply of our products, which would adversely impact our ability to generate sales of and revenues from our approved products.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seeing a COVID-19-related impact on our clinical trial activities. We have taken measures to implement remote and virtual approaches, including remote data monitoring where possible, to maintain patient safety and trial continuity and to preserve study integrity. We are seeing an impact on our ability to initiate trial sites, enroll patients and maintain patient enrollment in our clinical programs and have suspended two of our healthy volunteer clinical development programs, JZP-385 and JZP-324, in the interest of volunteer safety.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or reemerges in the future, we could experience significant disruptions to our clinical development timelines, which would adversely affect our business, financial condition, results of operations and growth prospects. For example, while we are continuing to activate sites and enroll our JZP-458 study, we are experiencing a slowdown in site activation or enrollment as lab closures increase and sites begin limiting personnel to “essential” workers.</w:t>
      </w:r>
    </w:p>
    <w:p>
      <w:pPr>
        <w:spacing w:after="0" w:line="7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FDA accepted for filing with priority review the NDAs for lurbinectedin and JZP-258 with PDUFA action dates in the third quarter of 2020. FDA has indicated that an advisory committee meeting is not currently planned for lurbinectedin. However, the timing of NDA review and/or our interactions with FDA may be impacted due to, for example, limited staffing or working hours of governmental employees, governmental “stay-at-home” orders and travel restrictions with respect to physical inspections if required for regulatory approval, or the diversion of FDA’s efforts and attention to approval of other therapeutics or other activities related to COVID-19. Such delays and impact may affect approval decisions with respect to our JZP-258 and lurbinectedin NDAs and otherwise delay or limit our ability to make planned regulatory submissions or obtain new product approvals.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12529"/>
        </w:rPr>
        <w:t>Corporate Development and Other Financial Impacts</w:t>
      </w:r>
    </w:p>
    <w:p>
      <w:pPr>
        <w:spacing w:after="0" w:line="12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With our strong cash balance and positive cash flow, we anticipate having sufficient liquidity to make planned investments in our business in support of our long-term growth strategy. However, the COVID-19 pandemic continues to rapidly evolve and has already resulted in a significant disruption of global financial markets. As a result, in April 2020, in an abundance of caution and as a proactive measure, we drew down $500.0 million under our previously undrawn $1.6 billion revolving credit facility to increase our cash position and preserve financial flexibility for corporate development and other investment opportunities. If the disruption persists and deepens, we could experience an inability to access additional capital, which could in the future negatively affect our capacity for certain corporate development transactions or our ability to make other important, opportunistic investments. The pandemic could also impact our ability to do in-person due diligence, negotiations, and other interactions to identify new opportunities.</w:t>
      </w:r>
    </w:p>
    <w:p>
      <w:pPr>
        <w:spacing w:after="0" w:line="58"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While we expect the COVID-19 pandemic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of or reemergence of outbreaks, governmental “stay-at-home” orders and travel restrictions, quarantines, social distancing and business closure requirements in the U.S., Ireland and other countries, and the effectiveness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of actions taken globally to contain and treat the disease. For example, the inability of our work-force to return to office and field based work and the ongoing stress and reprioritization within the healthcare systems in our key markets may require us to reassess the timing and scope of key business activities for the year, including our ability to successfully launch JZP-258 and lurbinectedin, if approved.</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rapid spread of COVID-19 has caused a significant burden on health systems globally and has highlighted the need for companies to evaluate existing therapies to assess if they can be utilized beyond their current indications to treat COVID-19 as well as consider developing new therapies. We have accelerated our efforts to study, build expertise and generate data around defibrotide in the treatment of acute respiratory distress syndrome, a severe and relatively common symptom of COVID-19. We have received and granted requests for investigator-sponsored trials, or ISTs, to evaluate the use of defibrotide in COVID-19 patients experiencing respiratory distress. Currently, two Phase 2 programs are in progress to evaluate the potential use of defibrotide in COVID-19 patients: an IST in Spain for the prevention and treatment of respiratory distress and cytokine release syndrome and a trial in Italy to evaluate the reduction in the rate of respiratory failure in patients with COVID-19 pneumonia.</w:t>
      </w:r>
    </w:p>
    <w:p>
      <w:pPr>
        <w:spacing w:after="0" w:line="83"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In addition, we are supporting our local communities and patient-focused organizations in COVID-19 relief efforts including through corporate donations to charitable organizations providing food and medical relief to our communities in which we operate in Italy, Philadelphia and the San Francisco Bay Area,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Our business is substantially dependent on Xyrem. Our future plans assume that sales of Xyrem will increase, but there is no guarantee that we can maintain sales of Xyrem at or near current levels, or that Xyrem sales will continue to grow. We have periodically increased the price of Xyrem, most recently in January 2020, and there is no guarantee that we will be able to make similar price adjustments in the future or that price adjustments we have taken or may take in the future will not negatively affect Xyrem sales volumes and revenues from Xyrem. In the future, we expect Xyrem to face competition from generic and authorized generic versions of sodium oxybate pursuant to the settlement agreements we have entered into with multiple abbreviated new drug application filers. Generic competition can decrease the prices at which Xyrem is sold and the number of prescriptions written for Xyrem. Xyrem may also face competition from other branded sodium oxybate products and other new and existing branded market entrants.</w:t>
      </w:r>
    </w:p>
    <w:p>
      <w:pPr>
        <w:spacing w:after="0" w:line="166"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As for other products and product candidates in our sleep and neuroscience therapeutic area, we obtained approval of Sunosi in the U.S. and EU, and in January 2020, we submitted an NDA for marketing approval of JZP-258. Our future plans assume that, if approved, JZP-258 may be prescribed to patients as a safer and clinically superior alternative to Xyrem as well as being prescribed to patients who may otherwise be ineligible to take Xyrem due to its high sodium content. Although FDA has accepted our NDA for filing and set a PDUFA action date of July 21, 2020, we cannot guarantee that JZP 258 will be approved by that date. For example, FDA could determine that our application is not sufficient to support approval with the label we have requested, and require amendments or additional data, which could delay or preclude the approval of our NDA. In April 2020, Avadel Pharmaceuticals plc, or Avadel, announced positive topline results from its Phase 3 clinical trial of a once-nightly formulation of sodium oxybate that uses its proprietary technology for the treatment of EDS and cataplexy in patients with narcolepsy. Avadel has indicated that it intends to seek approval using the Section 505(b)(2) approval pathway referencing the safety and efficacy data for Xyrem. If FDA approves Avadel’s product and grants it orphan drug exclusivity before we obtain approval for JZP-258, there is a risk that JZP-258 will not be approvable for a narcolepsy indication for seven years unless it can establish clinical superiority to Avadel’s product. We cannot predict the timing of Avadel’s submission or how FDA will evaluate any clinical superiority arguments that either company may make, but a delay in approval or inability to obtain approval for JZP-258 could materially and adversely affect our business, financial condition, results of operations and growth prospects. If we are unable to successfully commercialize Sunosi and/or JZP-258 (if approved), or if sales of Sunosi and JZP-258 do not reach the levels we expect, our anticipated revenue from our sleep therapeutic area will be negatively affected, which would have a material adverse effect on our business, financial condition, results of operations and growth prospects.</w:t>
      </w:r>
    </w:p>
    <w:p>
      <w:pPr>
        <w:spacing w:after="0" w:line="16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addition to our sleep and neuroscience products and product candidates, we are commercializing a portfolio of hematology/oncology products, including Defitelio, Erwinaze and Vyxeos. An inability to effectively commercialize Defitelio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Vyxeos and to maximize their potential where possible through successful research and development activities could have a material adverse effect on our business, financial condition, results of operations and growth prospects.</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license and supply agreement with Porton Biopharma Limited, a limited liability company wholly owned by the UK Secretary of State for Health, or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 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BLA for Erwinaze in the U.S. and marketing authorizations for Erwinase in several other countries. We intend to work with PBL to address business transition post-termination to ensure continuity of patient care. However, in the past, we have had disagreements with PBL over product quality and supply, the costs of remediation, and other rights and obligations under the existing contract. Our ability to supply the market and generate future sales of product including that related to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during the post-termination sales period and may incur costs, including time and distraction of relevant employees, associated with resolution of any disputes with PBL. If PBL is unable to remediate the quality and manufacturing issues that have required oversight by us in order to get product to patients in the U.S., Erwinaze shortages may increase, and we could suffer reputational harm based on our historical and current association with the product. If we are unable to replace the future product sales we will lose from Erwinaze, our business, financial condition, results of operations and growth prospects would be materially adversely affected.</w:t>
      </w:r>
    </w:p>
    <w:p>
      <w:pPr>
        <w:spacing w:after="0" w:line="180"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157"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could have a material adverse effect on our business, results of operations and financial condition.</w:t>
      </w:r>
    </w:p>
    <w:p>
      <w:pPr>
        <w:spacing w:after="0" w:line="16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increasingly experiencing pressure from third party payors to agree to discounts, rebates or restrictive pricing terms for Xyrem. We also need to obtain adequate formulary positions and reimbursement coverage for newly-launched products such as Sunosi and future products, if approved, such as JZP-258, JZP-458 and lurbinectedin. Entering into agreements with pharmacy benefit managers, or PBMs, and payors to ensure patient access has and will likely continue to result in higher gross to net deductions for future periods for these products. We cannot guarantee we will be able to agree to commercially reasonable terms with PBMs and other third party payors, or that we will be able to ensure patient access to our existing and future products. In addition to increasing pricing pressure from, and restrictions on reimbursement imposed by payors, healthcare cost containment has received global attention, and drug pricing by pharmaceutical companies is currently, and is expected to continue to be, subject to close scrutiny by both federal and state governments.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w:t>
      </w:r>
    </w:p>
    <w:p>
      <w:pPr>
        <w:spacing w:after="0" w:line="185"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settlements, and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Xyrem REMS, the launch of JZP-258, our patent settlements or otherwise, we could incur significant expense and could be distracted from operation of our business and execution of our strategy. Any of these risks and uncertainties could have a material adverse effect on our business, financial condition, results of operations and growth prospects. In addition, to the extent the COVID-19 pandemic adversely affects our business and results of operations, it may also have the effect of heightening many of the other risks and uncertainties described above. All of these risks and uncertainties are discussed in greater detail, along with other risks and uncertainties, in “Risk Factors”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503,331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208,400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167,947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62,847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56,885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202,250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56,000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exchange loss</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 loss (gain) of investees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(1)  Comparison to prior period not meaningful.</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407,875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37,732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60,899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Vyxeos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28,943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503,331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534,726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508,186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Xyrem product sales increased in the three months ended March 31, 2020 compared to the same period in 2019 primarily due to a higher average net selling price and, to a lesser extent, an increase in sales volume. Price increases were instituted in July 2019 and January 2020. Xyrem product sales volume increased by 5% in the three months ended March 31, 2020 compared to the same period in 2019 primarily driven by an increase in the average number of patients on Xyrem. Erwinaze/Erwinase product sales decreased in the three months ended March 31, 2020 compared to the same period in 2019 primarily due to limited availability of inventory from the manufacturer. Ongoing supply challenges continue to negatively impact our ability to supply the market. We are experiencing supply disruptions of Erwinaze in the U.S. and expect to continue to experience supply disruptions globally in 2020. Defitelio/defibrotide product sales increased in the three months ended March 31, 2020 compared to the same period in 2019 primarily due to higher sales volumes and, to a lesser extent, the impact of a price increase instituted in July 2019. Vyxeos product sales increased in the three months ended March 31, 2020 compared to the same period in 2019 primarily driven by an increase in sales volume in Europe. Sunosi product sales in the three months ended March 31, 2020 were $1.9 million. Sunosi launched in the U.S. launch in July 2019. We expect total product sales for 2020 will be consistent with 2019 as the evolving effects of the COVID-19 pandemic are having a negative impact, and 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expected to continue to have a negative impact, on demand for our products and growth in our net sales. See “Overview—COVID-19 Business Update”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Royalties and contract revenues in the three months ended March 31, 2020 were consistent with the same period in 2019. We expect royalties and contract revenues to decrease in 2020 compared to 2019 primarily due to lower milestone revenues from out-licensing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Cost of product sales decreased in the three months ended March 31, 2020 compared to the same period in 2019 primarily due to changes in product mix. Gross margin as a percentage of net product sales was 94.6% for the three months ended March 31, 2020 compared to 93.3% for the same period in 2019. We expect that our gross margin as a percentage of net product sales will not change materially in 2020 compared to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Selling, general and administrative expenses increased in the three months ended March 31, 2020 compared to the same period in 2019 primarily due to higher sales and marketing expenses related to our products and pre-launch commercialization activities for product candidates as well as an increase in other expenses related to the expansion of our business. We expect selling, general and administrative expenses in 2020 to increase compared to 2019, primarily due to an increase in expenses related to the continuation of the commercial launch of Sunosi in the U.S., the commercial launch of Sunosi in Europe and, if approved, the planned commercial launches of both lurbinectedin and JZP-258 in the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21,310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86,107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60,105</w:t>
            </w: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Research and development expenses increased by $26.0 million in the three months ended March 31, 2020 compared to the same period in 2019. Clinical studies and outside services costs increased by $17.5 million in the three months ended March 31, 2020 compared to the same period in 2019 primarily due to higher clinical trial costs primarily associated with JZP-458 and JZP-258 in idiopathic hypersomnia, and an increase in expenses related to our ongoing preclinical and clinical development programs and support of partner programs. Personnel expenses increased by $4.6 million in the three months ended March 31, 2020 compared to the same period in 2019 primarily due to increased headcount in support of our development programs.</w:t>
      </w:r>
    </w:p>
    <w:p>
      <w:pPr>
        <w:spacing w:after="0" w:line="53"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The COVID-19 pandemic is impacting our research and development activities in 2020 and we expect that our research and development expenses will be consistent with 2019. For 2021 and beyond we anticipate that research and development expenses will increase as we prepare for anticipated regulatory submissions and data read-outs from clinical trials, initiate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undertake additional clinical trials and related development work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 amortization increased by $6.0 million in the three months ended March 31, 2020 compared to the same period in 2019, primarily due to the reduction in the estimated remaining useful life of the Erwinaze intangible asset resulting from the contract termination notice we received from PBL in February 2019. Intangible asset amortization is expected to decrease in 2020 compared to 2019 as a result of the amortization in full of our priority review voucher intangible asset in the fourth quarter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In the three months ended March 31, 2020, we recorded an acquired in-process research and development, or IPR&amp;D, asset impairment charge of $136.1 million following the decision to stop enrollment in our Phase 3 clinical study of defibrotide due to a determination that the study is highly unlikely to reach one of its primary endpoints, the prevention of VOD.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Acquired IPR&amp;D expense in the three months ended March 31, 2020 primarily related to an upfront payment of $200.0 million to Pharma Mar, S.A. in connection with our license agreement. Acquired IPR&amp;D expense in the three months ended March 31, 2019 related to an upfront payment of $56.0 million to Codiak in connection with our strategic collaboration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Interest expense, net increased by $0.6 million in the three months ended March 31, 2020 compared to the same period in 2019, primarily due to higher interest expense. We expect interest expense, net will increase in 2020 compared to 2019, primarily due to the increase in our average debt balance following the drawdown of $500.0 million under our revolving credit facility in April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Our income tax benefit was $51.3 million in the three months ended March 31, 2020 compared to an income tax provision of $29.1 million for the same period in 2019. The effective tax rate was 24.5% in the three months ended March 31, 2020, compared to 25.3% for the same period in 2019. The decrease in the effective tax rate for the three months ended March 31, 2020 compared to the same period in 2019 was primarily due to the impact of the remeasurement of the deferred tax liability related to the Erwinaze intangible asset following the reduction in the estimated remaining useful life in February 2019 following receipt of a contract termination notice from PBL, partially offset by the impact of the defibrotide acquired IPR&amp;D asset impairment charge and the impact of the acquired IPR&amp;D expense related to the PharmaMar transaction. The effective tax rate for the three months ended March 31, 2020 was higher than the Irish statutory rate of 12.5% primarily due to income taxable at a higher rate than the Irish statutory rate and unrecognized tax benefits, partially offset by originating tax credits. We do not provide for Irish income taxes on undistributed earnings of our foreign operations that are intended to be indefinitely reinvested in our foreign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Investees</w:t>
      </w:r>
    </w:p>
    <w:p>
      <w:pPr>
        <w:spacing w:after="0" w:line="11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Equity in earnings of investees relates to our share in the net loss (gain) of companies in which we have made investments accounted for under the equity method of accounting.</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2020, we had cash, cash equivalents and investments of $1.0 billion, borrowing availability under our revolving credit facility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$1.6 billion and long-term debt principal balance of $1.8 billion. Our long-term debt included $609.3 million aggregate principal amount term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$575.0 million principal amount of our 1.875% exchangeable senior notes due 2021 and $575.0 million principal amount of our 1.50% exchangeable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We generated cash flows from operations of $273.0 million during the three months ended March 31, 2020, and we expect to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 positive cash flows from operations during 2020.</w:t>
      </w:r>
    </w:p>
    <w:p>
      <w:pPr>
        <w:spacing w:after="0" w:line="103"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In April 2020, in an abundance of caution and as a proactive measure, we drew down $500.0 million under the revolving credit facility provided for under the amended credit agreement to increase our cash position and preserve financial flexibility for corporate development and other investment opportunities in light of the current uncertainties and disruption to the global financial markets resulting from the COVID-19 pandemic.</w:t>
      </w:r>
    </w:p>
    <w:p>
      <w:pPr>
        <w:spacing w:after="0" w:line="4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II, Item 1A of this Quarterly Report on Form 10-Q under the headings “Risks Related to our Lead Products and Product Candidates” and </w:t>
      </w:r>
      <w:r>
        <w:rPr>
          <w:rFonts w:ascii="Arial" w:cs="Arial" w:eastAsia="Arial" w:hAnsi="Arial"/>
          <w:sz w:val="17"/>
          <w:szCs w:val="17"/>
          <w:i w:val="1"/>
          <w:iCs w:val="1"/>
          <w:color w:val="auto"/>
        </w:rPr>
        <w:t>“To continue to grow our business, we will need to commit substantial resources, which could result in future losses or otherwise limit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opportunities or affect our ability to operate our business.” </w:t>
      </w:r>
      <w:r>
        <w:rPr>
          <w:rFonts w:ascii="Arial" w:cs="Arial" w:eastAsia="Arial" w:hAnsi="Arial"/>
          <w:sz w:val="17"/>
          <w:szCs w:val="17"/>
          <w:color w:val="auto"/>
        </w:rPr>
        <w:t>Our assumptions may prove to be wrong or other factors may adversely affect our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for corporate development transactions,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In addition, any equity financing would be dilutive to our shareholders, and the consent of the lenders under the amended credit agreement could be required for certain financings.</w:t>
      </w:r>
    </w:p>
    <w:p>
      <w:pPr>
        <w:spacing w:after="0" w:line="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November 2016, our board of directors authorized a share repurchase program and as of March 31,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the three months ended March 31, 2020, we spent a total of $139.1 million to purchase 1.1 million of our ordinary shares under the share repurchase program at an average total purchase price, including commissions, of $122.91 per share. All ordinary shares repurchased were canceled. As of March 31, 2020, the remaining amount authorized under the share repurchase program was $438.7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272,969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202,253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166,052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64,258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237,844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Net cash provided by operating activities increased by $70.7 million in the three months ended March 31, 2020 compared to the same period in 2019, primarily due to:</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net cash inflow related to changes in operating assets and liabilities primarily driven by the timing of receipts from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Net cash (used in) provided by investing activities decreased by $226.1 million in the three months ended March 31, 2020 compared to the same period in 2019, primarily due to the following:</w:t>
      </w:r>
    </w:p>
    <w:p>
      <w:pPr>
        <w:spacing w:after="0" w:line="116" w:lineRule="exact"/>
        <w:rPr>
          <w:sz w:val="20"/>
          <w:szCs w:val="20"/>
          <w:color w:val="auto"/>
        </w:rPr>
      </w:pPr>
    </w:p>
    <w:p>
      <w:pPr>
        <w:jc w:val="both"/>
        <w:ind w:left="660" w:right="3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$146.3 million increase in upfront payments for acquired IPR&amp;D primarily driven by the $200.0 million payment under our license agreement with PharmaMar in the three months ended March 31, 2020, compared to the same period in 2019 which included a payment of $56.0 million under our strategic collaboration agreement with Codiak;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$70.0 million decrease in net proceeds from maturity of investments;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$13.0 million increase in acquisition of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Net cash used in financing activities increased by $17.3 million in the three months ended March 31, 2020 compared to the same period in 2019, primarily due to:</w:t>
      </w:r>
    </w:p>
    <w:p>
      <w:pPr>
        <w:spacing w:after="0" w:line="116" w:lineRule="exact"/>
        <w:rPr>
          <w:sz w:val="20"/>
          <w:szCs w:val="20"/>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$27.8 million in share repurchases, partially offset by a $10.2 million increase in proceeds from the exercise of options and our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As of March 31, 2020, no amounts were outstanding under our revolving credit facility. During the three months ended March 31, 2020, there were no material changes to our amended credit agreement and the Exchangeable Senior Notes, as set forth in Note 11, Debt, of the Notes to Consolidated Financial Statements included in our Annual Report on Form 10-K for the year ended December 31, 2019.</w:t>
      </w:r>
    </w:p>
    <w:p>
      <w:pPr>
        <w:spacing w:after="0" w:line="80"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In April 2020, in an abundance of caution and as a proactive measure, we drew down $500.0 million under the revolving credit facility provided for under the amended credit agreement to increase our cash position and preserve financial flexibility for corporate development and other investment opportunities in light of the current uncertainties and disruption to the global financial markets resulting from the COVID-19 pandemic.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20" w:firstLine="432"/>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to our contractual obligations as set forth in Part II, Item 7 “Management’s Discussion and Analysis of Financial Condition and Results of Operations” in our Annual Report on Form 10-K for the year ended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7"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Our critical accounting policies and significant estimates are detailed in our Annual Report on Form 10-K for the year ended December 31, 2019. Our critical accounting policies and significant estimates have not changed substantially from those previously disclosed in our Annual Report on Form 10-K for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80" w:firstLine="432"/>
        <w:spacing w:after="0" w:line="342" w:lineRule="auto"/>
        <w:rPr>
          <w:sz w:val="20"/>
          <w:szCs w:val="20"/>
          <w:color w:val="auto"/>
        </w:rPr>
      </w:pPr>
      <w:r>
        <w:rPr>
          <w:rFonts w:ascii="Arial" w:cs="Arial" w:eastAsia="Arial" w:hAnsi="Arial"/>
          <w:sz w:val="16"/>
          <w:szCs w:val="16"/>
          <w:color w:val="auto"/>
        </w:rPr>
        <w:t>During the three months ended March 31, 2020, there were no material changes to our market risk disclosures as set forth in Part II, Item 7A “Quantitative and Qualitative Disclosures About Market Risk” in our Annual Report on Form 10-K for the year ended December 31, 2019.</w:t>
      </w:r>
    </w:p>
    <w:p>
      <w:pPr>
        <w:spacing w:after="0" w:line="2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March 31, 2020.</w:t>
      </w:r>
    </w:p>
    <w:p>
      <w:pPr>
        <w:spacing w:after="0" w:line="8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A control system, no matter how well conceived and operated, can provide only reasonable, not</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assurance that the objectives of the control system are met. Because of inherent limitations in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8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March 31, 2020, there have been no changes to our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00" w:firstLine="432"/>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sleep therapeutic area would have a material adverse effect on our business, financial condition, results of operations and growth prospects.</w:t>
      </w:r>
    </w:p>
    <w:p>
      <w:pPr>
        <w:spacing w:after="0" w:line="62" w:lineRule="exact"/>
        <w:rPr>
          <w:sz w:val="20"/>
          <w:szCs w:val="20"/>
          <w:color w:val="auto"/>
        </w:rPr>
      </w:pPr>
    </w:p>
    <w:p>
      <w:pPr>
        <w:ind w:right="20" w:firstLine="432"/>
        <w:spacing w:after="0" w:line="258" w:lineRule="auto"/>
        <w:rPr>
          <w:sz w:val="20"/>
          <w:szCs w:val="20"/>
          <w:color w:val="auto"/>
        </w:rPr>
      </w:pPr>
      <w:r>
        <w:rPr>
          <w:rFonts w:ascii="Arial" w:cs="Arial" w:eastAsia="Arial" w:hAnsi="Arial"/>
          <w:sz w:val="17"/>
          <w:szCs w:val="17"/>
          <w:color w:val="auto"/>
        </w:rPr>
        <w:t>Our current business is substantially dependent on 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(sodium oxybate) oral solution, and our financial results are significantly influenced by sales of Xyrem. A significant decline in sales of Xyrem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 While our future plans assume that sales of Xyrem will increase, there is no guarantee that we can maintain sales of Xyrem at or near current levels, or that Xyrem sales will continue to grow. Our ability to maintain or increase Xyrem product sales is subject to a number of risks and uncertainties as discussed in greater detail below, including those related to the introduction of authorized generic and generic versions of sodium oxybate and/or new products for treatment of cataplexy and/or excessive daytime sleepiness, or EDS, in narcolepsy in the U.S. market, the current and potential impacts of the ongoing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challenges to our intellectual property around Xyrem, and continued acceptance of Xyrem by physicians and patients.</w:t>
      </w:r>
    </w:p>
    <w:p>
      <w:pPr>
        <w:spacing w:after="0" w:line="86" w:lineRule="exact"/>
        <w:rPr>
          <w:sz w:val="20"/>
          <w:szCs w:val="20"/>
          <w:color w:val="auto"/>
        </w:rPr>
      </w:pPr>
    </w:p>
    <w:p>
      <w:pPr>
        <w:ind w:firstLine="405"/>
        <w:spacing w:after="0" w:line="258" w:lineRule="auto"/>
        <w:rPr>
          <w:sz w:val="20"/>
          <w:szCs w:val="20"/>
          <w:color w:val="auto"/>
        </w:rPr>
      </w:pPr>
      <w:r>
        <w:rPr>
          <w:rFonts w:ascii="Arial" w:cs="Arial" w:eastAsia="Arial" w:hAnsi="Arial"/>
          <w:sz w:val="17"/>
          <w:szCs w:val="17"/>
          <w:color w:val="auto"/>
        </w:rPr>
        <w:t>As for other products and product candidates in our sleep and neuroscience therapeutic area, we obtained approval of Sunosi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Sunosi</w:t>
      </w:r>
      <w:r>
        <w:rPr>
          <w:rFonts w:ascii="Arial" w:cs="Arial" w:eastAsia="Arial" w:hAnsi="Arial"/>
          <w:sz w:val="17"/>
          <w:szCs w:val="17"/>
          <w:color w:val="212529"/>
        </w:rPr>
        <w:t xml:space="preserve"> is subject to a number of risks and uncertainties, including the potential impacts of the COVID-19 pandemic on the successful commercialization in the U.S., which is still at an early stage, and rolling launch in Europe; market acceptance of Sunosi; our ability, in a competitive retail pharmacy market, to differentiate Sunosi from other products that are prescribed to treat excessive sleepiness in patients with OSA or EDS in patients with narcolepsy; the availability of adequate formulary positions and pricing and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the </w:t>
      </w:r>
      <w:r>
        <w:rPr>
          <w:rFonts w:ascii="Arial" w:cs="Arial" w:eastAsia="Arial" w:hAnsi="Arial"/>
          <w:sz w:val="17"/>
          <w:szCs w:val="17"/>
          <w:color w:val="000000"/>
        </w:rPr>
        <w:t>U.S. Food and Drug Administration,</w:t>
      </w:r>
      <w:r>
        <w:rPr>
          <w:rFonts w:ascii="Arial" w:cs="Arial" w:eastAsia="Arial" w:hAnsi="Arial"/>
          <w:sz w:val="17"/>
          <w:szCs w:val="17"/>
          <w:color w:val="212529"/>
        </w:rPr>
        <w:t xml:space="preserve"> </w:t>
      </w:r>
      <w:r>
        <w:rPr>
          <w:rFonts w:ascii="Arial" w:cs="Arial" w:eastAsia="Arial" w:hAnsi="Arial"/>
          <w:sz w:val="17"/>
          <w:szCs w:val="17"/>
          <w:color w:val="000000"/>
        </w:rPr>
        <w:t xml:space="preserve">or FDA, </w:t>
      </w:r>
      <w:r>
        <w:rPr>
          <w:rFonts w:ascii="Arial" w:cs="Arial" w:eastAsia="Arial" w:hAnsi="Arial"/>
          <w:sz w:val="17"/>
          <w:szCs w:val="17"/>
          <w:color w:val="212529"/>
        </w:rPr>
        <w:t>in the future and any such limitations that may be required by the European Commission, or the EC, or other regulatory authority on any approved</w:t>
      </w:r>
      <w:r>
        <w:rPr>
          <w:rFonts w:ascii="Arial" w:cs="Arial" w:eastAsia="Arial" w:hAnsi="Arial"/>
          <w:sz w:val="17"/>
          <w:szCs w:val="17"/>
          <w:color w:val="000000"/>
        </w:rPr>
        <w:t xml:space="preserve"> </w:t>
      </w:r>
      <w:r>
        <w:rPr>
          <w:rFonts w:ascii="Arial" w:cs="Arial" w:eastAsia="Arial" w:hAnsi="Arial"/>
          <w:sz w:val="17"/>
          <w:szCs w:val="17"/>
          <w:color w:val="212529"/>
        </w:rPr>
        <w:t>labeling; and our ability to satisfy FDA’s post-marketing requirements.</w:t>
      </w:r>
    </w:p>
    <w:p>
      <w:pPr>
        <w:spacing w:after="0" w:line="80"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 xml:space="preserve">In March 2020, FDA accepted for filing with priority review our new drug application, or NDA, for marketing approval of JZP-258, an oxybate product candidate that contains 92%, or approximately 1,000 to 1,500 milligrams per day, less sodium than Xyrem, for the treatment of cataplexy and EDS in narcolepsy patients seven years of age and older. The Prescription Drug User Fee Act, or PDUFA, action date for FDA’s review of our JZP-258 NDA is July 21, 2020. Our future plans assume that, if approved, JZP-258 may be prescribed to patients as a safer and clinically superior alternative to Xyrem as well as being prescribed to patients who may otherwise be ineligible to take Xyrem due to its high sodium content. </w:t>
      </w:r>
      <w:r>
        <w:rPr>
          <w:rFonts w:ascii="Arial" w:cs="Arial" w:eastAsia="Arial" w:hAnsi="Arial"/>
          <w:sz w:val="16"/>
          <w:szCs w:val="16"/>
          <w:color w:val="212529"/>
        </w:rPr>
        <w:t>Our ability to realize the anticipated</w:t>
      </w:r>
      <w:r>
        <w:rPr>
          <w:rFonts w:ascii="Arial" w:cs="Arial" w:eastAsia="Arial" w:hAnsi="Arial"/>
          <w:sz w:val="16"/>
          <w:szCs w:val="16"/>
          <w:color w:val="auto"/>
        </w:rPr>
        <w:t xml:space="preserve"> </w:t>
      </w:r>
      <w:r>
        <w:rPr>
          <w:rFonts w:ascii="Arial" w:cs="Arial" w:eastAsia="Arial" w:hAnsi="Arial"/>
          <w:sz w:val="16"/>
          <w:szCs w:val="16"/>
          <w:color w:val="212529"/>
        </w:rPr>
        <w:t xml:space="preserve">benefits from our investment in JZP-258 is subject to a number of risks and uncertainties, including </w:t>
      </w:r>
      <w:r>
        <w:rPr>
          <w:rFonts w:ascii="Arial" w:cs="Arial" w:eastAsia="Arial" w:hAnsi="Arial"/>
          <w:sz w:val="16"/>
          <w:szCs w:val="16"/>
          <w:color w:val="000000"/>
        </w:rPr>
        <w:t>delay or failure in obtaining approval of JZP-258,</w:t>
      </w:r>
      <w:r>
        <w:rPr>
          <w:rFonts w:ascii="Arial" w:cs="Arial" w:eastAsia="Arial" w:hAnsi="Arial"/>
          <w:sz w:val="16"/>
          <w:szCs w:val="16"/>
          <w:color w:val="212529"/>
        </w:rPr>
        <w:t xml:space="preserve"> </w:t>
      </w:r>
      <w:r>
        <w:rPr>
          <w:rFonts w:ascii="Arial" w:cs="Arial" w:eastAsia="Arial" w:hAnsi="Arial"/>
          <w:sz w:val="16"/>
          <w:szCs w:val="16"/>
          <w:color w:val="000000"/>
        </w:rPr>
        <w:t>including as a result of the ongoing COVID-19 pandemic; our receipt of approval for narrower indications than sought or burdens in the approved label; obtaining FDA approval of a risk evaluation and mitigation strategy, or REMS; obtaining and maintaining adequate coverage and reimbursement for JZP-258; the introduction of new products in the U.S. market that compete with JZP-258 in the treatment of cataplexy and/or EDS in narcolepsy, including generic or authorized generic versions of sodium oxybate or new sodium oxybate products; and acceptance of JZP-258 by payors, physicians and patients.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If we are unable to successfully commercialize Sunosi and/or JZP-258 (if approved), or if sales of Sunosi and JZP-258 do not reach the levels we expect, our anticipated revenue from our sleep therapeutic area will be negatively affected, which would have a material adverse effect on our business, financial condition, results of operations and growth prospects.</w:t>
      </w:r>
    </w:p>
    <w:p>
      <w:pPr>
        <w:spacing w:after="0" w:line="7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 xml:space="preserve">While Xyrem is currently the only product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we and others have launched and may in the future launch products that are competitive with or disrupt the market for Xyrem.</w:t>
      </w:r>
    </w:p>
    <w:p>
      <w:pPr>
        <w:spacing w:after="0" w:line="7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For example, in the future, we expect Xyrem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REMS as Xyrem and, if approved, JZP 258.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6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all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Other companies may develop a sodium oxybate product for treatment of narcolepsy, using an alternative formulation or a different delivery technology, and seek approval in the U.S. using an NDA approval pathway under Section 505(b)(2) and referencing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safety and efficacy data for Xyrem. In April 2020, Avadel Pharmaceuticals plc, or Avadel, announced positive topline results from its Phase 3 clinical trial of a once-nightly formulation of sodium oxybate which uses its proprietary technology for the treatment of EDS and cataplexy in patients with narcolepsy and expects to announce top-line results in the second quarter of 2020. Xyrem may also face competition from new branded entrants to treat EDS in narcolepsy such as pitolisant. Other companies have announced that they have product candidates in various phases of development to treat the symptoms of narcolepsy, such as Axsome Therapeutics, Inc.’s reboxetine.</w:t>
      </w:r>
    </w:p>
    <w:p>
      <w:pPr>
        <w:spacing w:after="0" w:line="6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expect that, if approved, JZP-258, will face competition similar to that described above for Xyrem, including from generic or authorized generic sodium oxybate product or new branded entrants in narcolepsy such as Avadel’s sodium oxybate product. Avadel has announced that it has obtained an orphan drug designation from FDA for its once-nightly sodium oxybate formulation. To obtain orphan drug exclusivity upon approval, Avadel will have to show clinical superiority to Xyrem and possibly to JZP-258, if approved. If FDA approves Avadel’s product and grants it orphan drug exclusivity before we obtain approval for JZP-258, there is a risk that JZP-258 will not be approvable for a narcolepsy indication for seven years unless it can establish clinical superiority to Avadel’s product. We cannot predict the timing of Avadel’s submission or how FDA will evaluate any clinical superiority arguments that either company may make, but a delay in approval or inability to obtain approval for JZP-258 could materially and adversely affect our business, financial condition, results of operations and growth prospects.</w:t>
      </w:r>
    </w:p>
    <w:p>
      <w:pPr>
        <w:spacing w:after="0" w:line="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Moreover, non-oxybate products intended for the treatment of EDS or cataplexy in narcolepsy, including new market entrants, even if not directly competitive with Xyrem or JZP-258 (if approved), could have the effect of changing treatment regimens and payor or formulary coverage of Xyrem or JZP-258 in favor of other products, and indirectly materially and adversely affect sales of Xyrem (and if approved, JZP-258). Examples of such new market entrants include our product, Sunosi, and pitolisant, a drug that was approved by FDA in August 2019 for the treatment of EDS in adult patients with narcolepsy and that became commercially available in the U.S. in the fourth quarter of 2019. Pitolisant has also been approved and marketed in Europe to treat adult patients with narcolepsy with or without cataplexy, and a marketing authorization application is pending with the European Medicines Agency, or EMA, for approval of pitolisant in the treatment of EDS in OSA. In addition, prescribers often prescribe stimulants or wake-promoting agents for treatment of EDS, and anti-depressants for cataplexy, before or instead of prescribing Xyrem, and payors often require patients to try such medications before they will cover Xyrem. Examples of such products are described in “Business—Competition” in Part I, Item 1 of our Annual Report on Form 10-K for the year ended December 31, 2019.</w:t>
      </w:r>
    </w:p>
    <w:p>
      <w:pPr>
        <w:spacing w:after="0" w:line="77"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We expect that the approval and launch of an AG Product or other generic version of Xyrem could have a material adverse effect on our sales of and revenues from Xyrem and on our business, financial condition, results of operations and growth prospects. We also expect that the approval and launch of any other sodium oxybate (including JZP-258 or Avadel’s once-nightly sodium oxybate formulation) or alternative product that treats narcolepsy could have a material adverse effect on our sales of and revenues from Xyrem, which could have the additional impact of potentially triggering acceleration of market entry of AG Products or other generic sodium oxybate products under our ANDA litigation settlement agreements.</w:t>
      </w:r>
    </w:p>
    <w:p>
      <w:pPr>
        <w:spacing w:after="0" w:line="68"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if approved, JZP-258.</w:t>
      </w:r>
    </w:p>
    <w:p>
      <w:pPr>
        <w:spacing w:after="0" w:line="1"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active pharmaceutical ingredient, or API, of Xyrem, sodium oxybate, is the sodium salt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to help ensure that the benefits of the drug in the treatment of cataplexy and EDS in narcolepsy outweigh the serious risks of the drug. The REMS imposes extensive controls and restrictions on the sales and marketing of Xyrem that we are responsible for implementing. Any failure to demonstrate our substantial compliance with our REMS obligations, including as a result of business or other interruptions resulting from the ongoing COVID-19 pandemic, or a determination by FDA that the Xyrem REMS is not meeting its goals, could result in enforcement action by FDA, lead to changes in our Xyrem REMS obligations, negatively affect sales of Xyrem, result in additional costs and expenses for us and/or require us to invest a significant amount of resources, any of which could materially and adversely affect our business, financial condition, results of operations and growth prospects. Similarly, we expect that FDA will require approval of a REMS for JZP-258, and a delay in obtaining such approval could delay our anticipated launch of JZP-258, which could adversely affect our business, financial condition, results of operations and growth prospects.</w:t>
      </w:r>
    </w:p>
    <w:p>
      <w:pPr>
        <w:spacing w:after="0" w:line="74"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FDA has stated that it will evaluate the Xyrem REMS on an ongoing basis and will require modifications as may be appropriate. We cannot predict whether FDA will request, seek to require or ultimately require modifications to, or impose additional requirements on, the Xyrem REMS, including in connection with the submission of applications for new oxybate products including JZP-258, new oxybate indications, the introduction of authorized generics, or to accommodate generics, or whether FDA will approve modifications to the Xyrem REMS that we consider warranted in connection with the submission of applications for new oxybate products including JZP-258. Any modifications approved, required or rejected by FDA could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change the safety profile of Xyrem, and have a significant negative impact in terms of product liability, public acceptance of Xyrem as a treatment for cataplexy and EDS in narcolepsy, and prescribers’ willingness to prescribe, and patients’ willingness to take, Xyrem, any of which could have a material adverse effect on our Xyrem business. Modifications approved, required or rejected by FDA could also make it more difficult or expensive for us to distribute Xyrem, make distribution easier for sodium oxybate competitors, disrupt continuity of care for Xyrem patients and/or negatively affect sales of Xyrem.</w:t>
      </w:r>
    </w:p>
    <w:p>
      <w:pPr>
        <w:spacing w:after="0" w:line="8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depend on outside vendors, including the central certified pharmacy, to implement the requirements of the Xyrem REMS. If the central pharmacy fails to meet the requirements of the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ongoing COVID-19 pandemic or otherwise, the fulfillment of Xyrem prescriptions and our sales would be adversely affected. If we change to a new central pharmacy, new contracts might be required with government payors and other insurers who pay for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Xyrem under the Xyrem REMS. Transitioning to a new pharmacy could result in product shortages, which would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6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its approval of Hikma’s ANDA, FDA waived the requirement of a single shared REMS between the brand drug and generic versions, approving Hikma’s ANDA with a generic sodium oxybate REMS separate from the Xyrem REMS, except for the requirement that the generic sodium oxybate REMS program pharmacies contact the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sodium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Xyrem as a treatment for cataplexy and EDS in narcolepsy, and prescribers’ willingness to prescribe, and patients’ willingness to take, Xyrem, any of which could have a material adverse effect on our Xyrem business.</w:t>
      </w:r>
    </w:p>
    <w:p>
      <w:pPr>
        <w:spacing w:after="0" w:line="7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may face pressure to further modify the Xyrem REMS or to license or share intellectual property pertinent to the Xyrem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It is possible that the FTC, FDA, other governmental authorities or other third parties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could have the effect of blocking or delaying generic competition. We cannot predict whether we would face a government investigation or a complaint by a third party premised on a claim that the Xyrem REMS is blocking competition, or the outcome or impact of any such claim.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Pharmaceutical companies, including their agents and employees, are required to monitor adverse events occurring during the use of their products and report them to FDA. The patient counseling and monitoring requirements of the Xyrem REMS provide more extensive information about adverse events experienced by patients taking Xyrem, including deaths, than is generally available for other products that are not subject to similar REMS requirements. As required by FDA and other regulatory agencies, the adverse event information that we collect for Xyrem is regularly reported to FDA and could result in FDA requiring changes to Xyrem labeling, including additional warnings or additional boxed warnings, or requiring us to take other actions that could have an adverse effect on patient and prescriber acceptance of Xyrem. As required by FDA, Xyrem’s current labeling includes a boxed warning regarding the risk of central nervous system depression and misuse and abuse.</w:t>
      </w:r>
    </w:p>
    <w:p>
      <w:pPr>
        <w:spacing w:after="0" w:line="69"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Xyrem sales and therefore on our business, financial condition, results of operations and growth prospects.</w:t>
      </w:r>
    </w:p>
    <w:p>
      <w:pPr>
        <w:spacing w:after="0" w:line="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While Xyrem remains our largest product, our success also depends on our ability to effectively commercialize products outside our sleep and neuroscience therapeutic area.</w:t>
      </w:r>
    </w:p>
    <w:p>
      <w:pPr>
        <w:spacing w:after="0" w:line="62"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addition to Xyrem and our other sleep and neuroscience products and product candidates, we are commercializing a portfolio of products, including our other lead marketed products, Defitelio, Erwinaze and Vyxeos. An inability to effectively commercialize Defitelio and Vyxeos and to maximize their potential where possible through successful research and development activities, whether due to the impacts of the ongoing COVID-19 pandemic or otherwise, and an inability to retain marketing rights to Erwinaze after 2020, could have a material adverse effect on our business, financial condition, results of operations and growth prospects.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Defitelio</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color w:val="212529"/>
        </w:rPr>
        <w:t xml:space="preserve">Our ability to maintain and grow sales and to realize the anticipated benefits from our investment in </w:t>
      </w:r>
      <w:r>
        <w:rPr>
          <w:rFonts w:ascii="Arial" w:cs="Arial" w:eastAsia="Arial" w:hAnsi="Arial"/>
          <w:sz w:val="17"/>
          <w:szCs w:val="17"/>
          <w:color w:val="000000"/>
        </w:rPr>
        <w:t>Defitelio</w:t>
      </w:r>
      <w:r>
        <w:rPr>
          <w:rFonts w:ascii="Arial" w:cs="Arial" w:eastAsia="Arial" w:hAnsi="Arial"/>
          <w:sz w:val="24"/>
          <w:szCs w:val="24"/>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(defibrotide sodium)</w:t>
      </w:r>
      <w:r>
        <w:rPr>
          <w:rFonts w:ascii="Arial" w:cs="Arial" w:eastAsia="Arial" w:hAnsi="Arial"/>
          <w:sz w:val="17"/>
          <w:szCs w:val="17"/>
          <w:color w:val="212529"/>
        </w:rPr>
        <w:t xml:space="preserve"> is subject to a number of risks and uncertainties, including continued acceptance by hospital pharmacy and therapeutics committees in the U.S., the EU </w:t>
      </w:r>
      <w:r>
        <w:rPr>
          <w:rFonts w:ascii="Arial" w:cs="Arial" w:eastAsia="Arial" w:hAnsi="Arial"/>
          <w:sz w:val="17"/>
          <w:szCs w:val="17"/>
          <w:color w:val="000000"/>
        </w:rPr>
        <w:t>and other</w:t>
      </w:r>
      <w:r>
        <w:rPr>
          <w:rFonts w:ascii="Arial" w:cs="Arial" w:eastAsia="Arial" w:hAnsi="Arial"/>
          <w:sz w:val="17"/>
          <w:szCs w:val="17"/>
          <w:color w:val="212529"/>
        </w:rPr>
        <w:t xml:space="preserve"> </w:t>
      </w:r>
      <w:r>
        <w:rPr>
          <w:rFonts w:ascii="Arial" w:cs="Arial" w:eastAsia="Arial" w:hAnsi="Arial"/>
          <w:sz w:val="17"/>
          <w:szCs w:val="17"/>
          <w:color w:val="000000"/>
        </w:rPr>
        <w:t xml:space="preserve">countries; the </w:t>
      </w:r>
      <w:r>
        <w:rPr>
          <w:rFonts w:ascii="Arial" w:cs="Arial" w:eastAsia="Arial" w:hAnsi="Arial"/>
          <w:sz w:val="17"/>
          <w:szCs w:val="17"/>
          <w:color w:val="212529"/>
        </w:rPr>
        <w:t>continued availability of favorable pricing and adequate coverage and reimbursement</w:t>
      </w:r>
      <w:r>
        <w:rPr>
          <w:rFonts w:ascii="Arial" w:cs="Arial" w:eastAsia="Arial" w:hAnsi="Arial"/>
          <w:sz w:val="17"/>
          <w:szCs w:val="17"/>
          <w:color w:val="000000"/>
        </w:rPr>
        <w:t xml:space="preserve">; </w:t>
      </w:r>
      <w:r>
        <w:rPr>
          <w:rFonts w:ascii="Arial" w:cs="Arial" w:eastAsia="Arial" w:hAnsi="Arial"/>
          <w:sz w:val="17"/>
          <w:szCs w:val="17"/>
          <w:color w:val="212529"/>
        </w:rPr>
        <w:t>the limited experience of, and need to educate,</w:t>
      </w:r>
      <w:r>
        <w:rPr>
          <w:rFonts w:ascii="Arial" w:cs="Arial" w:eastAsia="Arial" w:hAnsi="Arial"/>
          <w:sz w:val="17"/>
          <w:szCs w:val="17"/>
          <w:color w:val="000000"/>
        </w:rPr>
        <w:t xml:space="preserve"> </w:t>
      </w:r>
      <w:r>
        <w:rPr>
          <w:rFonts w:ascii="Arial" w:cs="Arial" w:eastAsia="Arial" w:hAnsi="Arial"/>
          <w:sz w:val="17"/>
          <w:szCs w:val="17"/>
          <w:color w:val="212529"/>
        </w:rPr>
        <w:t xml:space="preserve">physicians in recognizing, diagnosing and treating </w:t>
      </w:r>
      <w:r>
        <w:rPr>
          <w:rFonts w:ascii="Arial" w:cs="Arial" w:eastAsia="Arial" w:hAnsi="Arial"/>
          <w:sz w:val="17"/>
          <w:szCs w:val="17"/>
          <w:color w:val="000000"/>
        </w:rPr>
        <w:t>hepatic veno-occlusive disease, or VOD, particularly in adults; the possibility that physicians</w:t>
      </w:r>
      <w:r>
        <w:rPr>
          <w:rFonts w:ascii="Arial" w:cs="Arial" w:eastAsia="Arial" w:hAnsi="Arial"/>
          <w:sz w:val="17"/>
          <w:szCs w:val="17"/>
          <w:color w:val="212529"/>
        </w:rPr>
        <w:t xml:space="preserve"> </w:t>
      </w:r>
      <w:r>
        <w:rPr>
          <w:rFonts w:ascii="Arial" w:cs="Arial" w:eastAsia="Arial" w:hAnsi="Arial"/>
          <w:sz w:val="17"/>
          <w:szCs w:val="17"/>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7"/>
          <w:szCs w:val="17"/>
          <w:color w:val="212529"/>
        </w:rPr>
        <w:t>and the limited size of the population of VOD patients who are indicated for treatment with Defitelio</w:t>
      </w:r>
      <w:r>
        <w:rPr>
          <w:rFonts w:ascii="Arial" w:cs="Arial" w:eastAsia="Arial" w:hAnsi="Arial"/>
          <w:sz w:val="17"/>
          <w:szCs w:val="17"/>
          <w:color w:val="000000"/>
        </w:rPr>
        <w:t xml:space="preserve"> </w:t>
      </w:r>
      <w:r>
        <w:rPr>
          <w:rFonts w:ascii="Arial" w:cs="Arial" w:eastAsia="Arial" w:hAnsi="Arial"/>
          <w:sz w:val="17"/>
          <w:szCs w:val="17"/>
          <w:color w:val="212529"/>
        </w:rPr>
        <w:t xml:space="preserve">(particularly if changes in </w:t>
      </w:r>
      <w:r>
        <w:rPr>
          <w:rFonts w:ascii="Arial" w:cs="Arial" w:eastAsia="Arial" w:hAnsi="Arial"/>
          <w:sz w:val="17"/>
          <w:szCs w:val="17"/>
          <w:color w:val="000000"/>
        </w:rPr>
        <w:t>hematopoietic stem cell transplantation</w:t>
      </w:r>
      <w:r>
        <w:rPr>
          <w:rFonts w:ascii="Arial" w:cs="Arial" w:eastAsia="Arial" w:hAnsi="Arial"/>
          <w:sz w:val="17"/>
          <w:szCs w:val="17"/>
          <w:color w:val="212529"/>
        </w:rPr>
        <w:t xml:space="preserve"> treatment protocols reduce the incidence of VOD diagnosis and demand for Defitelio). In addition, due to COVID-19, the reprioritization of healthcare resources and related delays, postponements or suspensions of certain medical procedures such as stem cell transplants is resulting in a decrease in demand for Defitelio. If sales of Defitelio do not reach the levels we expect, our anticipated revenue from the product would be negatively affected and our business, financial condition, results of operations and growth prospects would be materially adversely affected. </w:t>
      </w:r>
      <w:r>
        <w:rPr>
          <w:rFonts w:ascii="Arial" w:cs="Arial" w:eastAsia="Arial" w:hAnsi="Arial"/>
          <w:sz w:val="17"/>
          <w:szCs w:val="17"/>
          <w:color w:val="000000"/>
        </w:rPr>
        <w:t>In addition, because VOD is an ultra-rare disease, we have experienced inter-quarter variability in our Defitelio sales, which</w:t>
      </w:r>
      <w:r>
        <w:rPr>
          <w:rFonts w:ascii="Arial" w:cs="Arial" w:eastAsia="Arial" w:hAnsi="Arial"/>
          <w:sz w:val="17"/>
          <w:szCs w:val="17"/>
          <w:color w:val="212529"/>
        </w:rPr>
        <w:t xml:space="preserve"> </w:t>
      </w:r>
      <w:r>
        <w:rPr>
          <w:rFonts w:ascii="Arial" w:cs="Arial" w:eastAsia="Arial" w:hAnsi="Arial"/>
          <w:sz w:val="17"/>
          <w:szCs w:val="17"/>
          <w:color w:val="000000"/>
        </w:rPr>
        <w:t>makes Defitelio sales difficult to predict from period to period. As a result, Defitelio sales results or trends in any period may not necessarily be indicative of future performance.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Erwinaze</w:t>
      </w:r>
    </w:p>
    <w:p>
      <w:pPr>
        <w:spacing w:after="0" w:line="117" w:lineRule="exact"/>
        <w:rPr>
          <w:sz w:val="20"/>
          <w:szCs w:val="20"/>
          <w:color w:val="auto"/>
        </w:rPr>
      </w:pPr>
    </w:p>
    <w:p>
      <w:pPr>
        <w:ind w:right="40" w:firstLine="432"/>
        <w:spacing w:after="0" w:line="278" w:lineRule="auto"/>
        <w:rPr>
          <w:sz w:val="20"/>
          <w:szCs w:val="20"/>
          <w:color w:val="auto"/>
        </w:rPr>
      </w:pPr>
      <w:r>
        <w:rPr>
          <w:rFonts w:ascii="Arial" w:cs="Arial" w:eastAsia="Arial" w:hAnsi="Arial"/>
          <w:sz w:val="16"/>
          <w:szCs w:val="16"/>
          <w:color w:val="auto"/>
        </w:rPr>
        <w:t>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xml:space="preserve">), which is approved to treat a limited population of patients with acute lymphoblastic leukemia, or ALL, </w:t>
      </w:r>
      <w:r>
        <w:rPr>
          <w:rFonts w:ascii="Arial" w:cs="Arial" w:eastAsia="Arial" w:hAnsi="Arial"/>
          <w:sz w:val="16"/>
          <w:szCs w:val="16"/>
          <w:color w:val="212529"/>
        </w:rPr>
        <w:t>who have developed hypersensitivity to</w:t>
      </w:r>
      <w:r>
        <w:rPr>
          <w:rFonts w:ascii="Arial" w:cs="Arial" w:eastAsia="Arial" w:hAnsi="Arial"/>
          <w:sz w:val="16"/>
          <w:szCs w:val="16"/>
          <w:color w:val="auto"/>
        </w:rPr>
        <w:t xml:space="preserve"> </w:t>
      </w:r>
      <w:r>
        <w:rPr>
          <w:rFonts w:ascii="Arial" w:cs="Arial" w:eastAsia="Arial" w:hAnsi="Arial"/>
          <w:sz w:val="16"/>
          <w:szCs w:val="16"/>
          <w:i w:val="1"/>
          <w:iCs w:val="1"/>
          <w:color w:val="212529"/>
        </w:rPr>
        <w:t>E. coli</w:t>
      </w:r>
      <w:r>
        <w:rPr>
          <w:rFonts w:ascii="Arial" w:cs="Arial" w:eastAsia="Arial" w:hAnsi="Arial"/>
          <w:sz w:val="16"/>
          <w:szCs w:val="16"/>
          <w:color w:val="212529"/>
        </w:rPr>
        <w:t>-derived asparaginase,</w:t>
      </w:r>
      <w:r>
        <w:rPr>
          <w:rFonts w:ascii="Arial" w:cs="Arial" w:eastAsia="Arial" w:hAnsi="Arial"/>
          <w:sz w:val="16"/>
          <w:szCs w:val="16"/>
          <w:color w:val="auto"/>
        </w:rPr>
        <w:t xml:space="preserve"> is licensed from, and manufactured by, a single source, Porton Biopharma Limited, or PBL, a company that is wholly owned by the UK Department of Health and Social Care. Our license and supply agreement with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 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biologics license application, or BLA, for Erwinaze in the U.S. and marketing authorizations for Erwinase in several other countries. We intend to work with PBL to address business transition post-termination to ensure continuity of patient care. However, in the past, we have had disagreements with PBL over product quality and supply, the costs of remediation, and other rights and obligations under the existing contract. Our ability to supply the market and generate future sales of product including that related to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during the post-termination sales period and may incur costs, including time and distraction of relevant employees, associated with resolution of any disputes with PBL. If PBL is unable to remediate the quality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manufacturing issues that have required oversight by us in order to get product to patients in the U.S., Erwinaze shortages may increase, and we could suffer reputational harm based on our historical and current association with the product. If we are unable to replace the future product sales we will lose from Erwinaze, our business, financial condition, results of operations and growth prospects would be materially adversely affected.</w:t>
      </w:r>
    </w:p>
    <w:p>
      <w:pPr>
        <w:spacing w:after="0" w:line="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12529"/>
        </w:rPr>
        <w:t>a continuing and significant challenge to maintaining sales of Erwinaze and a barrier to increasing sales is PBL’s inability to consistently</w:t>
      </w:r>
      <w:r>
        <w:rPr>
          <w:rFonts w:ascii="Arial" w:cs="Arial" w:eastAsia="Arial" w:hAnsi="Arial"/>
          <w:sz w:val="18"/>
          <w:szCs w:val="18"/>
          <w:color w:val="auto"/>
        </w:rPr>
        <w:t xml:space="preserve"> </w:t>
      </w:r>
      <w:r>
        <w:rPr>
          <w:rFonts w:ascii="Arial" w:cs="Arial" w:eastAsia="Arial" w:hAnsi="Arial"/>
          <w:sz w:val="18"/>
          <w:szCs w:val="18"/>
          <w:color w:val="212529"/>
        </w:rPr>
        <w:t xml:space="preserve">supply product that meets specifications in quantities that are adequate to meet market demand. </w:t>
      </w:r>
      <w:r>
        <w:rPr>
          <w:rFonts w:ascii="Arial" w:cs="Arial" w:eastAsia="Arial" w:hAnsi="Arial"/>
          <w:sz w:val="18"/>
          <w:szCs w:val="18"/>
          <w:color w:val="000000"/>
        </w:rPr>
        <w:t>Other challenges facing</w:t>
      </w:r>
      <w:r>
        <w:rPr>
          <w:rFonts w:ascii="Arial" w:cs="Arial" w:eastAsia="Arial" w:hAnsi="Arial"/>
          <w:sz w:val="18"/>
          <w:szCs w:val="18"/>
          <w:color w:val="212529"/>
        </w:rPr>
        <w:t xml:space="preserve"> Erwinaze include the limited population of patients with ALL, and </w:t>
      </w:r>
      <w:r>
        <w:rPr>
          <w:rFonts w:ascii="Arial" w:cs="Arial" w:eastAsia="Arial" w:hAnsi="Arial"/>
          <w:sz w:val="18"/>
          <w:szCs w:val="18"/>
          <w:color w:val="000000"/>
        </w:rPr>
        <w:t>the incidence of hypersensitivity reactions to</w:t>
      </w:r>
      <w:r>
        <w:rPr>
          <w:rFonts w:ascii="Arial" w:cs="Arial" w:eastAsia="Arial" w:hAnsi="Arial"/>
          <w:sz w:val="18"/>
          <w:szCs w:val="18"/>
          <w:color w:val="212529"/>
        </w:rPr>
        <w:t xml:space="preserve"> </w:t>
      </w:r>
      <w:r>
        <w:rPr>
          <w:rFonts w:ascii="Arial" w:cs="Arial" w:eastAsia="Arial" w:hAnsi="Arial"/>
          <w:sz w:val="18"/>
          <w:szCs w:val="18"/>
          <w:i w:val="1"/>
          <w:iCs w:val="1"/>
          <w:color w:val="000000"/>
        </w:rPr>
        <w:t>E. coli</w:t>
      </w:r>
      <w:r>
        <w:rPr>
          <w:rFonts w:ascii="Arial" w:cs="Arial" w:eastAsia="Arial" w:hAnsi="Arial"/>
          <w:sz w:val="18"/>
          <w:szCs w:val="18"/>
          <w:color w:val="000000"/>
        </w:rPr>
        <w:t>-derived asparaginase within that population; the development</w:t>
      </w:r>
      <w:r>
        <w:rPr>
          <w:rFonts w:ascii="Arial" w:cs="Arial" w:eastAsia="Arial" w:hAnsi="Arial"/>
          <w:sz w:val="18"/>
          <w:szCs w:val="18"/>
          <w:color w:val="212529"/>
        </w:rPr>
        <w:t xml:space="preserve"> </w:t>
      </w:r>
      <w:r>
        <w:rPr>
          <w:rFonts w:ascii="Arial" w:cs="Arial" w:eastAsia="Arial" w:hAnsi="Arial"/>
          <w:sz w:val="18"/>
          <w:szCs w:val="18"/>
          <w:color w:val="000000"/>
        </w:rPr>
        <w:t>and/or approval of new asparaginase treatments or treatment protocols for ALL that may not include asparaginase-containing regimens and prescribers’ use of alternate methods to address hypersensitivity reactions; difficulties with obtaining and maintaining favorable pricing and reimbursement arrangements; and potential competition from future biosimilar products.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Vyxeos</w:t>
      </w:r>
    </w:p>
    <w:p>
      <w:pPr>
        <w:spacing w:after="0" w:line="117" w:lineRule="exact"/>
        <w:rPr>
          <w:sz w:val="20"/>
          <w:szCs w:val="20"/>
          <w:color w:val="auto"/>
        </w:rPr>
      </w:pPr>
    </w:p>
    <w:p>
      <w:pPr>
        <w:ind w:right="60" w:firstLine="432"/>
        <w:spacing w:after="0" w:line="278" w:lineRule="auto"/>
        <w:rPr>
          <w:sz w:val="20"/>
          <w:szCs w:val="20"/>
          <w:color w:val="auto"/>
        </w:rPr>
      </w:pPr>
      <w:r>
        <w:rPr>
          <w:rFonts w:ascii="Arial" w:cs="Arial" w:eastAsia="Arial" w:hAnsi="Arial"/>
          <w:sz w:val="16"/>
          <w:szCs w:val="16"/>
          <w:color w:val="212529"/>
        </w:rPr>
        <w:t xml:space="preserve">Our ability to realize the anticipated benefits from our investment in </w:t>
      </w:r>
      <w:r>
        <w:rPr>
          <w:rFonts w:ascii="Arial" w:cs="Arial" w:eastAsia="Arial" w:hAnsi="Arial"/>
          <w:sz w:val="16"/>
          <w:szCs w:val="16"/>
          <w:color w:val="000000"/>
        </w:rPr>
        <w:t>Vyxeos</w:t>
      </w:r>
      <w:r>
        <w:rPr>
          <w:rFonts w:ascii="Arial" w:cs="Arial" w:eastAsia="Arial" w:hAnsi="Arial"/>
          <w:sz w:val="22"/>
          <w:szCs w:val="22"/>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(daunorubicin and cytarabine) liposome for injection by successfully</w:t>
      </w:r>
      <w:r>
        <w:rPr>
          <w:rFonts w:ascii="Arial" w:cs="Arial" w:eastAsia="Arial" w:hAnsi="Arial"/>
          <w:sz w:val="16"/>
          <w:szCs w:val="16"/>
          <w:color w:val="212529"/>
        </w:rPr>
        <w:t xml:space="preserve"> </w:t>
      </w:r>
      <w:r>
        <w:rPr>
          <w:rFonts w:ascii="Arial" w:cs="Arial" w:eastAsia="Arial" w:hAnsi="Arial"/>
          <w:sz w:val="16"/>
          <w:szCs w:val="16"/>
          <w:color w:val="000000"/>
        </w:rPr>
        <w:t xml:space="preserve">and sustainably growing sales </w:t>
      </w:r>
      <w:r>
        <w:rPr>
          <w:rFonts w:ascii="Arial" w:cs="Arial" w:eastAsia="Arial" w:hAnsi="Arial"/>
          <w:sz w:val="16"/>
          <w:szCs w:val="16"/>
          <w:color w:val="212529"/>
        </w:rPr>
        <w:t>is subject to a number of risks and uncertainties, including</w:t>
      </w:r>
      <w:r>
        <w:rPr>
          <w:rFonts w:ascii="Arial" w:cs="Arial" w:eastAsia="Arial" w:hAnsi="Arial"/>
          <w:sz w:val="16"/>
          <w:szCs w:val="16"/>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6"/>
          <w:szCs w:val="16"/>
          <w:color w:val="212529"/>
        </w:rPr>
        <w:t>acceptance by</w:t>
      </w:r>
      <w:r>
        <w:rPr>
          <w:rFonts w:ascii="Arial" w:cs="Arial" w:eastAsia="Arial" w:hAnsi="Arial"/>
          <w:sz w:val="16"/>
          <w:szCs w:val="16"/>
          <w:color w:val="000000"/>
        </w:rPr>
        <w:t xml:space="preserve"> </w:t>
      </w:r>
      <w:r>
        <w:rPr>
          <w:rFonts w:ascii="Arial" w:cs="Arial" w:eastAsia="Arial" w:hAnsi="Arial"/>
          <w:sz w:val="16"/>
          <w:szCs w:val="16"/>
          <w:color w:val="212529"/>
        </w:rPr>
        <w:t xml:space="preserve">hospital pharmacy and therapeutics committees in the U.S., the EU and other countries; </w:t>
      </w:r>
      <w:r>
        <w:rPr>
          <w:rFonts w:ascii="Arial" w:cs="Arial" w:eastAsia="Arial" w:hAnsi="Arial"/>
          <w:sz w:val="16"/>
          <w:szCs w:val="16"/>
          <w:color w:val="000000"/>
        </w:rPr>
        <w:t>the increasing complexity of the acute myeloid leukemia, or AML,</w:t>
      </w:r>
      <w:r>
        <w:rPr>
          <w:rFonts w:ascii="Arial" w:cs="Arial" w:eastAsia="Arial" w:hAnsi="Arial"/>
          <w:sz w:val="16"/>
          <w:szCs w:val="16"/>
          <w:color w:val="212529"/>
        </w:rPr>
        <w:t xml:space="preserve"> </w:t>
      </w:r>
      <w:r>
        <w:rPr>
          <w:rFonts w:ascii="Arial" w:cs="Arial" w:eastAsia="Arial" w:hAnsi="Arial"/>
          <w:sz w:val="16"/>
          <w:szCs w:val="16"/>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bolstered by the recent announcement of Phase 3 clinical data supporting the use of venetoclax in AML treatment; the limited size of the population of high-risk AML patients who may potentially be indicated for treatment with Vyxeos, particularly as a result of the shift of healthcare resources toward less intensive outpatient AML treatments in the U.S. in light of COVID-19 which is directly negatively impacting the use of Vyxeos, as well as the suspension of in-person interactions with healthcare professionals due to COVID-19; </w:t>
      </w:r>
      <w:r>
        <w:rPr>
          <w:rFonts w:ascii="Arial" w:cs="Arial" w:eastAsia="Arial" w:hAnsi="Arial"/>
          <w:sz w:val="16"/>
          <w:szCs w:val="16"/>
          <w:color w:val="212529"/>
        </w:rPr>
        <w:t>the availability of adequate coverage, pricing and reimbursement approvals, competition from new and existing products and potential</w:t>
      </w:r>
      <w:r>
        <w:rPr>
          <w:rFonts w:ascii="Arial" w:cs="Arial" w:eastAsia="Arial" w:hAnsi="Arial"/>
          <w:sz w:val="16"/>
          <w:szCs w:val="16"/>
          <w:color w:val="000000"/>
        </w:rPr>
        <w:t xml:space="preserve"> </w:t>
      </w:r>
      <w:r>
        <w:rPr>
          <w:rFonts w:ascii="Arial" w:cs="Arial" w:eastAsia="Arial" w:hAnsi="Arial"/>
          <w:sz w:val="16"/>
          <w:szCs w:val="16"/>
          <w:color w:val="212529"/>
        </w:rPr>
        <w:t>competition from products in development; and delays or problems in the supply or manufacture of Vyxeos. If sales of Vyxeos do not reach the levels we expect, our anticipated revenue from the product would be negatively affected, which would have a material adverse effect on our business, financial condition, results of operations and growth prospects.</w:t>
      </w:r>
    </w:p>
    <w:p>
      <w:pPr>
        <w:spacing w:after="0" w:line="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For a description of the competition that our lead marketed products and most advanced product candidates face or may face, see the discussion in “Business—Competition” in Part I, Item 1 of our Annual Report on Form 10-K for the year ended December 31, 2019 and the risk factor under the heading “</w:t>
      </w:r>
      <w:r>
        <w:rPr>
          <w:rFonts w:ascii="Arial" w:cs="Arial" w:eastAsia="Arial" w:hAnsi="Arial"/>
          <w:sz w:val="17"/>
          <w:szCs w:val="17"/>
          <w:i w:val="1"/>
          <w:iCs w:val="1"/>
          <w:color w:val="auto"/>
        </w:rPr>
        <w:t>The introduction of new products in the U.S. market that compete with, or otherwise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disrupt the market for, our oxybate products and product candidates would adversely affect sales of our oxybate products and product candidates” </w:t>
      </w:r>
      <w:r>
        <w:rPr>
          <w:rFonts w:ascii="Arial" w:cs="Arial" w:eastAsia="Arial" w:hAnsi="Arial"/>
          <w:sz w:val="17"/>
          <w:szCs w:val="17"/>
          <w:color w:val="auto"/>
        </w:rPr>
        <w:t>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Part II, Item 1A.</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federal healthcare program, or other third party commercial payors in the U.S. or elsewhere deny reimbursement for our products, limit the indications for which our products will be reimbursed, or provide reimbursement only on unfavorable terms. In particular, we cannot predict to what extent the COVID-19 pandemic, depending on its scale and duration,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would adversely affect access to our products and our net sales.</w:t>
      </w:r>
    </w:p>
    <w:p>
      <w:pPr>
        <w:spacing w:after="0" w:line="5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benefits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Third party pharmacy benefit managers, or PBMs,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and third party payors may exert negotiating leverage by requiring incremental rebates, discounts or other concessions from manufacturers in order to maintain formulary positions, which could result in higher gross to net deductions for affected products. In this regard, we have started to enter into agreements with PBMs and payor accounts regarding formulary coverage for Xyrem and Sunosi, but we cannot guarantee that we will be able to agree to coverage terms with other PBMs and other third party payors.</w:t>
      </w:r>
    </w:p>
    <w:p>
      <w:pPr>
        <w:spacing w:after="0" w:line="5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Payors could decide to exclude Sunosi from formulary coverage lists, impose step edits that require patients to try alternative, including generic, treatments before authorizing payment for Sunosi, limit the types of diagnoses for which coverage will be provided or impose a moratorium on coverage for products while the payor makes a coverage decision. An inability to obtain or maintain adequate formulary positions could increase patient cost-sharing for Sunosi and cause some patients to determine not to use Sunosi. Any delays or unforeseen difficulties in obtaining access or reimbursement approvals could limit patient access, depress therapy adherence rates, and adversely impact our ability to successfully commercialize Sunosi. If we are unsuccessful in obtaining broad coverage for Sunosi, our anticipated revenue from and growth prospects for Sunosi could be negatively affected. We anticipate similar payor coverage risks with respect to JZP-258, if approved.</w:t>
      </w:r>
    </w:p>
    <w:p>
      <w:pPr>
        <w:spacing w:after="0" w:line="6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approval.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to keep healthcare costs down. Moreover, in order to obtain reimbursement for our products in some European countries, including some EU member states, we may be required to compile additional data comparing the cost-effectiveness of our products to other available therapies. If we are unable to maintain favorable pricing and reimbursement approvals in EU member states that represent significant markets, our anticipated revenue from and growth prospects for our products in the EU could be negatively affected. For example, the 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granted marketing authorization for Vyxeos in August 2018 and for Sunosi in January 2020, and, as part of our rolling launches of Vyxeos and Sunosi in Europe, we are making pricing and reimbursement submissions in European countries. Due to the COVID-19 pandemic, we currently anticipate delays by certain European regulatory authorities in their pricing and reimbursement reviews. If we experience setbacks or unforeseen difficulties in obtaining favorable pricing and reimbursement approvals, including as a result of regulatory review delays due to the COVID-19 pandemic, planned launches in the affected EU member states would be delayed, which could negatively impact anticipated revenue from and growth prospects for Vyxeos and/or Sunosi.</w:t>
      </w:r>
    </w:p>
    <w:p>
      <w:pPr>
        <w:spacing w:after="0" w:line="5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For example, we anticipate that the U.S. Congress, state legislatures, and regulators may adopt or accelerate adoption of new healthcare policies and reforms intended to curb healthcare costs, such as federal and state controls on government-funded reimbursement for drugs (including Medicare, Medicaid) and commercial health plans, new or increased requirements to pay prescription drug rebates and penalties to government health care programs, and additional pharmaceutical cost transparency bills that aim to require drug companies to justify their prices through required disclosures. Additionally, proposals made part of proposed legislation and executive rule-making may seek to utilize an “international pricing index” as a benchmark to determine the costs and potentially limit the reimbursement of drugs under Medicare Part B to more closely align with international drug prices. If the U.S. were to move to such a pricing system that were to apply to any of our products, our revenues from U.S. sales of such products could decrease.</w:t>
      </w:r>
    </w:p>
    <w:p>
      <w:pPr>
        <w:spacing w:after="0" w:line="7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Legislative and regulatory proposals that have recently been considered include the potential authorization of prescription drug importation from other countries,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w:t>
      </w:r>
    </w:p>
    <w:p>
      <w:pPr>
        <w:spacing w:after="0" w:line="7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Certain provisions of the Healthcare Reform Act have been subject to judicial challenges, as well as efforts to repeal or replace them or to alter their interpretation or implementation. We expect that the Healthcare Reform Act and its implementation, efforts to repeal or replace, or invalidate, the Healthcare Reform Act or portions thereof and other healthcare reform measures that may be adopted in the future could have a material adverse effect on our industry generally and on our ability to maintain or increase sales of our products.</w:t>
      </w:r>
    </w:p>
    <w:p>
      <w:pPr>
        <w:spacing w:after="0" w:line="8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 We have periodically increased the price of Xyrem, most recently in January 2020, and there is no guarantee that we will be able to make similar price adjustments in the future or that price adjustments we have taken or may take in the future will not negatively affect Xyrem sales volumes and revenues from Xyrem. We also have made and may in the future make similar price increases on our other products. There is no guarantee that such price increases will not negatively affect our reputation and our ability to secure and maintain reimbursement coverage for our products, which could limit the prices that we charge for our products, including Xyrem, limit the commercial opportunities for our products and/or negatively impact revenues from sales of our products.</w:t>
      </w:r>
    </w:p>
    <w:p>
      <w:pPr>
        <w:spacing w:after="0" w:line="57"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expect that legislators, policymakers and healthcare insurance funds in Europe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Consequently, a downward trend in prices of medicinal products in some countries could contribute to similar downward trends elsewhere.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420" w:firstLine="432"/>
        <w:spacing w:after="0" w:line="258"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1" w:lineRule="exact"/>
        <w:rPr>
          <w:sz w:val="20"/>
          <w:szCs w:val="20"/>
          <w:color w:val="auto"/>
        </w:rPr>
      </w:pPr>
    </w:p>
    <w:p>
      <w:pPr>
        <w:ind w:left="720" w:right="300" w:hanging="321"/>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and any restrictions placed upon the product in connection with its approval, such as a REMS, patient registry requirements or labeling restrictions;</w:t>
      </w: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20" w:right="60" w:hanging="321"/>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Xyrem, physician and patient assessment of the burdens associated with obtaining or maintaining the certifications required under the Xyrem REMS;</w:t>
      </w: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JZP-258 includes the same API as Xyrem, but uses a different mixture of salts. Patients, physicians and regulators may therefore view Xyrem or JZP 258, if approved, as the same as or similar to illicit GHB. In addition, there are regulators and some law enforcement agencies that oppose the prescription and use of Xyrem, and potentially other oxybate products generally because of their connection to GHB. Xyrem’s label includes information about adverse events from GHB.</w:t>
      </w:r>
    </w:p>
    <w:p>
      <w:pPr>
        <w:spacing w:after="0" w:line="57"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impacts of the ongoing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6"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We have a manufacturing and development facility in Athlone, Ireland where we manufacture Xyrem and development-stage oxybate products, including JZP-258,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facility in Athlone, Ireland currently continues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 operational, but we are managing operations through limited “essential” on-site staff and flexible work arrangements. In March 2020, we temporarily ceased operations at our Villa Guardia, Italy manufacturing facility, which produces defibrotide, to ensure the safety of our employees and communities in northern Italy. We are developing plans for a phased reopening of our Villa Guardia facility that takes into account applicable public health authority and local government guidelines as well as employee safety.</w:t>
      </w:r>
    </w:p>
    <w:p>
      <w:pPr>
        <w:spacing w:after="0" w:line="7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Erwinaze is licensed from, and manufactured for us by, a single source, PBL. A continuing and significant challenge to maintaining sales of Erwinaze and a barrier to increasing sales is PBL’s inability to consistently supply product that meets specifications in quantities that are adequate to meet market demand. All Erwinaze that PBL has been able to supply is currently completely absorbed by demand for the product, and erratic supply patterns have prevented us from meeting patient demand in some markets or from being able to expand to new markets or indications.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 in the future cause, us to implement batch-specific, modified product use instructions. We are experiencing supply disruptions of Erwinaze in the U.S. and expect to continue to experience supply disruptions globally in 2020. In addition, FDA has issued a warning letter and FDA Forms 483 to PBL citing, among other things, significant violations of cGMP for finished pharmaceuticals and significant deviations from cGMP for APIs. We cannot predict whether the required remediation activities by PBL in connection with its prior warning letter and FDA Forms 483 will further strain PBL’s manufacturing capacity or otherwise further adversely affect Erwinaze supply. We also cannot predict whether a delay in the ability of FDA to conduct inspections as a result of COVID-19 impacts could result in a delay in obtaining regulatory discretion required for release of Erwinaze supply in the U.S.</w:t>
      </w:r>
    </w:p>
    <w:p>
      <w:pPr>
        <w:spacing w:after="0" w:line="7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capacity constraints and supply disruptions continue, whether as a result of continued quality or manufacturing challenges at PBL, the impacts of the ongoing COVID-19 pandemic, regulatory issues or an inability to enforce our contractual rights, we will be unable to build product inventory, our ability to supply the market will continue to be compromised and physicians’ decisions to use Erwinaze will continue to be negatively impacted. In addition, any inability to comply with regulatory requirements of FDA, the UK Medicines and Healthcare Products Regulatory Agency, or MHRA, or other competent authorities in the EU member states in which Erwinaze is subject to marketing authorizations, including any failure by PBL to correct the violations and deviations referenced above to the satisfaction of FDA, or failure to meet regulatory specifications for the product, could further adversely affect Erwinaze supply, particularly in light of the historical limitations on the supply of Erwinaze, and could result in enforcement actions by FDA, the MHRA or other EU member states’ competent authorities (including the issuance of the local equivalents of FDA Form 483s or warning letters), the approval of FDA or other competent authorities being suspended, varied, or revoked, product release being delayed or suspended, including potentially FDA refusing admission of Erwinaze in the U.S., or product being seized or recalled. Any of these actions could have a material adverse effect on our sales of, and revenues from, Erwinaze.</w:t>
      </w:r>
    </w:p>
    <w:p>
      <w:pPr>
        <w:spacing w:after="0" w:line="74"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7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working closely with our third-party manufacturers, distributors and other partners to manage our supply chain activities and mitigate potential disruptions to our product supplies as a result of the COVID-19 pandemic; however, if the COVID-19 pandemic persists for an extended period of time and begins to impact essential distribution systems such as FedEx and postal delivery, we could experience disruptions to our supply chain and operations, and associated delays in the manufacturing and supply of our products, which would adversely impact our ability to generate sales of and revenues from our approved products and our business, financial condition, results of operations and growth prospects would be materially adversely affected.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38" w:lineRule="exact"/>
        <w:rPr>
          <w:sz w:val="20"/>
          <w:szCs w:val="20"/>
          <w:color w:val="auto"/>
        </w:rPr>
      </w:pPr>
    </w:p>
    <w:p>
      <w:pPr>
        <w:ind w:right="60" w:firstLine="391"/>
        <w:spacing w:after="0" w:line="293" w:lineRule="auto"/>
        <w:rPr>
          <w:sz w:val="20"/>
          <w:szCs w:val="20"/>
          <w:color w:val="auto"/>
        </w:rPr>
      </w:pPr>
      <w:r>
        <w:rPr>
          <w:rFonts w:ascii="Arial" w:cs="Arial" w:eastAsia="Arial" w:hAnsi="Arial"/>
          <w:sz w:val="16"/>
          <w:szCs w:val="16"/>
          <w:color w:val="auto"/>
        </w:rPr>
        <w:t>The testing, manufacturing and marketing of our products require regulatory approvals, including approval from FDA and similar bodies in Europe and other countries. If FDA, the EC or the competent authorities of the EU member states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Europe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5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Due to the ongoing COVID-19 pandemic, it is possible that we could experience delays in the timing of marketing application review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March 2020, FDA accepted for filing with priority review our NDA for JZP-258, with a PDUFA action date of July 21, 2020. In February 2020, FDA accepted for filing with priority review the NDA for lurbinectedin for the treatment of relapsed small cell lung cancer, a product candidate for which we recently acquired exclusive U.S. development and commercialization rights, with a PDUFA action date of August 16, 2020. It is possible that we could experience delays in the timing of NDA review due to COVID-19 impacts described above. A delay or failure in obtaining approval of JZP-258 or lurbinectedin would have a negative impact on our ability to recoup our research and development costs and to successfully commercialize JZP-258 and/or lurbinectedin, which could materially and adversely affect our business, financial condition, results of operations and growth prospects.</w:t>
      </w:r>
    </w:p>
    <w:p>
      <w:pPr>
        <w:spacing w:after="0" w:line="7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to ensure that the benefits of the drug outweigh the risks. FDA requires a REMS and a boxed warning for Xyrem, and similar restrictions could be imposed on other products in the future. For example, we expect that FDA will require a REMS for approval of JZP-258. Our receipt of approval for narrower indications than sought, restrictions on marketing through a REMS,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Defitelio, Erwinaze, Vyxeos and Sunosi. These post-marketing requirements and commitments include satisfactorily conducting multiple post-marketing clinical trials and safety studies. In the event that we are unable to comply with our post-marketing obligations imposed as part of the marketing approvals in the U.S. or EU, our approval may be varied, suspended or revoked, product supply may be delayed and our sales of and revenues from our products could be materially adversely affected.</w:t>
      </w:r>
    </w:p>
    <w:p>
      <w:pPr>
        <w:spacing w:after="0" w:line="5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We are pursuing activities related to the development of improved asparaginase products for patients with ALL or other hematological malignancies. Several of our external research and development collaborations are focused on these efforts, including our agreement with Pfenex, Inc., or Pfenex. Among the product candidates being developed under our Pfenex agreement is JZP-458, a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product candidate, for the potential treatment of ALL and lymphoblastic lymphoma who have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We also have clinical development efforts focused on expanding the potential of </w:t>
      </w:r>
      <w:r>
        <w:rPr>
          <w:rFonts w:ascii="Arial" w:cs="Arial" w:eastAsia="Arial" w:hAnsi="Arial"/>
          <w:sz w:val="17"/>
          <w:szCs w:val="17"/>
          <w:color w:val="212529"/>
        </w:rPr>
        <w:t>Defitelio, Vyxeos and Sunosi, as well as clinical development efforts focused on JZP-385</w:t>
      </w:r>
      <w:r>
        <w:rPr>
          <w:rFonts w:ascii="Arial" w:cs="Arial" w:eastAsia="Arial" w:hAnsi="Arial"/>
          <w:sz w:val="17"/>
          <w:szCs w:val="17"/>
          <w:color w:val="auto"/>
        </w:rPr>
        <w:t xml:space="preserve"> for the treatment of essential tremor</w:t>
      </w:r>
      <w:r>
        <w:rPr>
          <w:rFonts w:ascii="Arial" w:cs="Arial" w:eastAsia="Arial" w:hAnsi="Arial"/>
          <w:sz w:val="17"/>
          <w:szCs w:val="17"/>
          <w:color w:val="212529"/>
        </w:rPr>
        <w:t>. Because combination regimens and the continual generation of new data have become particularly important in AML, if we are unable to</w:t>
      </w:r>
      <w:r>
        <w:rPr>
          <w:rFonts w:ascii="Arial" w:cs="Arial" w:eastAsia="Arial" w:hAnsi="Arial"/>
          <w:sz w:val="17"/>
          <w:szCs w:val="17"/>
          <w:color w:val="auto"/>
        </w:rPr>
        <w:t xml:space="preserve"> </w:t>
      </w:r>
      <w:r>
        <w:rPr>
          <w:rFonts w:ascii="Arial" w:cs="Arial" w:eastAsia="Arial" w:hAnsi="Arial"/>
          <w:sz w:val="17"/>
          <w:szCs w:val="17"/>
          <w:color w:val="212529"/>
        </w:rPr>
        <w:t xml:space="preserve">initiate multiple combination studies, safely combine Vyxeos with novel agents, or if efficacy results do not meet clinicians’ expectations, our growth prospects could be materially adversely affected. </w:t>
      </w:r>
      <w:r>
        <w:rPr>
          <w:rFonts w:ascii="Arial" w:cs="Arial" w:eastAsia="Arial" w:hAnsi="Arial"/>
          <w:sz w:val="17"/>
          <w:szCs w:val="17"/>
          <w:color w:val="000000"/>
        </w:rPr>
        <w:t>If we are not successful in the clinical development of our product candidates, if we are unable to obtain</w:t>
      </w:r>
      <w:r>
        <w:rPr>
          <w:rFonts w:ascii="Arial" w:cs="Arial" w:eastAsia="Arial" w:hAnsi="Arial"/>
          <w:sz w:val="17"/>
          <w:szCs w:val="17"/>
          <w:color w:val="212529"/>
        </w:rPr>
        <w:t xml:space="preserve"> </w:t>
      </w:r>
      <w:r>
        <w:rPr>
          <w:rFonts w:ascii="Arial" w:cs="Arial" w:eastAsia="Arial" w:hAnsi="Arial"/>
          <w:sz w:val="17"/>
          <w:szCs w:val="17"/>
          <w:color w:val="000000"/>
        </w:rPr>
        <w:t>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7"/>
          <w:szCs w:val="17"/>
          <w:color w:val="212529"/>
        </w:rPr>
        <w:t>Further, while we seek to mitigate risks and liabilities of potential acquisitions and</w:t>
      </w:r>
      <w:r>
        <w:rPr>
          <w:rFonts w:ascii="Arial" w:cs="Arial" w:eastAsia="Arial" w:hAnsi="Arial"/>
          <w:sz w:val="17"/>
          <w:szCs w:val="17"/>
          <w:color w:val="auto"/>
        </w:rPr>
        <w:t xml:space="preserve"> </w:t>
      </w:r>
      <w:r>
        <w:rPr>
          <w:rFonts w:ascii="Arial" w:cs="Arial" w:eastAsia="Arial" w:hAnsi="Arial"/>
          <w:sz w:val="17"/>
          <w:szCs w:val="17"/>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7"/>
          <w:szCs w:val="17"/>
          <w:color w:val="000000"/>
        </w:rPr>
        <w:t>In addition, product and product candidate acquisitions,</w:t>
      </w:r>
      <w:r>
        <w:rPr>
          <w:rFonts w:ascii="Arial" w:cs="Arial" w:eastAsia="Arial" w:hAnsi="Arial"/>
          <w:sz w:val="17"/>
          <w:szCs w:val="17"/>
          <w:color w:val="212529"/>
        </w:rPr>
        <w:t xml:space="preserve"> </w:t>
      </w:r>
      <w:r>
        <w:rPr>
          <w:rFonts w:ascii="Arial" w:cs="Arial" w:eastAsia="Arial" w:hAnsi="Arial"/>
          <w:sz w:val="17"/>
          <w:szCs w:val="17"/>
          <w:color w:val="000000"/>
        </w:rPr>
        <w:t>particularly when the acquisition takes the form of a merger or other business consolidation, have required, and any similar future transactions will also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1" w:lineRule="exact"/>
        <w:rPr>
          <w:sz w:val="20"/>
          <w:szCs w:val="20"/>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3"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Moreover, if the COVID-19 pandemic persists and deepens, we could experience an inability to access additional capital, which could in the future negatively affect our capacity for certain corporate development transactions or our ability to make other important, opportunistic investments.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submitted for the NDAs for JZP-258 or lurbinectedin, or to be submitted to FDA in the planned BLA for JZP-458, do not warrant marketing approval, we may be required to conduct additional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35" w:lineRule="exact"/>
        <w:rPr>
          <w:sz w:val="20"/>
          <w:szCs w:val="20"/>
          <w:color w:val="auto"/>
        </w:rPr>
      </w:pPr>
    </w:p>
    <w:p>
      <w:pPr>
        <w:ind w:left="720" w:right="16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inherent limitations of remote and virtual approaches;</w:t>
      </w:r>
    </w:p>
    <w:p>
      <w:pPr>
        <w:ind w:left="720" w:right="62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hematology and oncology, with enrollment criteria targeting the same patient population;</w:t>
      </w:r>
    </w:p>
    <w:p>
      <w:pPr>
        <w:jc w:val="both"/>
        <w:ind w:left="720" w:right="260" w:hanging="321"/>
        <w:spacing w:after="0" w:line="28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 w:lineRule="exact"/>
        <w:rPr>
          <w:rFonts w:ascii="Arial" w:cs="Arial" w:eastAsia="Arial" w:hAnsi="Arial"/>
          <w:sz w:val="16"/>
          <w:szCs w:val="16"/>
          <w:color w:val="auto"/>
        </w:rPr>
      </w:pPr>
    </w:p>
    <w:p>
      <w:pPr>
        <w:ind w:left="720" w:right="40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20" w:right="48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20" w:hanging="321"/>
        <w:spacing w:after="0" w:line="28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1" w:lineRule="exact"/>
        <w:rPr>
          <w:rFonts w:ascii="Arial" w:cs="Arial" w:eastAsia="Arial" w:hAnsi="Arial"/>
          <w:sz w:val="16"/>
          <w:szCs w:val="16"/>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20" w:right="4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20" w:right="30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49" w:lineRule="exact"/>
        <w:rPr>
          <w:sz w:val="20"/>
          <w:szCs w:val="20"/>
          <w:color w:val="auto"/>
        </w:rPr>
      </w:pPr>
    </w:p>
    <w:p>
      <w:pPr>
        <w:ind w:firstLine="391"/>
        <w:spacing w:after="0" w:line="259" w:lineRule="auto"/>
        <w:rPr>
          <w:sz w:val="20"/>
          <w:szCs w:val="20"/>
          <w:color w:val="auto"/>
        </w:rPr>
      </w:pPr>
      <w:r>
        <w:rPr>
          <w:rFonts w:ascii="Arial" w:cs="Arial" w:eastAsia="Arial" w:hAnsi="Arial"/>
          <w:sz w:val="18"/>
          <w:szCs w:val="18"/>
          <w:color w:val="auto"/>
        </w:rPr>
        <w:t>In light of the ongoing COVID-19 pandemic, we have taken measures to implement remote and virtual approaches, including remote data monitoring where possible, to maintain patient safety and trial continuity and to preserve study integrity. We are seeing an impact on our ability to initiate trial sites, enroll patients and maintain patient enrollment in our clinical programs and have suspended two of our healthy volunteer clinical development programs, JZP-385 and JZP-324, in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interest of volunteer safety.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pandemic persists for an extended period of time or reemerges in the future, we could experience significant disruptions to our clinical development timelines, which would adversely affect our business, financial condition, results of operations and growth prospects. For example, while we are continuing to activate sites remotely and enrolling our JZP-458 study, we are experiencing a slowdown in site activation or enrollment as lab closures increase and sites begin limiting personnel to “essential” workers. In addition,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and adversely impact our clinical trial operations.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40" w:firstLine="432"/>
        <w:spacing w:after="0" w:line="258"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1" w:lineRule="exact"/>
        <w:rPr>
          <w:sz w:val="20"/>
          <w:szCs w:val="20"/>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20" w:right="60" w:hanging="321"/>
        <w:spacing w:after="0" w:line="28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20" w:right="30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20" w:right="38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20" w:right="50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20" w:hanging="321"/>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Patent enforcement generally must be sought on a country-by-country basis, and issues of patent validity and infringement may be judged differently in different countries.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w:t>
      </w:r>
    </w:p>
    <w:p>
      <w:pPr>
        <w:spacing w:after="0" w:line="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84"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also currently rely on trade secret protection for several of our products, including Erwinaze and Defitelio.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Trade secret protection also requires that information be secret and subject to reasonable efforts to maintain secrecy, and this requirement may come into conflict with requirements to provide information to employees, consultants, business partners, and regulatory bodies.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7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right="320" w:firstLine="432"/>
        <w:spacing w:after="0" w:line="275" w:lineRule="auto"/>
        <w:rPr>
          <w:sz w:val="20"/>
          <w:szCs w:val="20"/>
          <w:color w:val="auto"/>
        </w:rPr>
      </w:pPr>
      <w:r>
        <w:rPr>
          <w:rFonts w:ascii="Arial" w:cs="Arial" w:eastAsia="Arial" w:hAnsi="Arial"/>
          <w:sz w:val="17"/>
          <w:szCs w:val="17"/>
          <w:color w:val="auto"/>
        </w:rPr>
        <w:t>There is a risk that a court or the PTAB could decide that our patents or certain claims in our patents are not valid or infringed, and that we do not have the right to stop a third party from using the inventions covered by those claims, as happened with six of our patents covering the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8"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there could be extensive litigation over whether any settlement that we have entered into or might enter into in the future constitutes a reasonable and lawful patent settlement. Parties to such settlement agreements in the U.S. are required by law to file the agreements with the FTC and the U.S. Department of Justice, or DOJ, for review. Accordingly, we have submitted our ANDA litigation settlement agreements to the FTC and the DOJ for review. We may receive formal or informal requests from the FTC regarding our ANDA litigation settlements, and there is a risk that the FTC may commence a formal investigation or action against us, or a third party may initiate civil litigation regarding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settlements,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ongoing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right="20" w:firstLine="432"/>
        <w:spacing w:after="0" w:line="218" w:lineRule="exact"/>
        <w:rPr>
          <w:sz w:val="20"/>
          <w:szCs w:val="20"/>
          <w:color w:val="auto"/>
        </w:rPr>
      </w:pPr>
      <w:r>
        <w:rPr>
          <w:rFonts w:ascii="Arial" w:cs="Arial" w:eastAsia="Arial" w:hAnsi="Arial"/>
          <w:sz w:val="16"/>
          <w:szCs w:val="16"/>
          <w:color w:val="auto"/>
        </w:rPr>
        <w:t>Our business could be materially and adversely affected by the ongoing COVID</w:t>
      </w:r>
      <w:r>
        <w:rPr>
          <w:rFonts w:ascii="MS PGothic" w:cs="MS PGothic" w:eastAsia="MS PGothic" w:hAnsi="MS PGothic"/>
          <w:sz w:val="16"/>
          <w:szCs w:val="16"/>
          <w:color w:val="auto"/>
        </w:rPr>
        <w:t>‑</w:t>
      </w:r>
      <w:r>
        <w:rPr>
          <w:rFonts w:ascii="Arial" w:cs="Arial" w:eastAsia="Arial" w:hAnsi="Arial"/>
          <w:sz w:val="16"/>
          <w:szCs w:val="16"/>
          <w:color w:val="auto"/>
        </w:rPr>
        <w:t>19 pandemic, a disease caused by a novel strain of coronavirus, SARS-CoV-2, which has been spreading globally since December 2019. In March 2020, the World Health Organization declared the COVID-19 outbreak a pandemic. The COVID-19 pandemic is having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94"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Remote work policies, quarantines, shelter-in-place and similar government orders, shutdowns or other restrictions on the conduct of business operations related to the COVID-19 pandemic may materially and adversely affect our business, our ability to generate sales of and revenues from our approved products, our supply chain, regulatory, clinical development and corporate development activities. With respect to our commercialization activities, the evolving effects of the COVID-19 pandemic are having a negative impact on demand for our products, primarily due to the inherent limitations of telemedicine and a reprioritization of healthcare resources toward COVID-19. Beginning in March 2020, we transitioned our sales, market access and reimbursement and medical employees out of the field and suspended work-related travel and in-person customer interactions, including in-person interactions with healthcare professionals and customers. Since then, we have been utilizing virtual means to continue to engage with and support healthcare professionals. As clinics and institutions begin to allow in-person interactions pursuant to health authority and local government guidelines, our field teams will start to re-initiate in-person interactions with healthcare professionals and clinics, but the timing and level of engagement will vary by account, region and country, and may be adversely impacted in the future where reemergence or future outbreaks of COVID-19 occur.</w:t>
      </w:r>
    </w:p>
    <w:p>
      <w:pPr>
        <w:spacing w:after="0" w:line="6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For Xyrem, the impact is related to the reduced ability of prescribers to diagnose narcolepsy patients given the limitations in access to sleep testing, which reduction in demand is evidenced in decreases in new patient enrollments in the Xyrem REMs program. Going forward, a negative impact may potentially be seen on patient compliance and persistence with Xyrem treatment, and the ability to fill, access and pay for prescriptions. For Sunosi, the impact on demand is related to the minimized ability of our field-based teams to interact with new prescribers and patients’ ability to fill, access and pay for prescriptions, and is evidenced in slower than budgeted growth of new prescribers and new patient starts in the U.S. We also anticipate delays by certain European regulatory authorities in their pricing and reimbursement reviews due to the pandemic, which is likely to delay our rolling Sunosi launch in certain EU member states. In addition, </w:t>
      </w:r>
      <w:r>
        <w:rPr>
          <w:rFonts w:ascii="Arial" w:cs="Arial" w:eastAsia="Arial" w:hAnsi="Arial"/>
          <w:sz w:val="17"/>
          <w:szCs w:val="17"/>
          <w:color w:val="212529"/>
        </w:rPr>
        <w:t>the reprioritization of healthcare resources and related delays, postponements or suspensions of certain medical</w:t>
      </w:r>
      <w:r>
        <w:rPr>
          <w:rFonts w:ascii="Arial" w:cs="Arial" w:eastAsia="Arial" w:hAnsi="Arial"/>
          <w:sz w:val="17"/>
          <w:szCs w:val="17"/>
          <w:color w:val="auto"/>
        </w:rPr>
        <w:t xml:space="preserve"> </w:t>
      </w:r>
      <w:r>
        <w:rPr>
          <w:rFonts w:ascii="Arial" w:cs="Arial" w:eastAsia="Arial" w:hAnsi="Arial"/>
          <w:sz w:val="17"/>
          <w:szCs w:val="17"/>
          <w:color w:val="212529"/>
        </w:rPr>
        <w:t xml:space="preserve">procedures such as stem cell transplants is resulting in a decrease in demand for Defitelio. In the U.S., we are also seeing a shift </w:t>
      </w:r>
      <w:r>
        <w:rPr>
          <w:rFonts w:ascii="Arial" w:cs="Arial" w:eastAsia="Arial" w:hAnsi="Arial"/>
          <w:sz w:val="17"/>
          <w:szCs w:val="17"/>
          <w:color w:val="000000"/>
        </w:rPr>
        <w:t>toward less intensive</w:t>
      </w:r>
      <w:r>
        <w:rPr>
          <w:rFonts w:ascii="Arial" w:cs="Arial" w:eastAsia="Arial" w:hAnsi="Arial"/>
          <w:sz w:val="17"/>
          <w:szCs w:val="17"/>
          <w:color w:val="212529"/>
        </w:rPr>
        <w:t xml:space="preserve"> </w:t>
      </w:r>
      <w:r>
        <w:rPr>
          <w:rFonts w:ascii="Arial" w:cs="Arial" w:eastAsia="Arial" w:hAnsi="Arial"/>
          <w:sz w:val="17"/>
          <w:szCs w:val="17"/>
          <w:color w:val="000000"/>
        </w:rPr>
        <w:t>outpatient AML treatments due to COVID-19, which is directly negatively impacting the use of Vyxeos, which prescribers are still primarily utilizing in inpatient settings, despite its availability for use in outpatient settings. Depending on the scale and ultimate duration the COVID-19 pandemic and the extent of a global economic slowdown, widespread unemployment and resulting loss of employer-sponsored insurance coverage, we may experience a shift from commercial payor coverage to government payor coverage or an increase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in demand for patient assistance and/or free drug programs, which would adversely affect access to our products and our net sales.</w:t>
      </w:r>
    </w:p>
    <w:p>
      <w:pPr>
        <w:spacing w:after="0" w:line="11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addition, the ongoing COVID-19 pandemic continues to rapidly evolve and has already resulted in a significant disruption of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 recession or market correction resulting from the impact of COVID-19 could materially affect our business and the value of our ordinary shares. While we expect the COVID-19 pandemic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of or reemergence of outbreaks, governmental “stay-at-home” orders and travel restrictions, quarantines, social distancing and business closure requirements in the U.S., Ireland and other countries, and the effectiveness of actions taken globally to contain and treat the disease. For example, the inability of our work-force to return to office and field based work and the ongoing stress and reprioritization within the healthcare systems in our key markets may require us to reassess the timing and scope of key business activities for the year, including our ability to successfully launch JZP-258 and lurbinectedin, if approved. These effects could materially and adversely affect our business, financial condition, results of operations and growth prospects, as further described in the risks and uncertainties described elsewhere in this ‘‘Risk Factors’’ section.</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2" w:lineRule="exact"/>
        <w:rPr>
          <w:sz w:val="20"/>
          <w:szCs w:val="20"/>
          <w:color w:val="auto"/>
        </w:rPr>
      </w:pPr>
    </w:p>
    <w:p>
      <w:pPr>
        <w:ind w:left="720" w:right="860" w:hanging="321"/>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ind w:left="720" w:right="640" w:hanging="321"/>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20" w:right="100" w:hanging="321"/>
        <w:spacing w:after="0" w:line="26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health risks, such as the current global COVID-19 pandemic and potential related effects on supply chain, travel and employee health and availability.</w:t>
      </w:r>
    </w:p>
    <w:p>
      <w:pPr>
        <w:spacing w:after="0" w:line="77"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Brexit will continue to create significant uncertainty concerning the future relationship between the UK and the EU, particularly if the recent UK withdrawal from the EU in January 2020 is followed by a failure to agree to a future trading relationship between the EU and the UK. Since a significant portion of the regulatory framework in the UK is derived from EU laws, Brexit could materially impact the regulatory regime with respect to the development, manufacture, importation, approval and commercialization of our product candidates in the UK or the EU. For example, there is a risk that the scope of a marketing authorization for a medicinal product granted by the EC or by the competent authorities of EU member states will not encompass the UK. In these circumstances, a separate authorization granted by the UK competent authorities will be required to place medicinal products on the UK market. In addition, our ability to rely on UK manufacturing sites for products intended for the EU market will depend on the terms of the trade agreements concluded between the EU and the UK in the coming months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to manufacture products for supply to the EU market. All of these changes, if they occur, could increase our costs and otherwise adversely affect our business. In addition, currency exchange rates for the British Pound and the euro with respect to each other and to the U.S. dollar have already been, and may be continue to be, negatively affected by Brexit, which could cause volatility in our quarterly financial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recent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COVID-19,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and the competent authorities of the EU member states on behalf of the EMA,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6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Erwinaze, defibrotide and Vyxeos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FDA, the competent authorities of the EU member states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10-K for the year ended December 31, 2019. While we maintain a comprehensive compliance program to try to ensure that our practices and the activities of our third-party contractors and employees fall within the scope of available statutory exceptions and regulatory safe harbors, regulators and enforcement agencies may disagree with our assessment or find fault with the conduct of our employees or contractors. In addition, existing regulations are subject to regulatory revision or changes in interpretation by the DOJ or OIG.</w:t>
      </w:r>
    </w:p>
    <w:p>
      <w:pPr>
        <w:spacing w:after="0" w:line="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 xml:space="preserve">Many companies have faced government investigations or lawsuits by whistleblowers who bring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our Annual Report on Form 10-K for the year ended December 31, 2019, has resulted in increased scrutiny of the financial relationships between industry, teaching hospitals, physicians and other healthcare providers.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including by federal and state health care programs. If any or all of these events occur, our business, financial condition, results of operations and stock price could be materially and adversely affected.</w:t>
      </w:r>
    </w:p>
    <w:p>
      <w:pPr>
        <w:spacing w:after="0" w:line="6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58"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Outside the U.S., interactions between pharmaceutical companies and physicians are also governed by strict laws, such as national anti-bribery laws of European countries,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5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Xyrem and Sunosi are controlled substances under the Controlled Substances Act. Our suppliers, distributors, clinical sites and prescribers, as well as retail pharmacies for Sunosi and the central pharmacy for Xyrem,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w:t>
      </w:r>
    </w:p>
    <w:p>
      <w:pPr>
        <w:spacing w:after="0" w:line="58"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are also subject to data protection and privacy laws and regulations governing the processing of personal data. Because of the remote work policies we implemented due to COVID-19, information that is normally protected, including company confidential information, may be less secure. We may also need to collect more extensive health-related information from our employees to manage our workforce. If we or our third party partners fail to comply or are alleged to have failed to comply with applicable data protection and privacy laws and regulations, or if we were to experience a data breach involving personal information,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10-K for the year ended December 31, 2019.</w:t>
      </w:r>
    </w:p>
    <w:p>
      <w:pPr>
        <w:spacing w:after="0" w:line="6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 fail to submit the required price data on a timely basis, or if we are found to have charged 340B covered entities more than the statutorily mandated ceiling price. Centers for Medicare and Medicaid Services, or CMS, could also decide to terminate our Medicaid drug rebate agreement, in which case federal payments may not be available under Medicaid or Medicare Part B for our covered outpatient drugs.</w:t>
      </w:r>
    </w:p>
    <w:p>
      <w:pPr>
        <w:spacing w:after="0" w:line="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Further, any additional future changes to the definition of average manufacturer price and the Medicaid rebate amount under the Healthcare Reform Act or otherwise could affect our 340B ceiling price calculations and negatively impact our results of operations.</w:t>
      </w:r>
    </w:p>
    <w:p>
      <w:pPr>
        <w:spacing w:after="0" w:line="69"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EMA or the competent authorities of the EU member states. Such investigations could also potentially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76"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we had total indebtedness of approximately $1.8 billion. Our substantial indebtedness may:</w:t>
      </w:r>
    </w:p>
    <w:p>
      <w:pPr>
        <w:spacing w:after="0" w:line="23" w:lineRule="exact"/>
        <w:rPr>
          <w:sz w:val="20"/>
          <w:szCs w:val="20"/>
          <w:color w:val="auto"/>
        </w:rPr>
      </w:pPr>
    </w:p>
    <w:p>
      <w:pPr>
        <w:ind w:left="720" w:hanging="32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720" w:right="220" w:hanging="321"/>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investments or other general business purposes;</w:t>
      </w:r>
    </w:p>
    <w:p>
      <w:pPr>
        <w:ind w:left="720" w:hanging="32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20" w:right="480" w:hanging="321"/>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720" w:hanging="321"/>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720" w:hanging="32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that we entered into in June 2015 and subsequently amended, which we refer to as the amended credit agreement, the lenders under the amended credit agreement could proceed against the collateral granted to them to secure that debt, which would seriously harm our business.</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amended credit agreement contains various covenants that, among other things, limit our ability and/or our restricted subsidiaries’ ability to:</w:t>
      </w:r>
    </w:p>
    <w:p>
      <w:pPr>
        <w:spacing w:after="0" w:line="46" w:lineRule="exact"/>
        <w:rPr>
          <w:sz w:val="20"/>
          <w:szCs w:val="20"/>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23"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amended credit agreement also includes certain financial covenants that require us to maintain a maximum secured leverage ratio and a minimum interest coverage ratio.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 A default under those indentures could also lead to a default under other debt agreements or obligations, including the amended credit agreement. Likewise, a default under the amended credit agreement could also lead to a default under other debt agreements or obligations, including the indentures governing our exchangeable senior notes.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The scope of our business and operations has grown substantially since 2012, including through a series of business combinations and acquisitions. To continue to grow </w:t>
      </w:r>
      <w:r>
        <w:rPr>
          <w:rFonts w:ascii="Arial" w:cs="Arial" w:eastAsia="Arial" w:hAnsi="Arial"/>
          <w:sz w:val="16"/>
          <w:szCs w:val="16"/>
          <w:color w:val="212529"/>
        </w:rPr>
        <w:t>our business over the longer term, we plan to commit substantial resources to product acquisition and in-licensing, product</w:t>
      </w:r>
      <w:r>
        <w:rPr>
          <w:rFonts w:ascii="Arial" w:cs="Arial" w:eastAsia="Arial" w:hAnsi="Arial"/>
          <w:sz w:val="16"/>
          <w:szCs w:val="16"/>
          <w:color w:val="auto"/>
        </w:rPr>
        <w:t xml:space="preserve"> </w:t>
      </w:r>
      <w:r>
        <w:rPr>
          <w:rFonts w:ascii="Arial" w:cs="Arial" w:eastAsia="Arial" w:hAnsi="Arial"/>
          <w:sz w:val="16"/>
          <w:szCs w:val="16"/>
          <w:color w:val="212529"/>
        </w:rPr>
        <w:t xml:space="preserve">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w:t>
      </w:r>
      <w:r>
        <w:rPr>
          <w:rFonts w:ascii="Arial" w:cs="Arial" w:eastAsia="Arial" w:hAnsi="Arial"/>
          <w:sz w:val="16"/>
          <w:szCs w:val="16"/>
          <w:color w:val="000000"/>
        </w:rPr>
        <w:t>Our ability to raise additional capital may be adversely impacted by potential worsening global economic conditions and the recent</w:t>
      </w:r>
      <w:r>
        <w:rPr>
          <w:rFonts w:ascii="Arial" w:cs="Arial" w:eastAsia="Arial" w:hAnsi="Arial"/>
          <w:sz w:val="16"/>
          <w:szCs w:val="16"/>
          <w:color w:val="212529"/>
        </w:rPr>
        <w:t xml:space="preserve"> </w:t>
      </w:r>
      <w:r>
        <w:rPr>
          <w:rFonts w:ascii="Arial" w:cs="Arial" w:eastAsia="Arial" w:hAnsi="Arial"/>
          <w:sz w:val="16"/>
          <w:szCs w:val="16"/>
          <w:color w:val="000000"/>
        </w:rPr>
        <w:t>disruptions to, and volatility in, the credit and financial markets in the U.S. and worldwide resulting from the ongoing COVID-19 pandemic. An inability to borrow or raise additional capital on attractive terms, or at all, could prevent us from expanding our business and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 For example, in the first quarter of 2020, we recorded a $136.1 million asset impairment charge following the decision to stop enrollment in our Phase 3 clinical study of defibrotide due to a determination that the study is highly unlikely to reach one of its primary endpoints, the prevention of VOD.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3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Erwinase and Vyxeos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We are subject to reviews and audits by the U.S. Internal Revenue Services, or IRS, and other taxing authorities from time to time, and the IRS or other taxing authority may challenge our structure, transfer pricing arrangements and tax positions through 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6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4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84"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16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December 22, 2017, the U.S. Tax Cuts and Jobs Act, or U.S. Tax Act, was signed into law. The U.S. Tax Act made broad and complex changes to the U.S. tax code. The U.S. Department of Treasury has issued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Investors should consult their own advisers regarding the potential application of these rules to their investments.</w:t>
      </w:r>
    </w:p>
    <w:p>
      <w:pPr>
        <w:spacing w:after="0" w:line="117"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including recently in connection with the ongoing COVID-19 pandemic, which has resulted in decreased market prices, notwithstanding the lack of a fundamental change in the underlying business models of those companies. Worsening economic conditions and other adverse effects or developments relating to the ongoing COVID-19 pandemic may negatively affect the market price of our ordinary shares, regardless of our actual operating performance. The market price for our ordinary shares is likely to continue to be volatile, particularly due to the ongoing COVID-19 pandemic, and subject to significant price and volume fluctuations in response to market, industry and other factors, including the risk factors described in this “Risk Factors” section.</w:t>
      </w:r>
    </w:p>
    <w:p>
      <w:pPr>
        <w:spacing w:after="0" w:line="6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our exchangeable senior notes contain provisions that could delay or prevent a takeover of us by a third party.</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Furthermore, the indentures governing our exchangeable senior notes require us to repurchase our exchangeable senior notes for cash if we undergo certain fundamental changes and, in certain circumstances, to increase the exchange rate for a holder of our exchangeable senior notes. A takeover of us may trigger the requirement that we purchase our exchangeable senior notes and/or increase the exchange rate, which could make it more costly for a potential acquiror to engage in a business combination transaction with us.</w:t>
      </w:r>
    </w:p>
    <w:p>
      <w:pPr>
        <w:spacing w:after="0" w:line="8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10b-18(a)(3) under the Securities Exchange Act of 1934, as amended, during each fiscal month during the three-month period ended March 31, 2020:</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Share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January 31, 2020</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88,300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147.12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88,300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564,742,952</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February 1 - February 29, 2020</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144,000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135.55</w:t>
            </w:r>
          </w:p>
        </w:tc>
        <w:tc>
          <w:tcPr>
            <w:tcW w:w="120" w:type="dxa"/>
            <w:vAlign w:val="bottom"/>
          </w:tcPr>
          <w:p>
            <w:pPr>
              <w:spacing w:after="0"/>
              <w:rPr>
                <w:sz w:val="21"/>
                <w:szCs w:val="21"/>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144,000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545,227,319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 March 31, 2020</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899,000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118.51</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899,000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438,702,778</w:t>
            </w: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1,131,300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122.91</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1,131,300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_________________________</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500" w:hanging="316"/>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and release of restricted stock units.</w:t>
      </w: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ind w:left="540" w:right="100" w:hanging="316"/>
        <w:spacing w:after="0" w:line="281"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ordinary shares reported in this column above were purchased pursuant to our publicly announced share repurchase program. In November 2016, we announced that our board of directors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to $1.5 billion.</w:t>
      </w:r>
    </w:p>
    <w:p>
      <w:pPr>
        <w:spacing w:after="0" w:line="2" w:lineRule="exact"/>
        <w:rPr>
          <w:rFonts w:ascii="Arial" w:cs="Arial" w:eastAsia="Arial" w:hAnsi="Arial"/>
          <w:sz w:val="16"/>
          <w:szCs w:val="16"/>
          <w:color w:val="auto"/>
        </w:rPr>
      </w:pPr>
    </w:p>
    <w:p>
      <w:pPr>
        <w:ind w:left="540" w:right="140" w:hanging="316"/>
        <w:spacing w:after="0" w:line="25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fiscal month,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3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10060" w:type="dxa"/>
            <w:vAlign w:val="bottom"/>
            <w:gridSpan w:val="33"/>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3"/>
                <w:szCs w:val="13"/>
                <w:color w:val="auto"/>
              </w:rPr>
            </w:pPr>
          </w:p>
        </w:tc>
        <w:tc>
          <w:tcPr>
            <w:tcW w:w="10060" w:type="dxa"/>
            <w:vAlign w:val="bottom"/>
            <w:gridSpan w:val="3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520" w:type="dxa"/>
            <w:vAlign w:val="bottom"/>
            <w:tcBorders>
              <w:bottom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Pharmaceuticals plc), Jaguar Merger Sub Inc., Jazz Pharmaceuticals, Inc. and Seamus Mulligan, solely in his capacity as the Indemnitors’</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Representative (incorporated herein by reference to Exhibit 2.1 in Jazz Pharmaceuticals, Inc.’s Current Report on Form 8-K (File No. 001-</w:t>
              </w:r>
            </w:hyperlink>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72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33500) filed with the SEC on September 19, 2011).</w:t>
              </w:r>
            </w:hyperlink>
          </w:p>
        </w:tc>
        <w:tc>
          <w:tcPr>
            <w:tcW w:w="6260" w:type="dxa"/>
            <w:vAlign w:val="bottom"/>
            <w:tcBorders>
              <w:top w:val="single" w:sz="8" w:color="0000FF"/>
              <w:bottom w:val="single" w:sz="8" w:color="CCEEFF"/>
            </w:tcBorders>
            <w:gridSpan w:val="26"/>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Inc. and Seamus Mulligan, solely in his capacity as the Indemnitors’ Representative (incorporated by reference to Exhibit 2.2 in Jazz</w:t>
              </w:r>
            </w:hyperlink>
          </w:p>
        </w:tc>
        <w:tc>
          <w:tcPr>
            <w:tcW w:w="240" w:type="dxa"/>
            <w:vAlign w:val="bottom"/>
            <w:tcBorders>
              <w:top w:val="single" w:sz="8" w:color="0000FF"/>
            </w:tcBorders>
            <w:gridSpan w:val="4"/>
          </w:tcPr>
          <w:p>
            <w:pPr>
              <w:spacing w:after="0"/>
              <w:rPr>
                <w:sz w:val="17"/>
                <w:szCs w:val="17"/>
                <w:color w:val="auto"/>
              </w:rPr>
            </w:pPr>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60" w:type="dxa"/>
            <w:vAlign w:val="bottom"/>
            <w:gridSpan w:val="33"/>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Pharmaceuticals plc’s Current Report on Form 8-K (File No. 001-33500), as filed with the SEC on January 18, 2012).</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32"/>
            <w:shd w:val="clear" w:color="auto" w:fill="CCEEFF"/>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Agreement and Plan of Merger, dated as of April 26, 2012, by and among Jazz Pharmaceuticals plc, Jewel Merger Sub Inc., EUSA Pharma</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Inc., and Essex Woodlands Health Ventures, Inc., Mayflower L.P., and Bryan Morton, in their capacity as the representatives of the equity</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2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14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46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(File No. 001-33500), as filed with the SEC on April 27, 2012).</w:t>
              </w:r>
            </w:hyperlink>
          </w:p>
        </w:tc>
        <w:tc>
          <w:tcPr>
            <w:tcW w:w="5460" w:type="dxa"/>
            <w:vAlign w:val="bottom"/>
            <w:tcBorders>
              <w:bottom w:val="single" w:sz="8" w:color="CCEEFF"/>
            </w:tcBorders>
            <w:gridSpan w:val="2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20" w:type="dxa"/>
            <w:vAlign w:val="bottom"/>
            <w:tcBorders>
              <w:bottom w:val="single" w:sz="8" w:color="0000FF"/>
            </w:tcBorders>
            <w:gridSpan w:val="20"/>
          </w:tcPr>
          <w:p>
            <w:pPr>
              <w:spacing w:after="0" w:line="202"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reference to Exhibit 2.1B in Jazz Pharmaceuticals plc’s Current Report on Form 8-K (File No. 001-33500), as filed with the SEC on June</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gridSpan w:val="3"/>
          </w:tcPr>
          <w:p>
            <w:pPr>
              <w:ind w:left="380"/>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12, 2012).</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Tender Offer Agreement, dated December 19, 2013, by and among Jazz Pharmaceuticals Public Limited Company, Jazz Pharmaceuticals</w:t>
              </w:r>
            </w:hyperlink>
          </w:p>
        </w:tc>
        <w:tc>
          <w:tcPr>
            <w:tcW w:w="16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Italy S.r.l. and Gentium S.p.A. (incorporated herein by reference to Exhibit 2.1 in Jazz Pharmaceuticals plc’s Current Report on Form 8-</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98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K/A (File No. 001-33500), as filed with the SEC on December 20, 2013).</w:t>
              </w:r>
            </w:hyperlink>
          </w:p>
        </w:tc>
        <w:tc>
          <w:tcPr>
            <w:tcW w:w="260" w:type="dxa"/>
            <w:vAlign w:val="bottom"/>
            <w:tcBorders>
              <w:top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6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and Jazz Pharmaceuticals plc (incorporated herein by reference to Exhibit 2.1 in Jazz Pharmaceuticals plc’s Current Report on Form 8-K</w:t>
              </w:r>
            </w:hyperlink>
          </w:p>
        </w:tc>
        <w:tc>
          <w:tcPr>
            <w:tcW w:w="16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(File No. 001-33500), as filed with the SEC on January 13, 2014).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700" w:type="dxa"/>
            <w:vAlign w:val="bottom"/>
            <w:tcBorders>
              <w:bottom w:val="single" w:sz="8" w:color="0000FF"/>
              <w:right w:val="single" w:sz="8" w:color="CCEEFF"/>
            </w:tcBorders>
            <w:gridSpan w:val="19"/>
            <w:shd w:val="clear" w:color="auto" w:fill="CCEEFF"/>
          </w:tcPr>
          <w:p>
            <w:pPr>
              <w:spacing w:after="0" w:line="202"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Assignment Agreement, dated July 1, 2014, by and among Jazz Pharmaceuticals International II Limited, Sigma-Tau Pharmaceuticals,</w:t>
              </w:r>
            </w:hyperlink>
          </w:p>
        </w:tc>
        <w:tc>
          <w:tcPr>
            <w:tcW w:w="360" w:type="dxa"/>
            <w:vAlign w:val="bottom"/>
            <w:tcBorders>
              <w:bottom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Inc., Jazz Pharmaceuticals plc and Gentium S.p.A. (incorporated herein by reference to Exhibit 2.1 in Jazz Pharmaceuticals plc’s Current</w:t>
              </w:r>
            </w:hyperlink>
          </w:p>
        </w:tc>
        <w:tc>
          <w:tcPr>
            <w:tcW w:w="180" w:type="dxa"/>
            <w:vAlign w:val="bottom"/>
            <w:tcBorders>
              <w:bottom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Report on Form 8-K (File No. 001-33500), as filed with the SEC on August 5, 2014).</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202"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Amended and Restated Agreement for the Acquisition of the Topaz Portfolio Business of Jazz Pharmaceuticals plc, dated March 20, 2015,</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Current Report on Form 8-K (File No. 001-33500), as filed with the SEC on March 23, 2015).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202"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Agreement and Plan of Merger, dated as of May 27, 2016, by and among Jazz Pharmaceuticals plc, Plex Merger Sub, Inc., and Celator</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8"/>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Pharmaceuticals, Inc. (incorporated herein by reference to Exhibit 2.1 in Jazz Pharmaceuticals plc’s Current Report on Form 8-K (File No.</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9980" w:type="dxa"/>
            <w:vAlign w:val="bottom"/>
            <w:tcBorders>
              <w:top w:val="single" w:sz="8" w:color="0000FF"/>
            </w:tcBorders>
            <w:gridSpan w:val="29"/>
            <w:shd w:val="clear" w:color="auto" w:fill="CCEEFF"/>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001-33500), as filed with the SEC on May 31, 2016).</w:t>
              </w:r>
            </w:hyperlink>
          </w:p>
        </w:tc>
        <w:tc>
          <w:tcPr>
            <w:tcW w:w="8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00" w:type="dxa"/>
            <w:vAlign w:val="bottom"/>
            <w:tcBorders>
              <w:bottom w:val="single" w:sz="8" w:color="0000FF"/>
            </w:tcBorders>
            <w:gridSpan w:val="14"/>
          </w:tcPr>
          <w:p>
            <w:pPr>
              <w:spacing w:after="0" w:line="202"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Amended and Restated Memorandum and Articles of Association of Jazz Pharmaceuticals plc, as amended on August 4, 2016</w:t>
              </w:r>
            </w:hyperlink>
          </w:p>
        </w:tc>
        <w:tc>
          <w:tcPr>
            <w:tcW w:w="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(incorporated herein by reference to Exhibit 3.1 in Jazz Pharmaceuticals plc’s Quarterly Report on Form 10-Q (File No. 001-33500) for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period ended June 30, 2016, as filed with the SEC on August 9, 2016).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10060" w:type="dxa"/>
            <w:vAlign w:val="bottom"/>
            <w:tcBorders>
              <w:bottom w:val="single" w:sz="8" w:color="CCEEFF"/>
            </w:tcBorders>
            <w:gridSpan w:val="33"/>
            <w:shd w:val="clear" w:color="auto" w:fill="CCEEFF"/>
          </w:tcPr>
          <w:p>
            <w:pPr>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Reference is made to Exhibit 3.1.</w:t>
              </w:r>
            </w:hyperlink>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4.2A</w:t>
            </w:r>
          </w:p>
        </w:tc>
        <w:tc>
          <w:tcPr>
            <w:tcW w:w="380" w:type="dxa"/>
            <w:vAlign w:val="bottom"/>
          </w:tcPr>
          <w:p>
            <w:pPr>
              <w:spacing w:after="0"/>
              <w:rPr>
                <w:sz w:val="17"/>
                <w:szCs w:val="17"/>
                <w:color w:val="auto"/>
              </w:rPr>
            </w:pPr>
          </w:p>
        </w:tc>
        <w:tc>
          <w:tcPr>
            <w:tcW w:w="956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Indenture, dated as of August 13, 2014, by and among Jazz Pharmaceuticals plc, Jazz Investments I Limited and U.S. Bank National</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Association (incorporated herein by reference to Exhibit 4.1 in Jazz Pharmaceuticals plc’s Current Report on Form 8-K (File No. 001-</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4.2B</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50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Form of 1.875% Exchangeable Senior Note due 2021 (incorporated herein by reference to Exhibit 4.1 in Jazz Pharmaceuticals plc’s</w:t>
              </w:r>
            </w:hyperlink>
          </w:p>
        </w:tc>
        <w:tc>
          <w:tcPr>
            <w:tcW w:w="560" w:type="dxa"/>
            <w:vAlign w:val="bottom"/>
            <w:tcBorders>
              <w:bottom w:val="single" w:sz="8" w:color="CCEEFF"/>
            </w:tcBorders>
            <w:gridSpan w:val="1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Current Report on Form 8-K (File No. 001-33500), as filed with the SEC on August 13, 2014).</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4.3A</w:t>
            </w: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Indenture, dated as of August 23, 2017, among Jazz Pharmaceuticals Public Limited Company, Jazz Investments I Limited and U.S. Bank</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3640" w:type="dxa"/>
            <w:vAlign w:val="bottom"/>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001-033500), as filed with the SEC on August 23, 2017).</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4.3B</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30"/>
            <w:shd w:val="clear" w:color="auto" w:fill="CCEEFF"/>
          </w:tcPr>
          <w:p>
            <w:pPr>
              <w:spacing w:after="0" w:line="202"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Form of 1.50% Exchangeable Senior Note due 2024 (incorporated herein by reference to Exhibit 4.2 in Jazz Pharmaceuticals plc’s Current</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60" w:type="dxa"/>
            <w:vAlign w:val="bottom"/>
            <w:gridSpan w:val="33"/>
          </w:tcPr>
          <w:p>
            <w:pPr>
              <w:spacing w:after="0"/>
              <w:rPr>
                <w:rFonts w:ascii="Arial" w:cs="Arial" w:eastAsia="Arial" w:hAnsi="Arial"/>
                <w:sz w:val="18"/>
                <w:szCs w:val="18"/>
                <w:color w:val="0000FF"/>
              </w:rPr>
            </w:pPr>
            <w:hyperlink w:anchor="page70">
              <w:r>
                <w:rPr>
                  <w:rFonts w:ascii="Arial" w:cs="Arial" w:eastAsia="Arial" w:hAnsi="Arial"/>
                  <w:sz w:val="18"/>
                  <w:szCs w:val="18"/>
                  <w:u w:val="single" w:color="auto"/>
                  <w:color w:val="0000FF"/>
                </w:rPr>
                <w:t>Offer Letter, dated as of February 23, 2020, by and between Jazz Pharmaceuticals, Inc. and Renée Galá</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80" w:type="dxa"/>
            <w:vAlign w:val="bottom"/>
            <w:gridSpan w:val="7"/>
          </w:tcPr>
          <w:p>
            <w:pPr>
              <w:jc w:val="right"/>
              <w:ind w:right="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10060" w:type="dxa"/>
            <w:vAlign w:val="bottom"/>
            <w:gridSpan w:val="10"/>
            <w:shd w:val="clear" w:color="auto" w:fill="CCEEFF"/>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Amendment to Employment Contract, dated as of February 26, 2020, by and between Jazz Pharmaceuticals Ireland Limited and Finbar</w:t>
              </w:r>
            </w:hyperlink>
          </w:p>
        </w:tc>
      </w:tr>
      <w:tr>
        <w:trPr>
          <w:trHeight w:val="243"/>
        </w:trPr>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96"/>
              </w:rPr>
            </w:pPr>
            <w:hyperlink w:anchor="page74">
              <w:r>
                <w:rPr>
                  <w:rFonts w:ascii="Arial" w:cs="Arial" w:eastAsia="Arial" w:hAnsi="Arial"/>
                  <w:sz w:val="18"/>
                  <w:szCs w:val="18"/>
                  <w:color w:val="0000FF"/>
                  <w:w w:val="96"/>
                </w:rPr>
                <w:t>Larkin.</w:t>
              </w:r>
            </w:hyperlink>
          </w:p>
        </w:tc>
        <w:tc>
          <w:tcPr>
            <w:tcW w:w="92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32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40" w:type="dxa"/>
            <w:vAlign w:val="bottom"/>
          </w:tcPr>
          <w:p>
            <w:pPr>
              <w:ind w:left="20"/>
              <w:spacing w:after="0" w:line="202" w:lineRule="exact"/>
              <w:rPr>
                <w:sz w:val="20"/>
                <w:szCs w:val="20"/>
                <w:color w:val="auto"/>
              </w:rPr>
            </w:pPr>
            <w:r>
              <w:rPr>
                <w:rFonts w:ascii="Arial" w:cs="Arial" w:eastAsia="Arial" w:hAnsi="Arial"/>
                <w:sz w:val="18"/>
                <w:szCs w:val="18"/>
                <w:color w:val="auto"/>
              </w:rPr>
              <w:t>10.3+</w:t>
            </w:r>
          </w:p>
        </w:tc>
        <w:tc>
          <w:tcPr>
            <w:tcW w:w="9460" w:type="dxa"/>
            <w:vAlign w:val="bottom"/>
            <w:tcBorders>
              <w:bottom w:val="single" w:sz="8" w:color="0000FF"/>
            </w:tcBorders>
            <w:gridSpan w:val="5"/>
          </w:tcPr>
          <w:p>
            <w:pPr>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Amendment to Transition and Termination Agreement, dated as of March 31, 2020, by and between Jazz Pharmaceuticals, Inc. and</w:t>
              </w:r>
            </w:hyperlink>
          </w:p>
        </w:tc>
        <w:tc>
          <w:tcPr>
            <w:tcW w:w="6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Michael Miller.</w:t>
              </w:r>
            </w:hyperlink>
          </w:p>
        </w:tc>
      </w:tr>
      <w:tr>
        <w:trPr>
          <w:trHeight w:val="48"/>
        </w:trPr>
        <w:tc>
          <w:tcPr>
            <w:tcW w:w="114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6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FF"/>
                <w:w w:val="90"/>
              </w:rPr>
            </w:pPr>
            <w:hyperlink w:anchor="page81">
              <w:r>
                <w:rPr>
                  <w:rFonts w:ascii="Arial" w:cs="Arial" w:eastAsia="Arial" w:hAnsi="Arial"/>
                  <w:sz w:val="18"/>
                  <w:szCs w:val="18"/>
                  <w:u w:val="single" w:color="auto"/>
                  <w:color w:val="0000FF"/>
                  <w:w w:val="90"/>
                </w:rPr>
                <w:t>Amendment to Employment Contract, dated as of April 21, 2020, by and between Jazz Pharmaceuticals UK Limited and Samantha Pearce.</w:t>
              </w:r>
            </w:hyperlink>
          </w:p>
        </w:tc>
      </w:tr>
      <w:tr>
        <w:trPr>
          <w:trHeight w:val="203"/>
        </w:trPr>
        <w:tc>
          <w:tcPr>
            <w:tcW w:w="1140" w:type="dxa"/>
            <w:vAlign w:val="bottom"/>
          </w:tcPr>
          <w:p>
            <w:pPr>
              <w:ind w:left="20"/>
              <w:spacing w:after="0" w:line="202" w:lineRule="exact"/>
              <w:rPr>
                <w:sz w:val="20"/>
                <w:szCs w:val="20"/>
                <w:color w:val="auto"/>
              </w:rPr>
            </w:pPr>
            <w:r>
              <w:rPr>
                <w:rFonts w:ascii="Arial" w:cs="Arial" w:eastAsia="Arial" w:hAnsi="Arial"/>
                <w:sz w:val="18"/>
                <w:szCs w:val="18"/>
                <w:color w:val="auto"/>
              </w:rPr>
              <w:t>31.1</w:t>
            </w:r>
          </w:p>
        </w:tc>
        <w:tc>
          <w:tcPr>
            <w:tcW w:w="9680" w:type="dxa"/>
            <w:vAlign w:val="bottom"/>
            <w:tcBorders>
              <w:bottom w:val="single" w:sz="8" w:color="0000FF"/>
            </w:tcBorders>
            <w:gridSpan w:val="7"/>
          </w:tcPr>
          <w:p>
            <w:pPr>
              <w:spacing w:after="0" w:line="202"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Certification of Chief Executive Officer pursuant to Rules 13a-14(a) and 15d-14(a) promulgated under the Securities Exchange Act of</w:t>
              </w:r>
            </w:hyperlink>
          </w:p>
        </w:tc>
        <w:tc>
          <w:tcPr>
            <w:tcW w:w="3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1934, as amended.</w:t>
              </w:r>
            </w:hyperlink>
          </w:p>
        </w:tc>
      </w:tr>
      <w:tr>
        <w:trPr>
          <w:trHeight w:val="48"/>
        </w:trPr>
        <w:tc>
          <w:tcPr>
            <w:tcW w:w="114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54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31.2</w:t>
            </w:r>
          </w:p>
        </w:tc>
        <w:tc>
          <w:tcPr>
            <w:tcW w:w="10060" w:type="dxa"/>
            <w:vAlign w:val="bottom"/>
            <w:gridSpan w:val="10"/>
            <w:shd w:val="clear" w:color="auto" w:fill="CCEEFF"/>
          </w:tcPr>
          <w:p>
            <w:pPr>
              <w:spacing w:after="0" w:line="202" w:lineRule="exact"/>
              <w:rPr>
                <w:rFonts w:ascii="Arial" w:cs="Arial" w:eastAsia="Arial" w:hAnsi="Arial"/>
                <w:sz w:val="18"/>
                <w:szCs w:val="18"/>
                <w:color w:val="0000FF"/>
                <w:w w:val="95"/>
              </w:rPr>
            </w:pPr>
            <w:hyperlink w:anchor="page87">
              <w:r>
                <w:rPr>
                  <w:rFonts w:ascii="Arial" w:cs="Arial" w:eastAsia="Arial" w:hAnsi="Arial"/>
                  <w:sz w:val="18"/>
                  <w:szCs w:val="18"/>
                  <w:color w:val="0000FF"/>
                  <w:w w:val="95"/>
                </w:rPr>
                <w:t>Certification of Chief Financial Officer pursuant to Rules 13a-14(a) and 15d-14(a) promulgated under the Securities Exchange Act of</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87">
              <w:r>
                <w:rPr>
                  <w:rFonts w:ascii="Arial" w:cs="Arial" w:eastAsia="Arial" w:hAnsi="Arial"/>
                  <w:sz w:val="18"/>
                  <w:szCs w:val="18"/>
                  <w:color w:val="0000FF"/>
                </w:rPr>
                <w:t>1934, as amended.</w:t>
              </w:r>
            </w:hyperlink>
          </w:p>
        </w:tc>
        <w:tc>
          <w:tcPr>
            <w:tcW w:w="44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5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140" w:type="dxa"/>
            <w:vAlign w:val="bottom"/>
          </w:tcPr>
          <w:p>
            <w:pPr>
              <w:ind w:left="20"/>
              <w:spacing w:after="0" w:line="202" w:lineRule="exact"/>
              <w:rPr>
                <w:sz w:val="20"/>
                <w:szCs w:val="20"/>
                <w:color w:val="auto"/>
              </w:rPr>
            </w:pPr>
            <w:r>
              <w:rPr>
                <w:rFonts w:ascii="Arial" w:cs="Arial" w:eastAsia="Arial" w:hAnsi="Arial"/>
                <w:sz w:val="18"/>
                <w:szCs w:val="18"/>
                <w:color w:val="auto"/>
              </w:rPr>
              <w:t>32.1*</w:t>
            </w:r>
          </w:p>
        </w:tc>
        <w:tc>
          <w:tcPr>
            <w:tcW w:w="10060" w:type="dxa"/>
            <w:vAlign w:val="bottom"/>
            <w:gridSpan w:val="10"/>
          </w:tcPr>
          <w:p>
            <w:pPr>
              <w:spacing w:after="0" w:line="202" w:lineRule="exact"/>
              <w:rPr>
                <w:rFonts w:ascii="Arial" w:cs="Arial" w:eastAsia="Arial" w:hAnsi="Arial"/>
                <w:sz w:val="18"/>
                <w:szCs w:val="18"/>
                <w:color w:val="0000FF"/>
                <w:w w:val="93"/>
              </w:rPr>
            </w:pPr>
            <w:hyperlink w:anchor="page88">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88">
              <w:r>
                <w:rPr>
                  <w:rFonts w:ascii="Arial" w:cs="Arial" w:eastAsia="Arial" w:hAnsi="Arial"/>
                  <w:sz w:val="18"/>
                  <w:szCs w:val="18"/>
                  <w:color w:val="0000FF"/>
                </w:rPr>
                <w:t>906 of the Sarbanes-Oxley Act of 2002.</w:t>
              </w:r>
            </w:hyperlink>
          </w:p>
        </w:tc>
        <w:tc>
          <w:tcPr>
            <w:tcW w:w="200" w:type="dxa"/>
            <w:vAlign w:val="bottom"/>
          </w:tcPr>
          <w:p>
            <w:pPr>
              <w:spacing w:after="0"/>
              <w:rPr>
                <w:sz w:val="17"/>
                <w:szCs w:val="17"/>
                <w:color w:val="auto"/>
              </w:rPr>
            </w:pPr>
          </w:p>
        </w:tc>
      </w:tr>
      <w:tr>
        <w:trPr>
          <w:trHeight w:val="48"/>
        </w:trPr>
        <w:tc>
          <w:tcPr>
            <w:tcW w:w="114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0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100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0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0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p>
    <w:p>
      <w:pPr>
        <w:ind w:left="1160" w:hanging="1112"/>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20" w:hanging="492"/>
        <w:spacing w:after="0" w:line="255"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35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7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Vice President, Finance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3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20"/>
          </w:cols>
          <w:pgMar w:left="320" w:top="125" w:right="85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February 20, 2020</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Renée Galá</w:t>
      </w:r>
    </w:p>
    <w:p>
      <w:pPr>
        <w:spacing w:after="0" w:line="30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1"/>
          <w:szCs w:val="21"/>
          <w:b w:val="1"/>
          <w:bCs w:val="1"/>
          <w:color w:val="auto"/>
        </w:rPr>
        <w:t>Offer of employment with Jazz Pharmaceuticals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Dear Renée,</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I am very pleased to invite you to join Jazz Pharmaceuticals. This letter sets out the terms of your employment with Jazz Pharmaceuticals, Inc. (“Jazz Pharmaceuticals” or the “Company”).</w:t>
      </w:r>
    </w:p>
    <w:p>
      <w:pPr>
        <w:spacing w:after="0" w:line="178" w:lineRule="exact"/>
        <w:rPr>
          <w:sz w:val="20"/>
          <w:szCs w:val="20"/>
          <w:color w:val="auto"/>
        </w:rPr>
      </w:pPr>
    </w:p>
    <w:p>
      <w:pPr>
        <w:ind w:left="420" w:right="20" w:hanging="412"/>
        <w:spacing w:after="0" w:line="248" w:lineRule="auto"/>
        <w:tabs>
          <w:tab w:leader="none" w:pos="366"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Duties and Responsibilities</w:t>
      </w:r>
      <w:r>
        <w:rPr>
          <w:rFonts w:ascii="Arial" w:cs="Arial" w:eastAsia="Arial" w:hAnsi="Arial"/>
          <w:sz w:val="22"/>
          <w:szCs w:val="22"/>
          <w:color w:val="auto"/>
        </w:rPr>
        <w:t>. Your initial assignment will be as Executive Vice President and Chief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Financial Officer, reporting to me. This offer is for a full-time position, located at Jazz Pharmaceuticals’ offices in Palo Alto. The position may require you to travel from time to time to other locations as may be necessary to fulfill your responsibilities. As part of your employment relationship, you agree to comply with Jazz Pharmaceuticals’ policies and procedures in effect from time to time during your employment. As an exempt employee, you are expected to work the number of hours required to do your job well, and you are not eligible for overtime compensation.</w:t>
      </w:r>
    </w:p>
    <w:p>
      <w:pPr>
        <w:spacing w:after="0" w:line="181" w:lineRule="exact"/>
        <w:rPr>
          <w:rFonts w:ascii="Arial" w:cs="Arial" w:eastAsia="Arial" w:hAnsi="Arial"/>
          <w:sz w:val="22"/>
          <w:szCs w:val="22"/>
          <w:b w:val="1"/>
          <w:bCs w:val="1"/>
          <w:color w:val="auto"/>
        </w:rPr>
      </w:pPr>
    </w:p>
    <w:p>
      <w:pPr>
        <w:ind w:left="360" w:right="40" w:hanging="352"/>
        <w:spacing w:after="0" w:line="251" w:lineRule="auto"/>
        <w:tabs>
          <w:tab w:leader="none" w:pos="3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Salary; Annual Bonus; Signing Bonus</w:t>
      </w:r>
      <w:r>
        <w:rPr>
          <w:rFonts w:ascii="Arial" w:cs="Arial" w:eastAsia="Arial" w:hAnsi="Arial"/>
          <w:sz w:val="22"/>
          <w:szCs w:val="22"/>
          <w:color w:val="auto"/>
        </w:rPr>
        <w:t>. Your initial annual base salary rate will be $600,000 payable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accordance with Jazz Pharmaceuticals’ customary payroll practices, for all hours worked. Salary is subject to periodic review and adjustment by Jazz Pharmaceuticals, in accordance with its normal practices; we have a company-wide performance review process that takes place early in each calendar year.</w:t>
      </w:r>
    </w:p>
    <w:p>
      <w:pPr>
        <w:spacing w:after="0" w:line="202" w:lineRule="exact"/>
        <w:rPr>
          <w:sz w:val="20"/>
          <w:szCs w:val="20"/>
          <w:color w:val="auto"/>
        </w:rPr>
      </w:pPr>
    </w:p>
    <w:p>
      <w:pPr>
        <w:ind w:left="420" w:right="40"/>
        <w:spacing w:after="0" w:line="244" w:lineRule="auto"/>
        <w:rPr>
          <w:sz w:val="20"/>
          <w:szCs w:val="20"/>
          <w:color w:val="auto"/>
        </w:rPr>
      </w:pPr>
      <w:r>
        <w:rPr>
          <w:rFonts w:ascii="Arial" w:cs="Arial" w:eastAsia="Arial" w:hAnsi="Arial"/>
          <w:sz w:val="22"/>
          <w:szCs w:val="22"/>
          <w:color w:val="auto"/>
        </w:rPr>
        <w:t>You will be eligible to participate in the Jazz Pharmaceuticals plc Cash Bonus Plan (U.S. Affiliates) under which annual bonuses may be given based on the Company meeting its annual objectives, and each employee’s meeting of his or her objectives, subject to the terms and conditions of the cash bonus plan. Bonuses are not guaranteed, and whether there will be a bonus in any year, and the amount of any bonus, is within the discretion of the Board of Directors. In this role, you will be eligible for consideration of an annual incentive bonus target currently set at 55%; your bonus amount for 2020 will be prorated due to your partial year of employment.</w:t>
      </w:r>
    </w:p>
    <w:p>
      <w:pPr>
        <w:sectPr>
          <w:pgSz w:w="11900" w:h="16838" w:orient="portrait"/>
          <w:cols w:equalWidth="0" w:num="1">
            <w:col w:w="10160"/>
          </w:cols>
          <w:pgMar w:left="1400" w:top="337" w:right="339" w:bottom="1440" w:gutter="0" w:footer="0" w:header="0"/>
        </w:sectPr>
      </w:pPr>
    </w:p>
    <w:bookmarkStart w:id="70" w:name="page71"/>
    <w:bookmarkEnd w:id="70"/>
    <w:p>
      <w:pPr>
        <w:ind w:left="412" w:right="260"/>
        <w:spacing w:after="0" w:line="244" w:lineRule="auto"/>
        <w:rPr>
          <w:sz w:val="20"/>
          <w:szCs w:val="20"/>
          <w:color w:val="auto"/>
        </w:rPr>
      </w:pPr>
      <w:r>
        <w:rPr>
          <w:rFonts w:ascii="Arial" w:cs="Arial" w:eastAsia="Arial" w:hAnsi="Arial"/>
          <w:sz w:val="22"/>
          <w:szCs w:val="22"/>
          <w:color w:val="auto"/>
        </w:rPr>
        <w:t>In addition, Jazz Pharmaceuticals will pay you a signing bonus of $25,000, less all required withholdings, paid to you in a lump sum on the first regular pay date occurring 30 days after your employment start date, subject to your continued employment in good standing with Jazz Pharmaceuticals through such payment date. You will be required to repay the signing bonus if you resign your employment with Jazz within one year of your employment start date. You will be expected to repay to Jazz Pharmaceuticals the full amount of the signing bonus on your last day of employment or within 30 days thereafter.</w:t>
      </w:r>
    </w:p>
    <w:p>
      <w:pPr>
        <w:spacing w:after="0" w:line="185" w:lineRule="exact"/>
        <w:rPr>
          <w:sz w:val="20"/>
          <w:szCs w:val="20"/>
          <w:color w:val="auto"/>
        </w:rPr>
      </w:pPr>
    </w:p>
    <w:p>
      <w:pPr>
        <w:ind w:left="412" w:right="40" w:hanging="412"/>
        <w:spacing w:after="0" w:line="249" w:lineRule="auto"/>
        <w:tabs>
          <w:tab w:leader="none" w:pos="35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Benefits</w:t>
      </w:r>
      <w:r>
        <w:rPr>
          <w:rFonts w:ascii="Arial" w:cs="Arial" w:eastAsia="Arial" w:hAnsi="Arial"/>
          <w:sz w:val="22"/>
          <w:szCs w:val="22"/>
          <w:color w:val="auto"/>
        </w:rPr>
        <w:t>. You generally will be eligible to receive all benefits which are extended to other similarly-situated employees at Jazz Pharmaceuticals, subject to the terms and conditions of the benefit plans, including medical and dental benefits, life insurance and other benefits offered to regular employees. You will be eligible for paid time off and holidays in accordance with Jazz Pharmaceuticals’ policies, and you will be a participant in the Company’s Amended and Restated Executive Change in Control and Severance Benefit Plan.</w:t>
      </w:r>
    </w:p>
    <w:p>
      <w:pPr>
        <w:spacing w:after="0" w:line="180" w:lineRule="exact"/>
        <w:rPr>
          <w:rFonts w:ascii="Arial" w:cs="Arial" w:eastAsia="Arial" w:hAnsi="Arial"/>
          <w:sz w:val="22"/>
          <w:szCs w:val="22"/>
          <w:b w:val="1"/>
          <w:bCs w:val="1"/>
          <w:color w:val="auto"/>
        </w:rPr>
      </w:pPr>
    </w:p>
    <w:p>
      <w:pPr>
        <w:ind w:left="412" w:hanging="412"/>
        <w:spacing w:after="0" w:line="245" w:lineRule="auto"/>
        <w:tabs>
          <w:tab w:leader="none" w:pos="35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Equity</w:t>
      </w:r>
      <w:r>
        <w:rPr>
          <w:rFonts w:ascii="Arial" w:cs="Arial" w:eastAsia="Arial" w:hAnsi="Arial"/>
          <w:sz w:val="22"/>
          <w:szCs w:val="22"/>
          <w:color w:val="auto"/>
        </w:rPr>
        <w:t>. Your offer includes a grant of options to purchase 41,500 Jazz Pharmaceuticals plc ordinary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shares and a grant of 16,600 restricted stock units (RSUs) giving you a right to receive Jazz Pharmaceuticals plc ordinary shares at a future date, subject to approval by the Compensation Committee, the terms and conditions of the Jazz Pharmaceuticals plc 2011 Equity Incentive Plan, and the terms and conditions of the applicable award agreements, which will be provided to you as soon as practicable after the grant date. Subject to your continued employment on each vesting date, the options will vest 1/4th on the first annual anniversary of your start date and 1/48th of the total granted per month thereafter, and the RSUs will vest 1/4th annually over four years. The options will have an exercise price that equals the fair market value of Jazz Pharmaceuticals plc ordinary shares on the date of grant. The RSUs will have no exercise price. The options and RSUs will be granted on the second trading day following the filing date of the Company’s next quarterly report filed with the U.S. Securities and Exchange Commission following your start date in accordance with the Company’s Equity Incentive Grant Policy.</w:t>
      </w:r>
    </w:p>
    <w:p>
      <w:pPr>
        <w:spacing w:after="0" w:line="193" w:lineRule="exact"/>
        <w:rPr>
          <w:rFonts w:ascii="Arial" w:cs="Arial" w:eastAsia="Arial" w:hAnsi="Arial"/>
          <w:sz w:val="22"/>
          <w:szCs w:val="22"/>
          <w:b w:val="1"/>
          <w:bCs w:val="1"/>
          <w:color w:val="auto"/>
        </w:rPr>
      </w:pPr>
    </w:p>
    <w:p>
      <w:pPr>
        <w:ind w:left="412" w:right="20" w:hanging="412"/>
        <w:spacing w:after="0" w:line="251" w:lineRule="auto"/>
        <w:tabs>
          <w:tab w:leader="none" w:pos="35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Confidential Information; Employee Confidential Information and Inventions Agreement</w:t>
      </w:r>
      <w:r>
        <w:rPr>
          <w:rFonts w:ascii="Arial" w:cs="Arial" w:eastAsia="Arial" w:hAnsi="Arial"/>
          <w:sz w:val="22"/>
          <w:szCs w:val="22"/>
          <w:color w:val="auto"/>
        </w:rPr>
        <w: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enable Jazz Pharmaceuticals to safeguard its proprietary and confidential information, it is a condition of employment that you sign Jazz Pharmaceuticals’ standard form of “Employee Confidential Information and Inventions Agreement.” We understand that you are likely to have signed similar agreements with prior employers, and wish to impress upon you that Jazz</w:t>
      </w:r>
    </w:p>
    <w:p>
      <w:pPr>
        <w:sectPr>
          <w:pgSz w:w="11900" w:h="16838" w:orient="portrait"/>
          <w:cols w:equalWidth="0" w:num="1">
            <w:col w:w="10112"/>
          </w:cols>
          <w:pgMar w:left="1408" w:top="363" w:right="379" w:bottom="1440" w:gutter="0" w:footer="0" w:header="0"/>
        </w:sectPr>
      </w:pPr>
    </w:p>
    <w:bookmarkStart w:id="71" w:name="page72"/>
    <w:bookmarkEnd w:id="71"/>
    <w:p>
      <w:pPr>
        <w:ind w:left="412"/>
        <w:spacing w:after="0" w:line="244" w:lineRule="auto"/>
        <w:rPr>
          <w:sz w:val="20"/>
          <w:szCs w:val="20"/>
          <w:color w:val="auto"/>
        </w:rPr>
      </w:pPr>
      <w:r>
        <w:rPr>
          <w:rFonts w:ascii="Arial" w:cs="Arial" w:eastAsia="Arial" w:hAnsi="Arial"/>
          <w:sz w:val="22"/>
          <w:szCs w:val="22"/>
          <w:color w:val="auto"/>
        </w:rPr>
        <w:t>Pharmaceuticals does not want to receive the confidential or proprietary information of others, and will support you in respecting your lawful obligations to prior employers. By accepting this offer, you are representing to Jazz Pharmaceuticals that your performance of your duties will not violate any agreements you may have with, or trade secrets of, any third parties. You agree that, during your employment with Jazz Pharmaceuticals, you will not engage in any business activity that competes with Jazz Pharmaceuticals, and you will notify your supervisor if you are considering accepting outside work.</w:t>
      </w:r>
    </w:p>
    <w:p>
      <w:pPr>
        <w:spacing w:after="0" w:line="185" w:lineRule="exact"/>
        <w:rPr>
          <w:sz w:val="20"/>
          <w:szCs w:val="20"/>
          <w:color w:val="auto"/>
        </w:rPr>
      </w:pPr>
    </w:p>
    <w:p>
      <w:pPr>
        <w:ind w:left="412" w:hanging="412"/>
        <w:spacing w:after="0" w:line="262" w:lineRule="auto"/>
        <w:tabs>
          <w:tab w:leader="none" w:pos="358"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Code of Conduct</w:t>
      </w:r>
      <w:r>
        <w:rPr>
          <w:rFonts w:ascii="Arial" w:cs="Arial" w:eastAsia="Arial" w:hAnsi="Arial"/>
          <w:sz w:val="21"/>
          <w:szCs w:val="21"/>
          <w:color w:val="auto"/>
        </w:rPr>
        <w:t>. Jazz Pharmaceuticals is committed to integrity and the pursuit of excellence in 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we do. We fulfill 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 If you have questions about the Code of Conduct, please let Human Resources know and we will ensure that you receive answers to your inquiries as quickly as possible.</w:t>
      </w:r>
    </w:p>
    <w:p>
      <w:pPr>
        <w:spacing w:after="0" w:line="166" w:lineRule="exact"/>
        <w:rPr>
          <w:rFonts w:ascii="Arial" w:cs="Arial" w:eastAsia="Arial" w:hAnsi="Arial"/>
          <w:sz w:val="21"/>
          <w:szCs w:val="21"/>
          <w:b w:val="1"/>
          <w:bCs w:val="1"/>
          <w:color w:val="auto"/>
        </w:rPr>
      </w:pPr>
    </w:p>
    <w:p>
      <w:pPr>
        <w:ind w:left="412" w:right="20" w:hanging="412"/>
        <w:spacing w:after="0" w:line="269" w:lineRule="auto"/>
        <w:tabs>
          <w:tab w:leader="none" w:pos="358"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At-Will Employment</w:t>
      </w:r>
      <w:r>
        <w:rPr>
          <w:rFonts w:ascii="Arial" w:cs="Arial" w:eastAsia="Arial" w:hAnsi="Arial"/>
          <w:sz w:val="21"/>
          <w:szCs w:val="21"/>
          <w:color w:val="auto"/>
        </w:rPr>
        <w:t>. Should you decide to accept our offer, you will be an “at-will” employee of Jazz</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Pharmaceuticals. This means that either you or Jazz Pharmaceuticals may terminate the employment relationship with or without cause at any time. Participation in any benefit, compensation or bonus program does not change the nature of the employment relationship, which remains “at-will”.</w:t>
      </w:r>
    </w:p>
    <w:p>
      <w:pPr>
        <w:spacing w:after="0" w:line="159" w:lineRule="exact"/>
        <w:rPr>
          <w:rFonts w:ascii="Arial" w:cs="Arial" w:eastAsia="Arial" w:hAnsi="Arial"/>
          <w:sz w:val="21"/>
          <w:szCs w:val="21"/>
          <w:b w:val="1"/>
          <w:bCs w:val="1"/>
          <w:color w:val="auto"/>
        </w:rPr>
      </w:pPr>
    </w:p>
    <w:p>
      <w:pPr>
        <w:ind w:left="412" w:right="220" w:hanging="412"/>
        <w:spacing w:after="0" w:line="248" w:lineRule="auto"/>
        <w:tabs>
          <w:tab w:leader="none" w:pos="358"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Authorization to Work</w:t>
      </w:r>
      <w:r>
        <w:rPr>
          <w:rFonts w:ascii="Arial" w:cs="Arial" w:eastAsia="Arial" w:hAnsi="Arial"/>
          <w:sz w:val="22"/>
          <w:szCs w:val="22"/>
          <w:color w:val="auto"/>
        </w:rPr>
        <w:t>. Federal government regulations require that all prospective employees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present documentation verifying their identity and demonstrating that they are authorized to work in the United States. If you have any questions about this requirement, which applies to U.S. citizens and non-U.S. citizens alike, please contact Heidi Manna, our Senior Vice President, Human Resources. Your employment is contingent on your ability to prove your identity and authorization to work in the United States, and you’re complying with the government’s employment verification requirements.</w:t>
      </w:r>
    </w:p>
    <w:p>
      <w:pPr>
        <w:spacing w:after="0" w:line="181" w:lineRule="exact"/>
        <w:rPr>
          <w:rFonts w:ascii="Arial" w:cs="Arial" w:eastAsia="Arial" w:hAnsi="Arial"/>
          <w:sz w:val="22"/>
          <w:szCs w:val="22"/>
          <w:b w:val="1"/>
          <w:bCs w:val="1"/>
          <w:color w:val="auto"/>
        </w:rPr>
      </w:pPr>
    </w:p>
    <w:p>
      <w:pPr>
        <w:ind w:left="412" w:right="400" w:hanging="412"/>
        <w:spacing w:after="0" w:line="263" w:lineRule="auto"/>
        <w:tabs>
          <w:tab w:leader="none" w:pos="358" w:val="left"/>
        </w:tabs>
        <w:numPr>
          <w:ilvl w:val="0"/>
          <w:numId w:val="2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Complete Offer and Agreement</w:t>
      </w:r>
      <w:r>
        <w:rPr>
          <w:rFonts w:ascii="Arial" w:cs="Arial" w:eastAsia="Arial" w:hAnsi="Arial"/>
          <w:sz w:val="21"/>
          <w:szCs w:val="21"/>
          <w:color w:val="auto"/>
        </w:rPr>
        <w:t>. This letter contains our complete understanding and agreement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regarding the terms of your employment by Jazz Pharmaceuticals. There are no other, different or prior agreements or understandings on this or related subjects. Changes to the terms of your employment can be made only in a writing signed by you and the Chief Executive Officer of Jazz Pharmaceuticals, although it is understood that as part of the policy of employment at will, Jazz Pharmaceuticals may, from time to time, in its sole discretion, adjust your salary,</w:t>
      </w:r>
    </w:p>
    <w:p>
      <w:pPr>
        <w:sectPr>
          <w:pgSz w:w="11900" w:h="16838" w:orient="portrait"/>
          <w:cols w:equalWidth="0" w:num="1">
            <w:col w:w="10132"/>
          </w:cols>
          <w:pgMar w:left="1408" w:top="363" w:right="359" w:bottom="1440" w:gutter="0" w:footer="0" w:header="0"/>
        </w:sectPr>
      </w:pPr>
    </w:p>
    <w:bookmarkStart w:id="72" w:name="page73"/>
    <w:bookmarkEnd w:id="72"/>
    <w:p>
      <w:pPr>
        <w:ind w:left="420" w:right="780"/>
        <w:spacing w:after="0" w:line="249" w:lineRule="auto"/>
        <w:rPr>
          <w:sz w:val="20"/>
          <w:szCs w:val="20"/>
          <w:color w:val="auto"/>
        </w:rPr>
      </w:pPr>
      <w:r>
        <w:rPr>
          <w:rFonts w:ascii="Arial" w:cs="Arial" w:eastAsia="Arial" w:hAnsi="Arial"/>
          <w:sz w:val="22"/>
          <w:szCs w:val="22"/>
          <w:color w:val="auto"/>
        </w:rPr>
        <w:t>incentive compensation and benefits, as well as your job title, location, duties, responsibilities, assignments and reporting relationships.</w:t>
      </w:r>
    </w:p>
    <w:p>
      <w:pPr>
        <w:spacing w:after="0" w:line="178" w:lineRule="exact"/>
        <w:rPr>
          <w:sz w:val="20"/>
          <w:szCs w:val="20"/>
          <w:color w:val="auto"/>
        </w:rPr>
      </w:pPr>
    </w:p>
    <w:p>
      <w:pPr>
        <w:jc w:val="both"/>
        <w:ind w:left="420" w:hanging="412"/>
        <w:spacing w:after="0" w:line="276" w:lineRule="auto"/>
        <w:tabs>
          <w:tab w:leader="none" w:pos="366" w:val="left"/>
        </w:tabs>
        <w:numPr>
          <w:ilvl w:val="0"/>
          <w:numId w:val="2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Start Date; Acceptance of Offer</w:t>
      </w:r>
      <w:r>
        <w:rPr>
          <w:rFonts w:ascii="Arial" w:cs="Arial" w:eastAsia="Arial" w:hAnsi="Arial"/>
          <w:sz w:val="21"/>
          <w:szCs w:val="21"/>
          <w:color w:val="auto"/>
        </w:rPr>
        <w:t>. We hope that you will accept this offer promptly and begin your full-time employment at Jazz Pharmaceuticals by March 16, 2020. If our offer is acceptable to you, please sign the enclosed copy of this letter in the space indicated and return it to me by February 24, 2020.</w:t>
      </w:r>
    </w:p>
    <w:p>
      <w:pPr>
        <w:spacing w:after="0" w:line="152" w:lineRule="exact"/>
        <w:rPr>
          <w:rFonts w:ascii="Arial" w:cs="Arial" w:eastAsia="Arial" w:hAnsi="Arial"/>
          <w:sz w:val="21"/>
          <w:szCs w:val="21"/>
          <w:b w:val="1"/>
          <w:bCs w:val="1"/>
          <w:i w:val="1"/>
          <w:iCs w:val="1"/>
          <w:color w:val="auto"/>
        </w:rPr>
      </w:pPr>
    </w:p>
    <w:p>
      <w:pPr>
        <w:ind w:left="420" w:right="80" w:hanging="412"/>
        <w:spacing w:after="0" w:line="258" w:lineRule="auto"/>
        <w:tabs>
          <w:tab w:leader="none" w:pos="366" w:val="left"/>
        </w:tabs>
        <w:numPr>
          <w:ilvl w:val="0"/>
          <w:numId w:val="2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Severability</w:t>
      </w:r>
      <w:r>
        <w:rPr>
          <w:rFonts w:ascii="Arial" w:cs="Arial" w:eastAsia="Arial" w:hAnsi="Arial"/>
          <w:sz w:val="22"/>
          <w:szCs w:val="22"/>
          <w:color w:val="auto"/>
        </w:rPr>
        <w:t>. If any provision of this offer is held to be invalid, void or unenforceable, the remainder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agreement set forth herein will remain unaffected, and you and Jazz Pharmaceuticals will work together to achieve the intent of the affected provisions.</w:t>
      </w:r>
    </w:p>
    <w:p>
      <w:pPr>
        <w:spacing w:after="0" w:line="19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Renée, we are impressed by your accomplishments and potential, and we are enthusiastic at the prospect of you joining us. I look forward to your early acceptance of this offer, and to your contributions to the growth and success of Jazz Pharmaceuticals.</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Bruce Cozadd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ACCEPTANCE OF EMPLOYMENT OFFER:</w:t>
      </w:r>
    </w:p>
    <w:p>
      <w:pPr>
        <w:spacing w:after="0" w:line="259" w:lineRule="exact"/>
        <w:rPr>
          <w:sz w:val="20"/>
          <w:szCs w:val="20"/>
          <w:color w:val="auto"/>
        </w:rPr>
      </w:pPr>
    </w:p>
    <w:p>
      <w:pPr>
        <w:ind w:left="40" w:right="2240"/>
        <w:spacing w:after="0" w:line="238" w:lineRule="auto"/>
        <w:rPr>
          <w:sz w:val="20"/>
          <w:szCs w:val="20"/>
          <w:color w:val="auto"/>
        </w:rPr>
      </w:pPr>
      <w:r>
        <w:rPr>
          <w:rFonts w:ascii="Arial" w:cs="Arial" w:eastAsia="Arial" w:hAnsi="Arial"/>
          <w:sz w:val="22"/>
          <w:szCs w:val="22"/>
          <w:color w:val="auto"/>
        </w:rPr>
        <w:t>I accept the offer of employment by Jazz Pharmaceuticals on the terms set forth in this letter.</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3020" w:type="dxa"/>
            <w:vAlign w:val="bottom"/>
          </w:tcPr>
          <w:p>
            <w:pPr>
              <w:spacing w:after="0"/>
              <w:rPr>
                <w:sz w:val="20"/>
                <w:szCs w:val="20"/>
                <w:color w:val="auto"/>
              </w:rPr>
            </w:pPr>
            <w:r>
              <w:rPr>
                <w:rFonts w:ascii="Arial" w:cs="Arial" w:eastAsia="Arial" w:hAnsi="Arial"/>
                <w:sz w:val="22"/>
                <w:szCs w:val="22"/>
                <w:color w:val="auto"/>
              </w:rPr>
              <w:t>Signature:</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Renée Galá</w:t>
            </w:r>
          </w:p>
        </w:tc>
        <w:tc>
          <w:tcPr>
            <w:tcW w:w="2820" w:type="dxa"/>
            <w:vAlign w:val="bottom"/>
            <w:tcBorders>
              <w:bottom w:val="single" w:sz="8" w:color="auto"/>
            </w:tcBorders>
          </w:tcPr>
          <w:p>
            <w:pPr>
              <w:ind w:left="800"/>
              <w:spacing w:after="0"/>
              <w:rPr>
                <w:sz w:val="20"/>
                <w:szCs w:val="20"/>
                <w:color w:val="auto"/>
              </w:rPr>
            </w:pPr>
            <w:r>
              <w:rPr>
                <w:rFonts w:ascii="Arial" w:cs="Arial" w:eastAsia="Arial" w:hAnsi="Arial"/>
                <w:sz w:val="22"/>
                <w:szCs w:val="22"/>
                <w:color w:val="auto"/>
              </w:rPr>
              <w:t>RG</w:t>
            </w:r>
          </w:p>
        </w:tc>
      </w:tr>
      <w:tr>
        <w:trPr>
          <w:trHeight w:val="588"/>
        </w:trPr>
        <w:tc>
          <w:tcPr>
            <w:tcW w:w="3020" w:type="dxa"/>
            <w:vAlign w:val="bottom"/>
          </w:tcPr>
          <w:p>
            <w:pPr>
              <w:spacing w:after="0"/>
              <w:rPr>
                <w:sz w:val="20"/>
                <w:szCs w:val="20"/>
                <w:color w:val="auto"/>
              </w:rPr>
            </w:pPr>
            <w:r>
              <w:rPr>
                <w:rFonts w:ascii="Arial" w:cs="Arial" w:eastAsia="Arial" w:hAnsi="Arial"/>
                <w:sz w:val="22"/>
                <w:szCs w:val="22"/>
                <w:color w:val="auto"/>
              </w:rPr>
              <w:t>Date:</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23-Feb-2020</w:t>
            </w:r>
          </w:p>
        </w:tc>
        <w:tc>
          <w:tcPr>
            <w:tcW w:w="2820" w:type="dxa"/>
            <w:vAlign w:val="bottom"/>
            <w:tcBorders>
              <w:bottom w:val="single" w:sz="8" w:color="auto"/>
            </w:tcBorders>
          </w:tcPr>
          <w:p>
            <w:pPr>
              <w:spacing w:after="0"/>
              <w:rPr>
                <w:sz w:val="24"/>
                <w:szCs w:val="24"/>
                <w:color w:val="auto"/>
              </w:rPr>
            </w:pPr>
          </w:p>
        </w:tc>
      </w:tr>
      <w:tr>
        <w:trPr>
          <w:trHeight w:val="577"/>
        </w:trPr>
        <w:tc>
          <w:tcPr>
            <w:tcW w:w="3020" w:type="dxa"/>
            <w:vAlign w:val="bottom"/>
          </w:tcPr>
          <w:p>
            <w:pPr>
              <w:spacing w:after="0"/>
              <w:rPr>
                <w:sz w:val="20"/>
                <w:szCs w:val="20"/>
                <w:color w:val="auto"/>
              </w:rPr>
            </w:pPr>
            <w:r>
              <w:rPr>
                <w:rFonts w:ascii="Arial" w:cs="Arial" w:eastAsia="Arial" w:hAnsi="Arial"/>
                <w:sz w:val="22"/>
                <w:szCs w:val="22"/>
                <w:color w:val="auto"/>
              </w:rPr>
              <w:t>My start date will be</w:t>
            </w:r>
          </w:p>
        </w:tc>
        <w:tc>
          <w:tcPr>
            <w:tcW w:w="2340" w:type="dxa"/>
            <w:vAlign w:val="bottom"/>
          </w:tcPr>
          <w:p>
            <w:pPr>
              <w:ind w:left="20"/>
              <w:spacing w:after="0"/>
              <w:rPr>
                <w:sz w:val="20"/>
                <w:szCs w:val="20"/>
                <w:color w:val="auto"/>
              </w:rPr>
            </w:pPr>
            <w:r>
              <w:rPr>
                <w:rFonts w:ascii="Arial" w:cs="Arial" w:eastAsia="Arial" w:hAnsi="Arial"/>
                <w:sz w:val="22"/>
                <w:szCs w:val="22"/>
                <w:color w:val="auto"/>
              </w:rPr>
              <w:t>March 16, 2020</w:t>
            </w:r>
          </w:p>
        </w:tc>
        <w:tc>
          <w:tcPr>
            <w:tcW w:w="2820" w:type="dxa"/>
            <w:vAlign w:val="bottom"/>
          </w:tcPr>
          <w:p>
            <w:pPr>
              <w:spacing w:after="0"/>
              <w:rPr>
                <w:sz w:val="24"/>
                <w:szCs w:val="24"/>
                <w:color w:val="auto"/>
              </w:rPr>
            </w:pPr>
          </w:p>
        </w:tc>
      </w:tr>
    </w:tbl>
    <w:p>
      <w:pPr>
        <w:sectPr>
          <w:pgSz w:w="11900" w:h="16838" w:orient="portrait"/>
          <w:cols w:equalWidth="0" w:num="1">
            <w:col w:w="10140"/>
          </w:cols>
          <w:pgMar w:left="1400" w:top="363"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Finbar Larkin’s Terms and Conditions of Employment</w:t>
      </w:r>
    </w:p>
    <w:p>
      <w:pPr>
        <w:spacing w:after="0" w:line="239" w:lineRule="exact"/>
        <w:rPr>
          <w:sz w:val="20"/>
          <w:szCs w:val="20"/>
          <w:color w:val="auto"/>
        </w:rPr>
      </w:pPr>
    </w:p>
    <w:p>
      <w:pPr>
        <w:ind w:right="360" w:firstLine="648"/>
        <w:spacing w:after="0" w:line="284"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b w:val="1"/>
          <w:bCs w:val="1"/>
          <w:color w:val="auto"/>
        </w:rPr>
        <w:t>Amendment</w:t>
      </w:r>
      <w:r>
        <w:rPr>
          <w:rFonts w:ascii="Arial" w:cs="Arial" w:eastAsia="Arial" w:hAnsi="Arial"/>
          <w:sz w:val="18"/>
          <w:szCs w:val="18"/>
          <w:color w:val="auto"/>
        </w:rPr>
        <w:t>”) applies to the Terms and Conditions of Employment agreement between Finbar Larkin (the “</w:t>
      </w:r>
      <w:r>
        <w:rPr>
          <w:rFonts w:ascii="Arial" w:cs="Arial" w:eastAsia="Arial" w:hAnsi="Arial"/>
          <w:sz w:val="18"/>
          <w:szCs w:val="18"/>
          <w:b w:val="1"/>
          <w:bCs w:val="1"/>
          <w:color w:val="auto"/>
        </w:rPr>
        <w:t>Executive</w:t>
      </w:r>
      <w:r>
        <w:rPr>
          <w:rFonts w:ascii="Arial" w:cs="Arial" w:eastAsia="Arial" w:hAnsi="Arial"/>
          <w:sz w:val="18"/>
          <w:szCs w:val="18"/>
          <w:color w:val="auto"/>
        </w:rPr>
        <w:t>”) and Jazz Pharmaceuticals Ireland Limited which was signed by the Executive on 22 February 2013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Employment Agreement is amended as set forth herein.</w:t>
      </w:r>
    </w:p>
    <w:p>
      <w:pPr>
        <w:spacing w:after="0" w:line="170" w:lineRule="exact"/>
        <w:rPr>
          <w:sz w:val="20"/>
          <w:szCs w:val="20"/>
          <w:color w:val="auto"/>
        </w:rPr>
      </w:pPr>
    </w:p>
    <w:p>
      <w:pPr>
        <w:ind w:left="720" w:hanging="334"/>
        <w:spacing w:after="0" w:line="303" w:lineRule="auto"/>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Employment Terms Due to Promotion. </w:t>
      </w:r>
      <w:r>
        <w:rPr>
          <w:rFonts w:ascii="Arial" w:cs="Arial" w:eastAsia="Arial" w:hAnsi="Arial"/>
          <w:sz w:val="18"/>
          <w:szCs w:val="18"/>
          <w:color w:val="auto"/>
        </w:rPr>
        <w:t>The below employment terms were amended effective 31 October 2019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Executive’s promotion to the role of SVP, Technical Operations on a non-interim basis.</w:t>
      </w:r>
    </w:p>
    <w:p>
      <w:pPr>
        <w:spacing w:after="0" w:line="152" w:lineRule="exact"/>
        <w:rPr>
          <w:rFonts w:ascii="Arial" w:cs="Arial" w:eastAsia="Arial" w:hAnsi="Arial"/>
          <w:sz w:val="18"/>
          <w:szCs w:val="18"/>
          <w:b w:val="1"/>
          <w:bCs w:val="1"/>
          <w:color w:val="auto"/>
        </w:rPr>
      </w:pPr>
    </w:p>
    <w:p>
      <w:pPr>
        <w:ind w:left="1360" w:hanging="326"/>
        <w:spacing w:after="0"/>
        <w:tabs>
          <w:tab w:leader="none" w:pos="13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Clause 1 is amended to state Executive’s role of SVP, Technical Operations.</w:t>
      </w:r>
    </w:p>
    <w:p>
      <w:pPr>
        <w:spacing w:after="0" w:line="238" w:lineRule="exact"/>
        <w:rPr>
          <w:rFonts w:ascii="Arial" w:cs="Arial" w:eastAsia="Arial" w:hAnsi="Arial"/>
          <w:sz w:val="18"/>
          <w:szCs w:val="18"/>
          <w:b w:val="1"/>
          <w:bCs w:val="1"/>
          <w:color w:val="auto"/>
        </w:rPr>
      </w:pPr>
    </w:p>
    <w:p>
      <w:pPr>
        <w:ind w:left="1360" w:right="640" w:hanging="326"/>
        <w:spacing w:after="0" w:line="303" w:lineRule="auto"/>
        <w:tabs>
          <w:tab w:leader="none" w:pos="13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Reporting Relationship: </w:t>
      </w:r>
      <w:r>
        <w:rPr>
          <w:rFonts w:ascii="Arial" w:cs="Arial" w:eastAsia="Arial" w:hAnsi="Arial"/>
          <w:sz w:val="18"/>
          <w:szCs w:val="18"/>
          <w:color w:val="auto"/>
        </w:rPr>
        <w:t>Clause 5 is amended to state Executive’s reporting relationship to the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w:t>
      </w:r>
    </w:p>
    <w:p>
      <w:pPr>
        <w:spacing w:after="0" w:line="152" w:lineRule="exact"/>
        <w:rPr>
          <w:rFonts w:ascii="Arial" w:cs="Arial" w:eastAsia="Arial" w:hAnsi="Arial"/>
          <w:sz w:val="18"/>
          <w:szCs w:val="18"/>
          <w:b w:val="1"/>
          <w:bCs w:val="1"/>
          <w:color w:val="auto"/>
        </w:rPr>
      </w:pPr>
    </w:p>
    <w:p>
      <w:pPr>
        <w:ind w:left="1360" w:hanging="326"/>
        <w:spacing w:after="0"/>
        <w:tabs>
          <w:tab w:leader="none" w:pos="13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Clause 6.1 is amended to state Executive’s annual basic salary rate of €309,000.</w:t>
      </w:r>
    </w:p>
    <w:p>
      <w:pPr>
        <w:spacing w:after="0" w:line="238" w:lineRule="exact"/>
        <w:rPr>
          <w:rFonts w:ascii="Arial" w:cs="Arial" w:eastAsia="Arial" w:hAnsi="Arial"/>
          <w:sz w:val="18"/>
          <w:szCs w:val="18"/>
          <w:b w:val="1"/>
          <w:bCs w:val="1"/>
          <w:color w:val="auto"/>
        </w:rPr>
      </w:pPr>
    </w:p>
    <w:p>
      <w:pPr>
        <w:ind w:left="1360" w:right="60" w:hanging="326"/>
        <w:spacing w:after="0" w:line="278" w:lineRule="auto"/>
        <w:tabs>
          <w:tab w:leader="none" w:pos="13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Clause 7.1 is amended to state that Executive’s eligibility for an annual bonus for 2020 will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Jazz Pharmaceuticals Cash Bonus Plan (Ireland and Other Specified Affiliates) (Calendar Year 2020). Bonus eligibility for other calendar years will be governed by the terms and conditions of any approved bonus plan or program in effective during the relevant calendar year.</w:t>
      </w:r>
    </w:p>
    <w:p>
      <w:pPr>
        <w:spacing w:after="0" w:line="174" w:lineRule="exact"/>
        <w:rPr>
          <w:rFonts w:ascii="Arial" w:cs="Arial" w:eastAsia="Arial" w:hAnsi="Arial"/>
          <w:sz w:val="18"/>
          <w:szCs w:val="18"/>
          <w:b w:val="1"/>
          <w:bCs w:val="1"/>
          <w:color w:val="auto"/>
        </w:rPr>
      </w:pPr>
    </w:p>
    <w:p>
      <w:pPr>
        <w:ind w:left="720" w:right="520" w:hanging="334"/>
        <w:spacing w:after="0" w:line="303" w:lineRule="auto"/>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Severance Benefits. </w:t>
      </w:r>
      <w:r>
        <w:rPr>
          <w:rFonts w:ascii="Arial" w:cs="Arial" w:eastAsia="Arial" w:hAnsi="Arial"/>
          <w:sz w:val="18"/>
          <w:szCs w:val="18"/>
          <w:color w:val="auto"/>
        </w:rPr>
        <w:t>The attached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effective as of 11 February 2020, contains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Executive’s eligibility for certain change in control severance benefits.</w:t>
      </w:r>
    </w:p>
    <w:p>
      <w:pPr>
        <w:spacing w:after="0" w:line="152" w:lineRule="exact"/>
        <w:rPr>
          <w:rFonts w:ascii="Arial" w:cs="Arial" w:eastAsia="Arial" w:hAnsi="Arial"/>
          <w:sz w:val="18"/>
          <w:szCs w:val="18"/>
          <w:b w:val="1"/>
          <w:bCs w:val="1"/>
          <w:color w:val="auto"/>
        </w:rPr>
      </w:pPr>
    </w:p>
    <w:p>
      <w:pPr>
        <w:jc w:val="both"/>
        <w:ind w:left="720" w:right="220" w:hanging="334"/>
        <w:spacing w:after="0" w:line="284" w:lineRule="auto"/>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This Amendment,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sets forth all modifications to the Employment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Agreement remain in full force and effect. This Amendment can only be modified in a written agreement signed by both parties.</w:t>
      </w:r>
    </w:p>
    <w:p>
      <w:pPr>
        <w:spacing w:after="0" w:line="16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Signed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700" w:type="dxa"/>
        <w:tblCellMar>
          <w:top w:w="0" w:type="dxa"/>
          <w:left w:w="0" w:type="dxa"/>
          <w:bottom w:w="0" w:type="dxa"/>
          <w:right w:w="0" w:type="dxa"/>
        </w:tblCellMar>
      </w:tblPr>
      <w:tr>
        <w:trPr>
          <w:trHeight w:val="235"/>
        </w:trPr>
        <w:tc>
          <w:tcPr>
            <w:tcW w:w="4320" w:type="dxa"/>
            <w:vAlign w:val="bottom"/>
            <w:gridSpan w:val="2"/>
          </w:tcPr>
          <w:p>
            <w:pPr>
              <w:ind w:left="40"/>
              <w:spacing w:after="0"/>
              <w:rPr>
                <w:sz w:val="20"/>
                <w:szCs w:val="20"/>
                <w:color w:val="auto"/>
              </w:rPr>
            </w:pPr>
            <w:r>
              <w:rPr>
                <w:rFonts w:ascii="Arial" w:cs="Arial" w:eastAsia="Arial" w:hAnsi="Arial"/>
                <w:sz w:val="18"/>
                <w:szCs w:val="18"/>
                <w:i w:val="1"/>
                <w:iCs w:val="1"/>
                <w:color w:val="auto"/>
              </w:rPr>
              <w:t>/s/ Heidi Manna</w:t>
            </w:r>
          </w:p>
        </w:tc>
        <w:tc>
          <w:tcPr>
            <w:tcW w:w="92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/s/ Finbar Larkin</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920" w:type="dxa"/>
            <w:vAlign w:val="bottom"/>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r>
      <w:tr>
        <w:trPr>
          <w:trHeight w:val="200"/>
        </w:trPr>
        <w:tc>
          <w:tcPr>
            <w:tcW w:w="432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Heidi Manna</w:t>
            </w:r>
          </w:p>
        </w:tc>
        <w:tc>
          <w:tcPr>
            <w:tcW w:w="920" w:type="dxa"/>
            <w:vAlign w:val="bottom"/>
          </w:tcPr>
          <w:p>
            <w:pPr>
              <w:spacing w:after="0"/>
              <w:rPr>
                <w:sz w:val="17"/>
                <w:szCs w:val="17"/>
                <w:color w:val="auto"/>
              </w:rPr>
            </w:pPr>
          </w:p>
        </w:tc>
        <w:tc>
          <w:tcPr>
            <w:tcW w:w="410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Finbar Larkin</w:t>
            </w:r>
          </w:p>
        </w:tc>
      </w:tr>
      <w:tr>
        <w:trPr>
          <w:trHeight w:val="203"/>
        </w:trPr>
        <w:tc>
          <w:tcPr>
            <w:tcW w:w="43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Chief Human Resources Officer</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39"/>
        </w:trPr>
        <w:tc>
          <w:tcPr>
            <w:tcW w:w="4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Jazz Pharmaceuticals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Date:    23-Feb-2020</w:t>
            </w:r>
          </w:p>
        </w:tc>
        <w:tc>
          <w:tcPr>
            <w:tcW w:w="920" w:type="dxa"/>
            <w:vAlign w:val="bottom"/>
          </w:tcPr>
          <w:p>
            <w:pPr>
              <w:spacing w:after="0"/>
              <w:rPr>
                <w:sz w:val="24"/>
                <w:szCs w:val="24"/>
                <w:color w:val="auto"/>
              </w:rPr>
            </w:pPr>
          </w:p>
        </w:tc>
        <w:tc>
          <w:tcPr>
            <w:tcW w:w="4100" w:type="dxa"/>
            <w:vAlign w:val="bottom"/>
            <w:gridSpan w:val="2"/>
          </w:tcPr>
          <w:p>
            <w:pPr>
              <w:ind w:left="40"/>
              <w:spacing w:after="0"/>
              <w:rPr>
                <w:sz w:val="20"/>
                <w:szCs w:val="20"/>
                <w:color w:val="auto"/>
              </w:rPr>
            </w:pPr>
            <w:r>
              <w:rPr>
                <w:rFonts w:ascii="Arial" w:cs="Arial" w:eastAsia="Arial" w:hAnsi="Arial"/>
                <w:sz w:val="18"/>
                <w:szCs w:val="18"/>
                <w:color w:val="auto"/>
              </w:rPr>
              <w:t>Date:  26-Feb-2020</w:t>
            </w:r>
          </w:p>
        </w:tc>
      </w:tr>
      <w:tr>
        <w:trPr>
          <w:trHeight w:val="27"/>
        </w:trPr>
        <w:tc>
          <w:tcPr>
            <w:tcW w:w="7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11" w:right="339" w:bottom="1440" w:gutter="0" w:footer="0" w:header="0"/>
        </w:sectPr>
      </w:pPr>
    </w:p>
    <w:bookmarkStart w:id="74" w:name="page75"/>
    <w:bookmarkEnd w:id="74"/>
    <w:p>
      <w:pPr>
        <w:jc w:val="center"/>
        <w:ind w:right="636"/>
        <w:spacing w:after="0"/>
        <w:rPr>
          <w:sz w:val="20"/>
          <w:szCs w:val="20"/>
          <w:color w:val="auto"/>
        </w:rPr>
      </w:pPr>
      <w:r>
        <w:rPr>
          <w:rFonts w:ascii="Arial" w:cs="Arial" w:eastAsia="Arial" w:hAnsi="Arial"/>
          <w:sz w:val="18"/>
          <w:szCs w:val="18"/>
          <w:b w:val="1"/>
          <w:bCs w:val="1"/>
          <w:color w:val="auto"/>
        </w:rPr>
        <w:t>SCHEDULE 1</w:t>
      </w:r>
    </w:p>
    <w:p>
      <w:pPr>
        <w:spacing w:after="0" w:line="239" w:lineRule="exact"/>
        <w:rPr>
          <w:sz w:val="20"/>
          <w:szCs w:val="20"/>
          <w:color w:val="auto"/>
        </w:rPr>
      </w:pPr>
    </w:p>
    <w:p>
      <w:pPr>
        <w:ind w:left="2584"/>
        <w:spacing w:after="0"/>
        <w:rPr>
          <w:sz w:val="20"/>
          <w:szCs w:val="20"/>
          <w:color w:val="auto"/>
        </w:rPr>
      </w:pPr>
      <w:r>
        <w:rPr>
          <w:rFonts w:ascii="Arial" w:cs="Arial" w:eastAsia="Arial" w:hAnsi="Arial"/>
          <w:sz w:val="18"/>
          <w:szCs w:val="18"/>
          <w:b w:val="1"/>
          <w:bCs w:val="1"/>
          <w:color w:val="auto"/>
        </w:rPr>
        <w:t>Change in Control Severance Benefits for Finbar Larkin</w:t>
      </w:r>
    </w:p>
    <w:p>
      <w:pPr>
        <w:spacing w:after="0" w:line="239" w:lineRule="exact"/>
        <w:rPr>
          <w:sz w:val="20"/>
          <w:szCs w:val="20"/>
          <w:color w:val="auto"/>
        </w:rPr>
      </w:pPr>
    </w:p>
    <w:p>
      <w:pPr>
        <w:jc w:val="both"/>
        <w:ind w:left="644" w:hanging="644"/>
        <w:spacing w:after="0" w:line="284" w:lineRule="auto"/>
        <w:tabs>
          <w:tab w:leader="none" w:pos="64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Covered Termination: </w:t>
      </w:r>
      <w:r>
        <w:rPr>
          <w:rFonts w:ascii="Arial" w:cs="Arial" w:eastAsia="Arial" w:hAnsi="Arial"/>
          <w:sz w:val="18"/>
          <w:szCs w:val="18"/>
          <w:color w:val="auto"/>
        </w:rPr>
        <w:t>Finbar Larkin (the “</w:t>
      </w:r>
      <w:r>
        <w:rPr>
          <w:rFonts w:ascii="Arial" w:cs="Arial" w:eastAsia="Arial" w:hAnsi="Arial"/>
          <w:sz w:val="18"/>
          <w:szCs w:val="18"/>
          <w:b w:val="1"/>
          <w:bCs w:val="1"/>
          <w:color w:val="auto"/>
        </w:rPr>
        <w:t>Executive</w:t>
      </w:r>
      <w:r>
        <w:rPr>
          <w:rFonts w:ascii="Arial" w:cs="Arial" w:eastAsia="Arial" w:hAnsi="Arial"/>
          <w:sz w:val="18"/>
          <w:szCs w:val="18"/>
          <w:color w:val="auto"/>
        </w:rPr>
        <w:t>”) will be eligible for the severance benefits set forth in this 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Severance Benefits</w:t>
      </w:r>
      <w:r>
        <w:rPr>
          <w:rFonts w:ascii="Arial" w:cs="Arial" w:eastAsia="Arial" w:hAnsi="Arial"/>
          <w:sz w:val="18"/>
          <w:szCs w:val="18"/>
          <w:color w:val="auto"/>
        </w:rPr>
        <w:t>”) in the event of a Covered Termination which is effective on or within twelve (12) months following a Change in Control, subject to the requirements set forth in this Schedule 1.</w:t>
      </w:r>
    </w:p>
    <w:p>
      <w:pPr>
        <w:spacing w:after="0" w:line="169" w:lineRule="exact"/>
        <w:rPr>
          <w:rFonts w:ascii="Arial" w:cs="Arial" w:eastAsia="Arial" w:hAnsi="Arial"/>
          <w:sz w:val="18"/>
          <w:szCs w:val="18"/>
          <w:b w:val="1"/>
          <w:bCs w:val="1"/>
          <w:color w:val="auto"/>
        </w:rPr>
      </w:pPr>
    </w:p>
    <w:p>
      <w:pPr>
        <w:ind w:left="644" w:hanging="644"/>
        <w:spacing w:after="0" w:line="303" w:lineRule="auto"/>
        <w:tabs>
          <w:tab w:leader="none" w:pos="64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Severance Benefits will consist of cash severance payment and payments for continued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care insurance coverage, as follows:</w:t>
      </w:r>
    </w:p>
    <w:p>
      <w:pPr>
        <w:spacing w:after="0" w:line="152" w:lineRule="exact"/>
        <w:rPr>
          <w:rFonts w:ascii="Arial" w:cs="Arial" w:eastAsia="Arial" w:hAnsi="Arial"/>
          <w:sz w:val="18"/>
          <w:szCs w:val="18"/>
          <w:b w:val="1"/>
          <w:bCs w:val="1"/>
          <w:color w:val="auto"/>
        </w:rPr>
      </w:pPr>
    </w:p>
    <w:p>
      <w:pPr>
        <w:ind w:left="1304" w:hanging="656"/>
        <w:spacing w:after="0" w:line="303" w:lineRule="auto"/>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Cash Severance Benefits: </w:t>
      </w:r>
      <w:r>
        <w:rPr>
          <w:rFonts w:ascii="Arial" w:cs="Arial" w:eastAsia="Arial" w:hAnsi="Arial"/>
          <w:sz w:val="18"/>
          <w:szCs w:val="18"/>
          <w:color w:val="auto"/>
        </w:rPr>
        <w:t>A lump sum cash severance payment will be paid to the Executive in a gross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the following three components (the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1944"/>
        <w:spacing w:after="0" w:line="271" w:lineRule="auto"/>
        <w:tabs>
          <w:tab w:leader="none" w:pos="2214" w:val="left"/>
        </w:tabs>
        <w:numPr>
          <w:ilvl w:val="2"/>
          <w:numId w:val="30"/>
        </w:numPr>
        <w:rPr>
          <w:rFonts w:ascii="Arial" w:cs="Arial" w:eastAsia="Arial" w:hAnsi="Arial"/>
          <w:sz w:val="18"/>
          <w:szCs w:val="18"/>
          <w:color w:val="auto"/>
        </w:rPr>
      </w:pPr>
      <w:r>
        <w:rPr>
          <w:rFonts w:ascii="Arial" w:cs="Arial" w:eastAsia="Arial" w:hAnsi="Arial"/>
          <w:sz w:val="18"/>
          <w:szCs w:val="18"/>
          <w:color w:val="auto"/>
        </w:rPr>
        <w:t>Executive’s annual basic salary in effect as of the effective date of the Executive’s Covered Termination (without giving effect to any reduction in base salary that would constitute grounds for Constructive Termination) (the “</w:t>
      </w:r>
      <w:r>
        <w:rPr>
          <w:rFonts w:ascii="Arial" w:cs="Arial" w:eastAsia="Arial" w:hAnsi="Arial"/>
          <w:sz w:val="18"/>
          <w:szCs w:val="18"/>
          <w:b w:val="1"/>
          <w:bCs w:val="1"/>
          <w:color w:val="auto"/>
        </w:rPr>
        <w:t>Severance Base</w:t>
      </w:r>
      <w:r>
        <w:rPr>
          <w:rFonts w:ascii="Arial" w:cs="Arial" w:eastAsia="Arial" w:hAnsi="Arial"/>
          <w:sz w:val="18"/>
          <w:szCs w:val="18"/>
          <w:color w:val="auto"/>
        </w:rPr>
        <w:t>”) multiplied by 150%;</w:t>
      </w:r>
    </w:p>
    <w:p>
      <w:pPr>
        <w:spacing w:after="0" w:line="122" w:lineRule="exact"/>
        <w:rPr>
          <w:rFonts w:ascii="Arial" w:cs="Arial" w:eastAsia="Arial" w:hAnsi="Arial"/>
          <w:sz w:val="18"/>
          <w:szCs w:val="18"/>
          <w:color w:val="auto"/>
        </w:rPr>
      </w:pPr>
    </w:p>
    <w:p>
      <w:pPr>
        <w:ind w:left="1944"/>
        <w:spacing w:after="0" w:line="277" w:lineRule="auto"/>
        <w:tabs>
          <w:tab w:leader="none" w:pos="223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product of the Severance Base multiplied by the Bonus Percentage (defined below) multiplied by 150%; and</w:t>
      </w:r>
    </w:p>
    <w:p>
      <w:pPr>
        <w:spacing w:after="0" w:line="116" w:lineRule="exact"/>
        <w:rPr>
          <w:rFonts w:ascii="Arial" w:cs="Arial" w:eastAsia="Arial" w:hAnsi="Arial"/>
          <w:sz w:val="18"/>
          <w:szCs w:val="18"/>
          <w:color w:val="auto"/>
        </w:rPr>
      </w:pPr>
    </w:p>
    <w:p>
      <w:pPr>
        <w:ind w:left="1944"/>
        <w:spacing w:after="0" w:line="277" w:lineRule="auto"/>
        <w:tabs>
          <w:tab w:leader="none" w:pos="2263"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product of the Severance Base multiplied by the Bonus Percentage multiplied by the Bonus Multiplier (defined below).</w:t>
      </w:r>
    </w:p>
    <w:p>
      <w:pPr>
        <w:spacing w:after="0" w:line="116" w:lineRule="exact"/>
        <w:rPr>
          <w:sz w:val="20"/>
          <w:szCs w:val="20"/>
          <w:color w:val="auto"/>
        </w:rPr>
      </w:pPr>
    </w:p>
    <w:p>
      <w:pPr>
        <w:jc w:val="both"/>
        <w:ind w:left="1304"/>
        <w:spacing w:after="0" w:line="268" w:lineRule="auto"/>
        <w:rPr>
          <w:sz w:val="20"/>
          <w:szCs w:val="20"/>
          <w:color w:val="auto"/>
        </w:rPr>
      </w:pPr>
      <w:r>
        <w:rPr>
          <w:rFonts w:ascii="Arial" w:cs="Arial" w:eastAsia="Arial" w:hAnsi="Arial"/>
          <w:sz w:val="18"/>
          <w:szCs w:val="18"/>
          <w:color w:val="auto"/>
        </w:rPr>
        <w:t>Notwithstanding the foregoing, to the extent applicable, the Severance Payment shall be reduced by any amounts paid to Executive: (i) during any period of garden leave immediately preceding the Covered Termination; (ii) qualifying as pay-in-lieu of notice; or (iii) any other severance benefits whether contractual or statutory (including but not limited to any statutory redundancy pay) or other similar benefits payable to the Executive in connection with the termination of Executive’s employment.</w:t>
      </w:r>
    </w:p>
    <w:p>
      <w:pPr>
        <w:spacing w:after="0" w:line="127" w:lineRule="exact"/>
        <w:rPr>
          <w:sz w:val="20"/>
          <w:szCs w:val="20"/>
          <w:color w:val="auto"/>
        </w:rPr>
      </w:pPr>
    </w:p>
    <w:p>
      <w:pPr>
        <w:jc w:val="both"/>
        <w:ind w:left="1304"/>
        <w:spacing w:after="0" w:line="269" w:lineRule="auto"/>
        <w:rPr>
          <w:sz w:val="20"/>
          <w:szCs w:val="20"/>
          <w:color w:val="auto"/>
        </w:rPr>
      </w:pPr>
      <w:r>
        <w:rPr>
          <w:rFonts w:ascii="Arial" w:cs="Arial" w:eastAsia="Arial" w:hAnsi="Arial"/>
          <w:sz w:val="18"/>
          <w:szCs w:val="18"/>
          <w:color w:val="auto"/>
        </w:rPr>
        <w:t>By way of example, if the effective date of the Covered Termination is 30 June, Executive’s annual basic salary in effect as of the Covered Termination is €300,000, and his target bonus is 45% of basic salary (and Executive has not received any higher annual bonus in either of the last two calendar years prior to the Covered Termination), the Severance Payment shall be calculated as follows:</w:t>
      </w:r>
    </w:p>
    <w:p>
      <w:pPr>
        <w:spacing w:after="0" w:line="206" w:lineRule="exact"/>
        <w:rPr>
          <w:sz w:val="20"/>
          <w:szCs w:val="20"/>
          <w:color w:val="auto"/>
        </w:rPr>
      </w:pPr>
    </w:p>
    <w:p>
      <w:pPr>
        <w:ind w:left="1944" w:hanging="648"/>
        <w:spacing w:after="0"/>
        <w:tabs>
          <w:tab w:leader="none" w:pos="1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€300,000 x 150% (1.5) = €450,000</w:t>
      </w:r>
    </w:p>
    <w:p>
      <w:pPr>
        <w:spacing w:after="0" w:line="22" w:lineRule="exact"/>
        <w:rPr>
          <w:rFonts w:ascii="Arial" w:cs="Arial" w:eastAsia="Arial" w:hAnsi="Arial"/>
          <w:sz w:val="18"/>
          <w:szCs w:val="18"/>
          <w:color w:val="auto"/>
        </w:rPr>
      </w:pPr>
    </w:p>
    <w:p>
      <w:pPr>
        <w:ind w:left="1944" w:hanging="648"/>
        <w:spacing w:after="0"/>
        <w:tabs>
          <w:tab w:leader="none" w:pos="1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€300.000 x bonus percentage (.45) x 150% (1.5) = €202,500</w:t>
      </w:r>
    </w:p>
    <w:p>
      <w:pPr>
        <w:spacing w:after="0" w:line="22" w:lineRule="exact"/>
        <w:rPr>
          <w:rFonts w:ascii="Arial" w:cs="Arial" w:eastAsia="Arial" w:hAnsi="Arial"/>
          <w:sz w:val="18"/>
          <w:szCs w:val="18"/>
          <w:color w:val="auto"/>
        </w:rPr>
      </w:pPr>
    </w:p>
    <w:p>
      <w:pPr>
        <w:ind w:left="1944" w:hanging="648"/>
        <w:spacing w:after="0"/>
        <w:tabs>
          <w:tab w:leader="none" w:pos="1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€300,000 x bonus percentage (.45) x 6/12 = €67,500</w:t>
      </w:r>
    </w:p>
    <w:p>
      <w:pPr>
        <w:spacing w:after="0" w:line="136" w:lineRule="exact"/>
        <w:rPr>
          <w:sz w:val="20"/>
          <w:szCs w:val="20"/>
          <w:color w:val="auto"/>
        </w:rPr>
      </w:pPr>
    </w:p>
    <w:p>
      <w:pPr>
        <w:ind w:left="1304"/>
        <w:spacing w:after="0"/>
        <w:rPr>
          <w:sz w:val="20"/>
          <w:szCs w:val="20"/>
          <w:color w:val="auto"/>
        </w:rPr>
      </w:pPr>
      <w:r>
        <w:rPr>
          <w:rFonts w:ascii="Arial" w:cs="Arial" w:eastAsia="Arial" w:hAnsi="Arial"/>
          <w:sz w:val="18"/>
          <w:szCs w:val="18"/>
          <w:b w:val="1"/>
          <w:bCs w:val="1"/>
          <w:color w:val="auto"/>
        </w:rPr>
        <w:t xml:space="preserve">Total Gross Severance Payment: </w:t>
      </w:r>
      <w:r>
        <w:rPr>
          <w:rFonts w:ascii="Arial" w:cs="Arial" w:eastAsia="Arial" w:hAnsi="Arial"/>
          <w:sz w:val="18"/>
          <w:szCs w:val="18"/>
          <w:color w:val="auto"/>
        </w:rPr>
        <w:t>€</w:t>
      </w:r>
      <w:r>
        <w:rPr>
          <w:rFonts w:ascii="Arial" w:cs="Arial" w:eastAsia="Arial" w:hAnsi="Arial"/>
          <w:sz w:val="18"/>
          <w:szCs w:val="18"/>
          <w:b w:val="1"/>
          <w:bCs w:val="1"/>
          <w:color w:val="auto"/>
        </w:rPr>
        <w:t xml:space="preserve">450,000 + </w:t>
      </w:r>
      <w:r>
        <w:rPr>
          <w:rFonts w:ascii="Arial" w:cs="Arial" w:eastAsia="Arial" w:hAnsi="Arial"/>
          <w:sz w:val="18"/>
          <w:szCs w:val="18"/>
          <w:color w:val="auto"/>
        </w:rPr>
        <w:t>€</w:t>
      </w:r>
      <w:r>
        <w:rPr>
          <w:rFonts w:ascii="Arial" w:cs="Arial" w:eastAsia="Arial" w:hAnsi="Arial"/>
          <w:sz w:val="18"/>
          <w:szCs w:val="18"/>
          <w:b w:val="1"/>
          <w:bCs w:val="1"/>
          <w:color w:val="auto"/>
        </w:rPr>
        <w:t xml:space="preserve">202,500 + </w:t>
      </w:r>
      <w:r>
        <w:rPr>
          <w:rFonts w:ascii="Arial" w:cs="Arial" w:eastAsia="Arial" w:hAnsi="Arial"/>
          <w:sz w:val="18"/>
          <w:szCs w:val="18"/>
          <w:color w:val="auto"/>
        </w:rPr>
        <w:t>€</w:t>
      </w:r>
      <w:r>
        <w:rPr>
          <w:rFonts w:ascii="Arial" w:cs="Arial" w:eastAsia="Arial" w:hAnsi="Arial"/>
          <w:sz w:val="18"/>
          <w:szCs w:val="18"/>
          <w:b w:val="1"/>
          <w:bCs w:val="1"/>
          <w:color w:val="auto"/>
        </w:rPr>
        <w:t>67,500 = €720,000</w:t>
      </w:r>
    </w:p>
    <w:p>
      <w:pPr>
        <w:spacing w:after="0" w:line="239" w:lineRule="exact"/>
        <w:rPr>
          <w:sz w:val="20"/>
          <w:szCs w:val="20"/>
          <w:color w:val="auto"/>
        </w:rPr>
      </w:pPr>
    </w:p>
    <w:p>
      <w:pPr>
        <w:jc w:val="both"/>
        <w:ind w:left="1304" w:hanging="656"/>
        <w:spacing w:after="0" w:line="272"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Health Continuation Coverage Benefits: </w:t>
      </w:r>
      <w:r>
        <w:rPr>
          <w:rFonts w:ascii="Arial" w:cs="Arial" w:eastAsia="Arial" w:hAnsi="Arial"/>
          <w:sz w:val="18"/>
          <w:szCs w:val="18"/>
          <w:color w:val="auto"/>
        </w:rPr>
        <w:t>To the extent that Executive elects continued private health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following the Covered Termination at a level equivalent to the private health insurance coverage provided to Executive during his employment, the Employer shall pay the applicable premiums (inclusive of premiums for the Executive’s participating dependents, if any) for such plan coverage for a period of eighteen (18) months following the date of the Covered Termination (or such earlier date if the Executive dies, if Executive and/or his dependents are no longer eligible for coverage, or if Executive obtains new employment which includes eligibility for health plan coverage). The provision of these benefits is subject to commensurate health insurance coverage being</w:t>
      </w:r>
    </w:p>
    <w:p>
      <w:pPr>
        <w:spacing w:after="0" w:line="33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711" w:right="339" w:bottom="1440" w:gutter="0" w:footer="0" w:header="0"/>
        </w:sectPr>
      </w:pPr>
    </w:p>
    <w:bookmarkStart w:id="75" w:name="page76"/>
    <w:bookmarkEnd w:id="75"/>
    <w:p>
      <w:pPr>
        <w:jc w:val="both"/>
        <w:ind w:left="1304"/>
        <w:spacing w:after="0" w:line="268" w:lineRule="auto"/>
        <w:rPr>
          <w:sz w:val="20"/>
          <w:szCs w:val="20"/>
          <w:color w:val="auto"/>
        </w:rPr>
      </w:pPr>
      <w:r>
        <w:rPr>
          <w:rFonts w:ascii="Arial" w:cs="Arial" w:eastAsia="Arial" w:hAnsi="Arial"/>
          <w:sz w:val="18"/>
          <w:szCs w:val="18"/>
          <w:color w:val="auto"/>
        </w:rPr>
        <w:t>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his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105" w:lineRule="exact"/>
        <w:rPr>
          <w:sz w:val="20"/>
          <w:szCs w:val="20"/>
          <w:color w:val="auto"/>
        </w:rPr>
      </w:pPr>
    </w:p>
    <w:p>
      <w:pPr>
        <w:ind w:left="644" w:hanging="644"/>
        <w:spacing w:after="0"/>
        <w:tabs>
          <w:tab w:leader="none" w:pos="64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38" w:lineRule="exact"/>
        <w:rPr>
          <w:rFonts w:ascii="Arial" w:cs="Arial" w:eastAsia="Arial" w:hAnsi="Arial"/>
          <w:sz w:val="18"/>
          <w:szCs w:val="18"/>
          <w:b w:val="1"/>
          <w:bCs w:val="1"/>
          <w:color w:val="auto"/>
        </w:rPr>
      </w:pPr>
    </w:p>
    <w:p>
      <w:pPr>
        <w:ind w:left="1304" w:hanging="656"/>
        <w:spacing w:after="0" w:line="303" w:lineRule="auto"/>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“parent” or “subsidiary” of Employer as such terms are defined in Rule 405 of the United States Securities Act of 1933, as amended.</w:t>
      </w:r>
    </w:p>
    <w:p>
      <w:pPr>
        <w:spacing w:after="0" w:line="71" w:lineRule="exact"/>
        <w:rPr>
          <w:rFonts w:ascii="Arial" w:cs="Arial" w:eastAsia="Arial" w:hAnsi="Arial"/>
          <w:sz w:val="18"/>
          <w:szCs w:val="18"/>
          <w:color w:val="auto"/>
        </w:rPr>
      </w:pPr>
    </w:p>
    <w:p>
      <w:pPr>
        <w:jc w:val="both"/>
        <w:ind w:left="1304" w:hanging="656"/>
        <w:spacing w:after="0" w:line="278" w:lineRule="auto"/>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Percentage</w:t>
      </w:r>
      <w:r>
        <w:rPr>
          <w:rFonts w:ascii="Arial" w:cs="Arial" w:eastAsia="Arial" w:hAnsi="Arial"/>
          <w:sz w:val="18"/>
          <w:szCs w:val="18"/>
          <w:color w:val="auto"/>
        </w:rPr>
        <w:t>” means the greater of (i) any annual bonus, expressed as a percentage of annual base salary paid in the year of determination, paid to the Executive by the Company or an Affiliate in respect of either of the last two calendar years prior to the date of a Covered Termination or (ii) the Executive’s target bonus, expressed as a percentage of annual base salary, for the calendar year in which the Covered Termination occurs.</w:t>
      </w:r>
    </w:p>
    <w:p>
      <w:pPr>
        <w:spacing w:after="0" w:line="93"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Multiplier</w:t>
      </w:r>
      <w:r>
        <w:rPr>
          <w:rFonts w:ascii="Arial" w:cs="Arial" w:eastAsia="Arial" w:hAnsi="Arial"/>
          <w:sz w:val="18"/>
          <w:szCs w:val="18"/>
          <w:color w:val="auto"/>
        </w:rPr>
        <w:t>” means the quotient obtained by dividing the number of full months that the Executive is employed by the Company or an Affiliate in the calendar year of a Covered Termination by twelve (12).</w:t>
      </w:r>
    </w:p>
    <w:p>
      <w:pPr>
        <w:spacing w:after="0" w:line="71"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“Change in Control” as defined in the Jazz Pharmaceuticals plc Amended and Restated Executive Change in Control and Severance Benefit Plan.</w:t>
      </w:r>
    </w:p>
    <w:p>
      <w:pPr>
        <w:spacing w:after="0" w:line="71" w:lineRule="exact"/>
        <w:rPr>
          <w:rFonts w:ascii="Arial" w:cs="Arial" w:eastAsia="Arial" w:hAnsi="Arial"/>
          <w:sz w:val="18"/>
          <w:szCs w:val="18"/>
          <w:color w:val="auto"/>
        </w:rPr>
      </w:pPr>
    </w:p>
    <w:p>
      <w:pPr>
        <w:ind w:left="1304" w:hanging="656"/>
        <w:spacing w:after="0"/>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any one or more of the following:</w:t>
      </w:r>
    </w:p>
    <w:p>
      <w:pPr>
        <w:spacing w:after="0" w:line="179" w:lineRule="exact"/>
        <w:rPr>
          <w:rFonts w:ascii="Arial" w:cs="Arial" w:eastAsia="Arial" w:hAnsi="Arial"/>
          <w:sz w:val="18"/>
          <w:szCs w:val="18"/>
          <w:color w:val="auto"/>
        </w:rPr>
      </w:pPr>
    </w:p>
    <w:p>
      <w:pPr>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unauthorised use or disclosure of the confidential information or trade secrets of the Employer or its Affiliates which use or disclosure causes material harm to the Employer or an Affiliate;</w:t>
      </w:r>
    </w:p>
    <w:p>
      <w:pPr>
        <w:jc w:val="both"/>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material breach of any agreement between the Executive and the Employer or an Affiliate which remains uncured for ten (10) business days after receiving written notification of the breach from the Employer;</w:t>
      </w:r>
    </w:p>
    <w:p>
      <w:pPr>
        <w:jc w:val="both"/>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material failure to comply with the written policies or rules of the Employer or an Affiliate which remains uncured for ten (10) business days after receiving written notification of the breach from the Employer;</w:t>
      </w:r>
    </w:p>
    <w:p>
      <w:pPr>
        <w:jc w:val="both"/>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 contest to, any crime involving fraud, dishonesty, or moral turpitude under the laws of any United States or Irish Federal, state, local, or foreign governmental authority;</w:t>
      </w:r>
    </w:p>
    <w:p>
      <w:pPr>
        <w:ind w:left="1944" w:hanging="648"/>
        <w:spacing w:after="0"/>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gross misconduct;</w:t>
      </w:r>
    </w:p>
    <w:p>
      <w:pPr>
        <w:spacing w:after="0" w:line="22" w:lineRule="exact"/>
        <w:rPr>
          <w:rFonts w:ascii="Arial" w:cs="Arial" w:eastAsia="Arial" w:hAnsi="Arial"/>
          <w:sz w:val="18"/>
          <w:szCs w:val="18"/>
          <w:color w:val="auto"/>
        </w:rPr>
      </w:pPr>
    </w:p>
    <w:p>
      <w:pPr>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continuing failure to perform assigned duties after receiving written notification of the failure from the Employer;</w:t>
      </w:r>
    </w:p>
    <w:p>
      <w:pPr>
        <w:jc w:val="both"/>
        <w:ind w:left="1944" w:hanging="648"/>
        <w:spacing w:after="0" w:line="266"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failure to cooperate in good faith with a governmental or internal investigation of the Employer, its Affiliates, directors, officers, or employees, if the Employer has requested the Executive’s cooperation; or</w:t>
      </w:r>
    </w:p>
    <w:p>
      <w:pPr>
        <w:jc w:val="both"/>
        <w:ind w:left="1944" w:hanging="648"/>
        <w:spacing w:after="0" w:line="269"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action of Executive warranting summary dismissal or termination without prior notice under Executive’s Terms and Conditions of Employment dated 22 February 2013, as amended, or such other employment agreement with the Employer as in effect on the Covered Termination (as applicable,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or under applicable employment laws.</w:t>
      </w:r>
    </w:p>
    <w:p>
      <w:pPr>
        <w:spacing w:after="0" w:line="34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733" w:right="339" w:bottom="1440" w:gutter="0" w:footer="0" w:header="0"/>
        </w:sectPr>
      </w:pPr>
    </w:p>
    <w:bookmarkStart w:id="76" w:name="page77"/>
    <w:bookmarkEnd w:id="76"/>
    <w:p>
      <w:pPr>
        <w:jc w:val="both"/>
        <w:ind w:left="1304" w:hanging="656"/>
        <w:spacing w:after="0" w:line="271" w:lineRule="auto"/>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Constructive Termination</w:t>
      </w:r>
      <w:r>
        <w:rPr>
          <w:rFonts w:ascii="Arial" w:cs="Arial" w:eastAsia="Arial" w:hAnsi="Arial"/>
          <w:sz w:val="18"/>
          <w:szCs w:val="18"/>
          <w:color w:val="auto"/>
        </w:rPr>
        <w:t>” means a resignation of employment by Executive after an action or event which constitutes Good Reason is undertaken by Employer or an Affiliate, or otherwise occurs, provided such action or event is not agreed to by Executive in writing; provided, however, that in order for Executive’s resignation to constitute a Constructive Termination, Executive must (i) provide written notice to Employer’s General Counsel within thirty (30) days after the first occurrence of the event giving rise to Good Reason setting forth the basis for such resignation, (ii) allow Employer at least thirty (30) days from receipt of such written notice to cure such event, and (iii) if such event is not reasonably cured within such period, resign from all positions Executive then holds with Employer and any Affiliate effective not later than ninety (90) days after the expiration of the cure period.</w:t>
      </w:r>
    </w:p>
    <w:p>
      <w:pPr>
        <w:spacing w:after="0" w:line="101" w:lineRule="exact"/>
        <w:rPr>
          <w:rFonts w:ascii="Arial" w:cs="Arial" w:eastAsia="Arial" w:hAnsi="Arial"/>
          <w:sz w:val="18"/>
          <w:szCs w:val="18"/>
          <w:color w:val="auto"/>
        </w:rPr>
      </w:pPr>
    </w:p>
    <w:p>
      <w:pPr>
        <w:jc w:val="both"/>
        <w:ind w:left="1304" w:hanging="656"/>
        <w:spacing w:after="0" w:line="278" w:lineRule="auto"/>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Termination</w:t>
      </w:r>
      <w:r>
        <w:rPr>
          <w:rFonts w:ascii="Arial" w:cs="Arial" w:eastAsia="Arial" w:hAnsi="Arial"/>
          <w:sz w:val="18"/>
          <w:szCs w:val="18"/>
          <w:color w:val="auto"/>
        </w:rPr>
        <w:t>” means either (i) an Involuntary Termination Without Cause, or (ii) a Constructive Termination. Termination of employment of Executive due to death or disability shall not constitute a Covered Termination unless a resignation of employment by Executive immediately prior to Executive’s death or disability would have qualified as a Constructive Termination.</w:t>
      </w:r>
    </w:p>
    <w:p>
      <w:pPr>
        <w:spacing w:after="0" w:line="93"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means the corporate entity which employed Executive as of the effective date of the Covered Termination (including any predecessor or successor entity).</w:t>
      </w:r>
    </w:p>
    <w:p>
      <w:pPr>
        <w:spacing w:after="0" w:line="71" w:lineRule="exact"/>
        <w:rPr>
          <w:rFonts w:ascii="Arial" w:cs="Arial" w:eastAsia="Arial" w:hAnsi="Arial"/>
          <w:sz w:val="18"/>
          <w:szCs w:val="18"/>
          <w:color w:val="auto"/>
        </w:rPr>
      </w:pPr>
    </w:p>
    <w:p>
      <w:pPr>
        <w:ind w:left="1304" w:hanging="656"/>
        <w:spacing w:after="0"/>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means Finbar Larkin.</w:t>
      </w:r>
    </w:p>
    <w:p>
      <w:pPr>
        <w:spacing w:after="0" w:line="157"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one or more of the following actions or events without Executive’s written consent:</w:t>
      </w:r>
    </w:p>
    <w:p>
      <w:pPr>
        <w:spacing w:after="0" w:line="93" w:lineRule="exact"/>
        <w:rPr>
          <w:rFonts w:ascii="Arial" w:cs="Arial" w:eastAsia="Arial" w:hAnsi="Arial"/>
          <w:sz w:val="18"/>
          <w:szCs w:val="18"/>
          <w:color w:val="auto"/>
        </w:rPr>
      </w:pPr>
    </w:p>
    <w:p>
      <w:pPr>
        <w:jc w:val="both"/>
        <w:ind w:left="1944" w:hanging="648"/>
        <w:spacing w:after="0" w:line="266"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reduction in Executive’s base salary by more than ten percent (10%) (other than a reduction in conjunction with (x) a Company-wide salary reduction, or (y) a salary reduction involving senior management of Employer which results in salary reductions for employees similarly-situated to Executive);</w:t>
      </w:r>
    </w:p>
    <w:p>
      <w:pPr>
        <w:ind w:left="1944" w:hanging="648"/>
        <w:spacing w:after="0" w:line="266"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relocation of Executive’s place of employment that increases Executive’s one-way commute by more than thirty-five (35) miles;</w:t>
      </w:r>
    </w:p>
    <w:p>
      <w:pPr>
        <w:jc w:val="both"/>
        <w:ind w:left="1944" w:hanging="648"/>
        <w:spacing w:after="0" w:line="266"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substantial reduction in Executive’s duties or responsibilities (and not simply a change in reporting relationships) in effect immediately prior to the effective date of the Change in Control; provided, however, that it shall not constitute “Good Reason” if, following the effective date of the Change in Control, either (x) Employer is retained as a separate legal entity or business unit and Executive holds the same position in such legal entity or business unit as Executive held before such effective date, (y) Executive holds a position with duties and responsibilities comparable (although not necessarily identical, in view of the relative sizes of Employer and the entity involved in the Change in Control) to the duties and responsibilities of Executive prior to the effective date of the Change in Control; or</w:t>
      </w:r>
    </w:p>
    <w:p>
      <w:pPr>
        <w:ind w:left="1944" w:hanging="648"/>
        <w:spacing w:after="0"/>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reduction in the Executive’s title.</w:t>
      </w:r>
    </w:p>
    <w:p>
      <w:pPr>
        <w:spacing w:after="0" w:line="135" w:lineRule="exact"/>
        <w:rPr>
          <w:rFonts w:ascii="Arial" w:cs="Arial" w:eastAsia="Arial" w:hAnsi="Arial"/>
          <w:sz w:val="18"/>
          <w:szCs w:val="18"/>
          <w:color w:val="auto"/>
        </w:rPr>
      </w:pPr>
    </w:p>
    <w:p>
      <w:pPr>
        <w:jc w:val="both"/>
        <w:ind w:left="1304" w:hanging="656"/>
        <w:spacing w:after="0" w:line="284" w:lineRule="auto"/>
        <w:tabs>
          <w:tab w:leader="none" w:pos="13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Termination Without Cause</w:t>
      </w:r>
      <w:r>
        <w:rPr>
          <w:rFonts w:ascii="Arial" w:cs="Arial" w:eastAsia="Arial" w:hAnsi="Arial"/>
          <w:sz w:val="18"/>
          <w:szCs w:val="18"/>
          <w:color w:val="auto"/>
        </w:rPr>
        <w:t>” means a termination by the Employer of the Executive’s employment relationship with the Employer or an Affiliate for any reason other than for Cause and other than as a result of death or disability.</w:t>
      </w:r>
    </w:p>
    <w:p>
      <w:pPr>
        <w:spacing w:after="0" w:line="88" w:lineRule="exact"/>
        <w:rPr>
          <w:rFonts w:ascii="Arial" w:cs="Arial" w:eastAsia="Arial" w:hAnsi="Arial"/>
          <w:sz w:val="18"/>
          <w:szCs w:val="18"/>
          <w:color w:val="auto"/>
        </w:rPr>
      </w:pPr>
    </w:p>
    <w:p>
      <w:pPr>
        <w:ind w:left="644" w:hanging="644"/>
        <w:spacing w:after="0"/>
        <w:tabs>
          <w:tab w:leader="none" w:pos="64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Terms for Severance Benefits: </w:t>
      </w:r>
      <w:r>
        <w:rPr>
          <w:rFonts w:ascii="Arial" w:cs="Arial" w:eastAsia="Arial" w:hAnsi="Arial"/>
          <w:sz w:val="18"/>
          <w:szCs w:val="18"/>
          <w:color w:val="auto"/>
        </w:rPr>
        <w:t>The following additional terms shall apply:</w:t>
      </w:r>
    </w:p>
    <w:p>
      <w:pPr>
        <w:spacing w:after="0" w:line="238" w:lineRule="exact"/>
        <w:rPr>
          <w:rFonts w:ascii="Arial" w:cs="Arial" w:eastAsia="Arial" w:hAnsi="Arial"/>
          <w:sz w:val="18"/>
          <w:szCs w:val="18"/>
          <w:b w:val="1"/>
          <w:bCs w:val="1"/>
          <w:color w:val="auto"/>
        </w:rPr>
      </w:pPr>
    </w:p>
    <w:p>
      <w:pPr>
        <w:jc w:val="both"/>
        <w:ind w:left="1304" w:hanging="656"/>
        <w:spacing w:after="0" w:line="278" w:lineRule="auto"/>
        <w:tabs>
          <w:tab w:leader="none" w:pos="1304"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In order to be eligible to receive, and prior to receipt of, any of the Severance Benefits, the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 general waiver and release and return such release to Employer within the time period specified therein, but in no event more than forty-five (45) days following the date of the Covered Termination, and such release must become effective in accordance with its terms but in all cases</w:t>
      </w:r>
    </w:p>
    <w:p>
      <w:pPr>
        <w:spacing w:after="0" w:line="33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711" w:right="339" w:bottom="1440" w:gutter="0" w:footer="0" w:header="0"/>
        </w:sectPr>
      </w:pPr>
    </w:p>
    <w:bookmarkStart w:id="77" w:name="page78"/>
    <w:bookmarkEnd w:id="77"/>
    <w:p>
      <w:pPr>
        <w:jc w:val="both"/>
        <w:ind w:left="840"/>
        <w:spacing w:after="0" w:line="269" w:lineRule="auto"/>
        <w:rPr>
          <w:sz w:val="20"/>
          <w:szCs w:val="20"/>
          <w:color w:val="auto"/>
        </w:rPr>
      </w:pPr>
      <w:r>
        <w:rPr>
          <w:rFonts w:ascii="Arial" w:cs="Arial" w:eastAsia="Arial" w:hAnsi="Arial"/>
          <w:sz w:val="18"/>
          <w:szCs w:val="18"/>
          <w:color w:val="auto"/>
        </w:rPr>
        <w:t>not later than the sixtieth (60th) day following the Covered Termination. No release shall require the Executive to forego any unpaid salary, any accrued but unpaid vacation pay, or any vested or earned benefits payable pursuant to the Executive’s Employment Agreement or by law. The Employer, in its sole discretion, may modify the form of the required release to comply with applicable law and shall determine the form of the required release.</w:t>
      </w:r>
    </w:p>
    <w:p>
      <w:pPr>
        <w:spacing w:after="0" w:line="103" w:lineRule="exact"/>
        <w:rPr>
          <w:sz w:val="20"/>
          <w:szCs w:val="20"/>
          <w:color w:val="auto"/>
        </w:rPr>
      </w:pPr>
    </w:p>
    <w:p>
      <w:pPr>
        <w:jc w:val="both"/>
        <w:ind w:left="840" w:hanging="656"/>
        <w:spacing w:after="0" w:line="275"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Mitigation: </w:t>
      </w:r>
      <w:r>
        <w:rPr>
          <w:rFonts w:ascii="Arial" w:cs="Arial" w:eastAsia="Arial" w:hAnsi="Arial"/>
          <w:sz w:val="18"/>
          <w:szCs w:val="18"/>
          <w:color w:val="auto"/>
        </w:rPr>
        <w:t>The Executive shall not be required to mitigate damages as a condition of the Severance Benefits by</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other employment or otherwise. Similarly, no amount of the Severance Benefits shall be reduced by any compensation earned by the Executive as a result of employment by another employer or any retirement benefits received by such Executive after the date of the Executive’s termination of employment with the Employer, except for Severance Benefits relating to payments for health continuation coverage provided above.</w:t>
      </w:r>
    </w:p>
    <w:p>
      <w:pPr>
        <w:spacing w:after="0" w:line="96" w:lineRule="exact"/>
        <w:rPr>
          <w:rFonts w:ascii="Arial" w:cs="Arial" w:eastAsia="Arial" w:hAnsi="Arial"/>
          <w:sz w:val="18"/>
          <w:szCs w:val="18"/>
          <w:color w:val="auto"/>
        </w:rPr>
      </w:pPr>
    </w:p>
    <w:p>
      <w:pPr>
        <w:jc w:val="both"/>
        <w:ind w:left="840" w:hanging="656"/>
        <w:spacing w:after="0" w:line="278"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Contributions: </w:t>
      </w:r>
      <w:r>
        <w:rPr>
          <w:rFonts w:ascii="Arial" w:cs="Arial" w:eastAsia="Arial" w:hAnsi="Arial"/>
          <w:sz w:val="18"/>
          <w:szCs w:val="18"/>
          <w:color w:val="auto"/>
        </w:rPr>
        <w:t>All payments under this Schedule will be subject to all applicable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 of tax, PRSI, Universal Social Charge, and any other deductions which are required pursuant to the terms of the Executive’s employment or by law, or which are provided for in the Executive’s Employment Agreement and/or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73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10.3</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March 30,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 on file]</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Amendment to Transition and Termination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Mike,</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As discussed, this letter amends the Transition and Termination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between you and Jazz Pharmaceuticals, Inc. (the “</w:t>
      </w:r>
      <w:r>
        <w:rPr>
          <w:rFonts w:ascii="Arial" w:cs="Arial" w:eastAsia="Arial" w:hAnsi="Arial"/>
          <w:sz w:val="22"/>
          <w:szCs w:val="22"/>
          <w:b w:val="1"/>
          <w:bCs w:val="1"/>
          <w:color w:val="auto"/>
        </w:rPr>
        <w:t>Company</w:t>
      </w:r>
      <w:r>
        <w:rPr>
          <w:rFonts w:ascii="Arial" w:cs="Arial" w:eastAsia="Arial" w:hAnsi="Arial"/>
          <w:sz w:val="22"/>
          <w:szCs w:val="22"/>
          <w:color w:val="auto"/>
        </w:rPr>
        <w:t>”) dated October 31, 2019, as set forth below:</w:t>
      </w:r>
    </w:p>
    <w:p>
      <w:pPr>
        <w:spacing w:after="0" w:line="316" w:lineRule="exact"/>
        <w:rPr>
          <w:sz w:val="20"/>
          <w:szCs w:val="20"/>
          <w:color w:val="auto"/>
        </w:rPr>
      </w:pPr>
    </w:p>
    <w:p>
      <w:pPr>
        <w:jc w:val="both"/>
        <w:ind w:left="1380" w:right="40" w:hanging="762"/>
        <w:spacing w:after="0" w:line="274" w:lineRule="auto"/>
        <w:tabs>
          <w:tab w:leader="none" w:pos="13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time period that you will remain in your current position of Executive Vice President, U.S. Commercial is extended through May 31, 2020, or such later date if deemed appropriate by Bruce Cozadd and Dan Swisher. Thereafter, you will move into the project-based role of EVP, Special Projects and you will cease to be a Section 16 officer or a member of the Company’s Executive Committee. You will remain in the EVP, Special Projects role for a period of three (3) months, and then your employment will end (this date is referred to as the “Termination Date” in the Agreement). During your period of continued employment (both in your current role, and once you move into the role of EVP, Special Projects), you will continue to be paid your current full-time base salary, you will receive regular employee benefits coverage (subject to the terms and conditions of the benefit plans), and your equity awards will continue to vest on their regular vesting schedules.</w:t>
      </w:r>
    </w:p>
    <w:p>
      <w:pPr>
        <w:spacing w:after="0" w:line="212" w:lineRule="exact"/>
        <w:rPr>
          <w:rFonts w:ascii="Arial" w:cs="Arial" w:eastAsia="Arial" w:hAnsi="Arial"/>
          <w:sz w:val="19"/>
          <w:szCs w:val="19"/>
          <w:color w:val="auto"/>
        </w:rPr>
      </w:pPr>
    </w:p>
    <w:p>
      <w:pPr>
        <w:jc w:val="both"/>
        <w:ind w:left="1380" w:right="40" w:hanging="762"/>
        <w:spacing w:after="0" w:line="236" w:lineRule="auto"/>
        <w:tabs>
          <w:tab w:leader="none" w:pos="13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As already provided under Section 3(c) of the Agreement, the 2020 prorated bonus that you will be eligible to receive will be calculated based on the period of time that you remain in your current role of Executive Vice President, U.S. Commercial. Thus, if you move out of that role effective May 31, 2020, the 2020 prorated bonus will be calculated as 5/12th of the applicable “at target” amount as set forth in the Cash Bonus Plan (which is a total of $100,312.50).</w:t>
      </w:r>
    </w:p>
    <w:p>
      <w:pPr>
        <w:spacing w:after="0" w:line="200" w:lineRule="exact"/>
        <w:rPr>
          <w:sz w:val="20"/>
          <w:szCs w:val="20"/>
          <w:color w:val="auto"/>
        </w:rPr>
      </w:pPr>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other terms of the Agreement are not affected by this Amendment and will continue in effect, including but not limited to the terms relating to the Final Payment and Company-paid COBRA as set forth in Section 3. Any further modification or amendment of the Agreement must be contained in a writing signed by both you and a duly authorized officer of the Company.</w:t>
      </w:r>
    </w:p>
    <w:p>
      <w:pPr>
        <w:sectPr>
          <w:pgSz w:w="11900" w:h="16838" w:orient="portrait"/>
          <w:cols w:equalWidth="0" w:num="1">
            <w:col w:w="11240"/>
          </w:cols>
          <w:pgMar w:left="320" w:top="598"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March 30,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color w:val="auto"/>
        </w:rPr>
        <w:t>We appreciate your continued leadership and support for our patients during this unprecedented period.</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Sincerely,</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JAZZ PHARMACEUTICALS,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Heidi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3531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Heidi Manna</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REVIEWED, UNDERSTOOD, AND AGREED:</w:t>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Mike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977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Michael P. Miller</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color w:val="auto"/>
        </w:rPr>
        <w:t>31-Mar-2020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977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139"/>
          </w:cols>
          <w:pgMar w:left="320" w:top="60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Samantha Pearce’s Employment Contract</w:t>
      </w:r>
    </w:p>
    <w:p>
      <w:pPr>
        <w:spacing w:after="0" w:line="239" w:lineRule="exact"/>
        <w:rPr>
          <w:sz w:val="20"/>
          <w:szCs w:val="20"/>
          <w:color w:val="auto"/>
        </w:rPr>
      </w:pPr>
    </w:p>
    <w:p>
      <w:pPr>
        <w:jc w:val="both"/>
        <w:ind w:right="300" w:firstLine="648"/>
        <w:spacing w:after="0" w:line="284"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b w:val="1"/>
          <w:bCs w:val="1"/>
          <w:color w:val="auto"/>
        </w:rPr>
        <w:t>Amendment</w:t>
      </w:r>
      <w:r>
        <w:rPr>
          <w:rFonts w:ascii="Arial" w:cs="Arial" w:eastAsia="Arial" w:hAnsi="Arial"/>
          <w:sz w:val="18"/>
          <w:szCs w:val="18"/>
          <w:color w:val="auto"/>
        </w:rPr>
        <w:t>”) applies to the Employment Contract between Samantha Pearce (the “</w:t>
      </w:r>
      <w:r>
        <w:rPr>
          <w:rFonts w:ascii="Arial" w:cs="Arial" w:eastAsia="Arial" w:hAnsi="Arial"/>
          <w:sz w:val="18"/>
          <w:szCs w:val="18"/>
          <w:b w:val="1"/>
          <w:bCs w:val="1"/>
          <w:color w:val="auto"/>
        </w:rPr>
        <w:t>Executive</w:t>
      </w:r>
      <w:r>
        <w:rPr>
          <w:rFonts w:ascii="Arial" w:cs="Arial" w:eastAsia="Arial" w:hAnsi="Arial"/>
          <w:sz w:val="18"/>
          <w:szCs w:val="18"/>
          <w:color w:val="auto"/>
        </w:rPr>
        <w:t>”) and Jazz Pharmaceuticals UK Limited dated 13 December 2019 (the “</w:t>
      </w:r>
      <w:r>
        <w:rPr>
          <w:rFonts w:ascii="Arial" w:cs="Arial" w:eastAsia="Arial" w:hAnsi="Arial"/>
          <w:sz w:val="18"/>
          <w:szCs w:val="18"/>
          <w:b w:val="1"/>
          <w:bCs w:val="1"/>
          <w:color w:val="auto"/>
        </w:rPr>
        <w:t>Employment Contract</w:t>
      </w:r>
      <w:r>
        <w:rPr>
          <w:rFonts w:ascii="Arial" w:cs="Arial" w:eastAsia="Arial" w:hAnsi="Arial"/>
          <w:sz w:val="18"/>
          <w:szCs w:val="18"/>
          <w:color w:val="auto"/>
        </w:rPr>
        <w:t>”). The Employment Contract is amended as set forth herein.</w:t>
      </w:r>
    </w:p>
    <w:p>
      <w:pPr>
        <w:spacing w:after="0" w:line="170" w:lineRule="exact"/>
        <w:rPr>
          <w:sz w:val="20"/>
          <w:szCs w:val="20"/>
          <w:color w:val="auto"/>
        </w:rPr>
      </w:pPr>
    </w:p>
    <w:p>
      <w:pPr>
        <w:ind w:left="720" w:right="520" w:hanging="334"/>
        <w:spacing w:after="0" w:line="303"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Severance Benefits. </w:t>
      </w:r>
      <w:r>
        <w:rPr>
          <w:rFonts w:ascii="Arial" w:cs="Arial" w:eastAsia="Arial" w:hAnsi="Arial"/>
          <w:sz w:val="18"/>
          <w:szCs w:val="18"/>
          <w:color w:val="auto"/>
        </w:rPr>
        <w:t>The attached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effective as of 11 February 2020, contains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Executive’s eligibility for certain change in control severance benefits.</w:t>
      </w:r>
    </w:p>
    <w:p>
      <w:pPr>
        <w:spacing w:after="0" w:line="152" w:lineRule="exact"/>
        <w:rPr>
          <w:rFonts w:ascii="Arial" w:cs="Arial" w:eastAsia="Arial" w:hAnsi="Arial"/>
          <w:sz w:val="18"/>
          <w:szCs w:val="18"/>
          <w:b w:val="1"/>
          <w:bCs w:val="1"/>
          <w:color w:val="auto"/>
        </w:rPr>
      </w:pPr>
    </w:p>
    <w:p>
      <w:pPr>
        <w:jc w:val="both"/>
        <w:ind w:left="720" w:right="420" w:hanging="334"/>
        <w:spacing w:after="0" w:line="284"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This Amendment,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sets forth all modifications to the Employment Contract,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Contract remain in full force and effect. This Amendment can only be modified in a written agreement signed by both parties.</w:t>
      </w:r>
    </w:p>
    <w:p>
      <w:pPr>
        <w:spacing w:after="0" w:line="16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Signed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700" w:type="dxa"/>
        <w:tblCellMar>
          <w:top w:w="0" w:type="dxa"/>
          <w:left w:w="0" w:type="dxa"/>
          <w:bottom w:w="0" w:type="dxa"/>
          <w:right w:w="0" w:type="dxa"/>
        </w:tblCellMar>
      </w:tblPr>
      <w:tr>
        <w:trPr>
          <w:trHeight w:val="235"/>
        </w:trPr>
        <w:tc>
          <w:tcPr>
            <w:tcW w:w="4180" w:type="dxa"/>
            <w:vAlign w:val="bottom"/>
            <w:gridSpan w:val="2"/>
          </w:tcPr>
          <w:p>
            <w:pPr>
              <w:ind w:left="40"/>
              <w:spacing w:after="0"/>
              <w:rPr>
                <w:sz w:val="20"/>
                <w:szCs w:val="20"/>
                <w:color w:val="auto"/>
              </w:rPr>
            </w:pPr>
            <w:r>
              <w:rPr>
                <w:rFonts w:ascii="Arial" w:cs="Arial" w:eastAsia="Arial" w:hAnsi="Arial"/>
                <w:sz w:val="18"/>
                <w:szCs w:val="18"/>
                <w:i w:val="1"/>
                <w:iCs w:val="1"/>
                <w:color w:val="auto"/>
              </w:rPr>
              <w:t>/s/ Heidi Manna</w:t>
            </w:r>
          </w:p>
        </w:tc>
        <w:tc>
          <w:tcPr>
            <w:tcW w:w="60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i w:val="1"/>
                <w:iCs w:val="1"/>
                <w:color w:val="auto"/>
              </w:rPr>
              <w:t>/s/ Samantha Pearce</w:t>
            </w:r>
          </w:p>
        </w:tc>
      </w:tr>
      <w:tr>
        <w:trPr>
          <w:trHeight w:val="27"/>
        </w:trPr>
        <w:tc>
          <w:tcPr>
            <w:tcW w:w="4180" w:type="dxa"/>
            <w:vAlign w:val="bottom"/>
            <w:tcBorders>
              <w:bottom w:val="single" w:sz="8" w:color="auto"/>
            </w:tcBorders>
            <w:gridSpan w:val="2"/>
          </w:tcPr>
          <w:p>
            <w:pPr>
              <w:spacing w:after="0"/>
              <w:rPr>
                <w:sz w:val="2"/>
                <w:szCs w:val="2"/>
                <w:color w:val="auto"/>
              </w:rPr>
            </w:pPr>
          </w:p>
        </w:tc>
        <w:tc>
          <w:tcPr>
            <w:tcW w:w="600" w:type="dxa"/>
            <w:vAlign w:val="bottom"/>
          </w:tcPr>
          <w:p>
            <w:pPr>
              <w:spacing w:after="0"/>
              <w:rPr>
                <w:sz w:val="2"/>
                <w:szCs w:val="2"/>
                <w:color w:val="auto"/>
              </w:rPr>
            </w:pPr>
          </w:p>
        </w:tc>
        <w:tc>
          <w:tcPr>
            <w:tcW w:w="3860" w:type="dxa"/>
            <w:vAlign w:val="bottom"/>
            <w:tcBorders>
              <w:bottom w:val="single" w:sz="8" w:color="auto"/>
            </w:tcBorders>
            <w:gridSpan w:val="2"/>
          </w:tcPr>
          <w:p>
            <w:pPr>
              <w:spacing w:after="0"/>
              <w:rPr>
                <w:sz w:val="2"/>
                <w:szCs w:val="2"/>
                <w:color w:val="auto"/>
              </w:rPr>
            </w:pPr>
          </w:p>
        </w:tc>
      </w:tr>
      <w:tr>
        <w:trPr>
          <w:trHeight w:val="200"/>
        </w:trPr>
        <w:tc>
          <w:tcPr>
            <w:tcW w:w="418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Heidi Manna</w:t>
            </w:r>
          </w:p>
        </w:tc>
        <w:tc>
          <w:tcPr>
            <w:tcW w:w="600" w:type="dxa"/>
            <w:vAlign w:val="bottom"/>
          </w:tcPr>
          <w:p>
            <w:pPr>
              <w:spacing w:after="0"/>
              <w:rPr>
                <w:sz w:val="17"/>
                <w:szCs w:val="17"/>
                <w:color w:val="auto"/>
              </w:rPr>
            </w:pPr>
          </w:p>
        </w:tc>
        <w:tc>
          <w:tcPr>
            <w:tcW w:w="386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Samantha Pearce</w:t>
            </w:r>
          </w:p>
        </w:tc>
      </w:tr>
      <w:tr>
        <w:trPr>
          <w:trHeight w:val="202"/>
        </w:trPr>
        <w:tc>
          <w:tcPr>
            <w:tcW w:w="41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Chief Human Resources Officer</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39"/>
        </w:trPr>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Jazz Pharmaceuticals</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53"/>
        </w:trPr>
        <w:tc>
          <w:tcPr>
            <w:tcW w:w="880" w:type="dxa"/>
            <w:vAlign w:val="bottom"/>
          </w:tcPr>
          <w:p>
            <w:pPr>
              <w:ind w:left="40"/>
              <w:spacing w:after="0"/>
              <w:rPr>
                <w:sz w:val="20"/>
                <w:szCs w:val="20"/>
                <w:color w:val="auto"/>
              </w:rPr>
            </w:pPr>
            <w:r>
              <w:rPr>
                <w:rFonts w:ascii="Arial" w:cs="Arial" w:eastAsia="Arial" w:hAnsi="Arial"/>
                <w:sz w:val="18"/>
                <w:szCs w:val="18"/>
                <w:color w:val="auto"/>
              </w:rPr>
              <w:t>Date:</w:t>
            </w:r>
          </w:p>
        </w:tc>
        <w:tc>
          <w:tcPr>
            <w:tcW w:w="3300" w:type="dxa"/>
            <w:vAlign w:val="bottom"/>
          </w:tcPr>
          <w:p>
            <w:pPr>
              <w:ind w:left="40"/>
              <w:spacing w:after="0"/>
              <w:rPr>
                <w:sz w:val="20"/>
                <w:szCs w:val="20"/>
                <w:color w:val="auto"/>
              </w:rPr>
            </w:pPr>
            <w:r>
              <w:rPr>
                <w:rFonts w:ascii="Arial" w:cs="Arial" w:eastAsia="Arial" w:hAnsi="Arial"/>
                <w:sz w:val="18"/>
                <w:szCs w:val="18"/>
                <w:color w:val="auto"/>
              </w:rPr>
              <w:t>21-Apr-2020</w:t>
            </w:r>
          </w:p>
        </w:tc>
        <w:tc>
          <w:tcPr>
            <w:tcW w:w="6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3100" w:type="dxa"/>
            <w:vAlign w:val="bottom"/>
          </w:tcPr>
          <w:p>
            <w:pPr>
              <w:ind w:left="40"/>
              <w:spacing w:after="0"/>
              <w:rPr>
                <w:sz w:val="20"/>
                <w:szCs w:val="20"/>
                <w:color w:val="auto"/>
              </w:rPr>
            </w:pPr>
            <w:r>
              <w:rPr>
                <w:rFonts w:ascii="Arial" w:cs="Arial" w:eastAsia="Arial" w:hAnsi="Arial"/>
                <w:sz w:val="18"/>
                <w:szCs w:val="18"/>
                <w:color w:val="auto"/>
              </w:rPr>
              <w:t>18-Apr-2020</w:t>
            </w:r>
          </w:p>
        </w:tc>
      </w:tr>
      <w:tr>
        <w:trPr>
          <w:trHeight w:val="27"/>
        </w:trPr>
        <w:tc>
          <w:tcPr>
            <w:tcW w:w="88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11" w:right="339" w:bottom="1440" w:gutter="0" w:footer="0" w:header="0"/>
        </w:sectPr>
      </w:pPr>
    </w:p>
    <w:bookmarkStart w:id="81" w:name="page82"/>
    <w:bookmarkEnd w:id="81"/>
    <w:p>
      <w:pPr>
        <w:jc w:val="center"/>
        <w:ind w:right="636"/>
        <w:spacing w:after="0"/>
        <w:rPr>
          <w:sz w:val="20"/>
          <w:szCs w:val="20"/>
          <w:color w:val="auto"/>
        </w:rPr>
      </w:pPr>
      <w:r>
        <w:rPr>
          <w:rFonts w:ascii="Arial" w:cs="Arial" w:eastAsia="Arial" w:hAnsi="Arial"/>
          <w:sz w:val="18"/>
          <w:szCs w:val="18"/>
          <w:b w:val="1"/>
          <w:bCs w:val="1"/>
          <w:color w:val="auto"/>
        </w:rPr>
        <w:t>SCHEDULE 1</w:t>
      </w:r>
    </w:p>
    <w:p>
      <w:pPr>
        <w:spacing w:after="0" w:line="239" w:lineRule="exact"/>
        <w:rPr>
          <w:sz w:val="20"/>
          <w:szCs w:val="20"/>
          <w:color w:val="auto"/>
        </w:rPr>
      </w:pPr>
    </w:p>
    <w:p>
      <w:pPr>
        <w:ind w:left="2404"/>
        <w:spacing w:after="0"/>
        <w:rPr>
          <w:sz w:val="20"/>
          <w:szCs w:val="20"/>
          <w:color w:val="auto"/>
        </w:rPr>
      </w:pPr>
      <w:r>
        <w:rPr>
          <w:rFonts w:ascii="Arial" w:cs="Arial" w:eastAsia="Arial" w:hAnsi="Arial"/>
          <w:sz w:val="18"/>
          <w:szCs w:val="18"/>
          <w:b w:val="1"/>
          <w:bCs w:val="1"/>
          <w:color w:val="auto"/>
        </w:rPr>
        <w:t>Change in Control Severance Benefits for Samantha Pearce</w:t>
      </w:r>
    </w:p>
    <w:p>
      <w:pPr>
        <w:spacing w:after="0" w:line="239" w:lineRule="exact"/>
        <w:rPr>
          <w:sz w:val="20"/>
          <w:szCs w:val="20"/>
          <w:color w:val="auto"/>
        </w:rPr>
      </w:pPr>
    </w:p>
    <w:p>
      <w:pPr>
        <w:jc w:val="both"/>
        <w:ind w:left="644" w:hanging="644"/>
        <w:spacing w:after="0" w:line="284" w:lineRule="auto"/>
        <w:tabs>
          <w:tab w:leader="none" w:pos="64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Covered Termination</w:t>
      </w:r>
      <w:r>
        <w:rPr>
          <w:rFonts w:ascii="Arial" w:cs="Arial" w:eastAsia="Arial" w:hAnsi="Arial"/>
          <w:sz w:val="18"/>
          <w:szCs w:val="18"/>
          <w:color w:val="auto"/>
        </w:rPr>
        <w:t>: Samantha Pearce (the “</w:t>
      </w:r>
      <w:r>
        <w:rPr>
          <w:rFonts w:ascii="Arial" w:cs="Arial" w:eastAsia="Arial" w:hAnsi="Arial"/>
          <w:sz w:val="18"/>
          <w:szCs w:val="18"/>
          <w:b w:val="1"/>
          <w:bCs w:val="1"/>
          <w:color w:val="auto"/>
        </w:rPr>
        <w:t>Executive</w:t>
      </w:r>
      <w:r>
        <w:rPr>
          <w:rFonts w:ascii="Arial" w:cs="Arial" w:eastAsia="Arial" w:hAnsi="Arial"/>
          <w:sz w:val="18"/>
          <w:szCs w:val="18"/>
          <w:color w:val="auto"/>
        </w:rPr>
        <w:t>”) will be eligible for the severance benefits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 (the “</w:t>
      </w:r>
      <w:r>
        <w:rPr>
          <w:rFonts w:ascii="Arial" w:cs="Arial" w:eastAsia="Arial" w:hAnsi="Arial"/>
          <w:sz w:val="18"/>
          <w:szCs w:val="18"/>
          <w:b w:val="1"/>
          <w:bCs w:val="1"/>
          <w:color w:val="auto"/>
        </w:rPr>
        <w:t>Severance Benefits</w:t>
      </w:r>
      <w:r>
        <w:rPr>
          <w:rFonts w:ascii="Arial" w:cs="Arial" w:eastAsia="Arial" w:hAnsi="Arial"/>
          <w:sz w:val="18"/>
          <w:szCs w:val="18"/>
          <w:color w:val="auto"/>
        </w:rPr>
        <w:t>”) in the event of a Covered Termination which is effective on or within twelve (12) months following a Change in Control, subject to the requirements set forth in this Schedule 1.</w:t>
      </w:r>
    </w:p>
    <w:p>
      <w:pPr>
        <w:spacing w:after="0" w:line="169" w:lineRule="exact"/>
        <w:rPr>
          <w:rFonts w:ascii="Arial" w:cs="Arial" w:eastAsia="Arial" w:hAnsi="Arial"/>
          <w:sz w:val="18"/>
          <w:szCs w:val="18"/>
          <w:b w:val="1"/>
          <w:bCs w:val="1"/>
          <w:color w:val="auto"/>
        </w:rPr>
      </w:pPr>
    </w:p>
    <w:p>
      <w:pPr>
        <w:ind w:left="644" w:hanging="644"/>
        <w:spacing w:after="0" w:line="303" w:lineRule="auto"/>
        <w:tabs>
          <w:tab w:leader="none" w:pos="64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Severance Benefits will consist of cash severance payment and payments for continued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care insurance coverage, as follows:</w:t>
      </w:r>
    </w:p>
    <w:p>
      <w:pPr>
        <w:spacing w:after="0" w:line="152" w:lineRule="exact"/>
        <w:rPr>
          <w:rFonts w:ascii="Arial" w:cs="Arial" w:eastAsia="Arial" w:hAnsi="Arial"/>
          <w:sz w:val="18"/>
          <w:szCs w:val="18"/>
          <w:b w:val="1"/>
          <w:bCs w:val="1"/>
          <w:color w:val="auto"/>
        </w:rPr>
      </w:pPr>
    </w:p>
    <w:p>
      <w:pPr>
        <w:ind w:left="1304" w:hanging="656"/>
        <w:spacing w:after="0" w:line="303"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Cash Severance Benefits</w:t>
      </w:r>
      <w:r>
        <w:rPr>
          <w:rFonts w:ascii="Arial" w:cs="Arial" w:eastAsia="Arial" w:hAnsi="Arial"/>
          <w:sz w:val="18"/>
          <w:szCs w:val="18"/>
          <w:color w:val="auto"/>
        </w:rPr>
        <w:t>: A lump sum cash severance payment will be paid to the Executive in a gross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the following three components (the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1944"/>
        <w:spacing w:after="0" w:line="271" w:lineRule="auto"/>
        <w:tabs>
          <w:tab w:leader="none" w:pos="22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Executive’s annual basic salary in effect as of the effective date of the Executive’s Covered Termination (without giving effect to any reduction in base salary that would constitute grounds for Constructive Termination) (the “</w:t>
      </w:r>
      <w:r>
        <w:rPr>
          <w:rFonts w:ascii="Arial" w:cs="Arial" w:eastAsia="Arial" w:hAnsi="Arial"/>
          <w:sz w:val="18"/>
          <w:szCs w:val="18"/>
          <w:b w:val="1"/>
          <w:bCs w:val="1"/>
          <w:color w:val="auto"/>
        </w:rPr>
        <w:t>Severance Base</w:t>
      </w:r>
      <w:r>
        <w:rPr>
          <w:rFonts w:ascii="Arial" w:cs="Arial" w:eastAsia="Arial" w:hAnsi="Arial"/>
          <w:sz w:val="18"/>
          <w:szCs w:val="18"/>
          <w:color w:val="auto"/>
        </w:rPr>
        <w:t>”) multiplied by 150%;</w:t>
      </w:r>
    </w:p>
    <w:p>
      <w:pPr>
        <w:spacing w:after="0" w:line="122" w:lineRule="exact"/>
        <w:rPr>
          <w:rFonts w:ascii="Arial" w:cs="Arial" w:eastAsia="Arial" w:hAnsi="Arial"/>
          <w:sz w:val="18"/>
          <w:szCs w:val="18"/>
          <w:color w:val="auto"/>
        </w:rPr>
      </w:pPr>
    </w:p>
    <w:p>
      <w:pPr>
        <w:ind w:left="1944"/>
        <w:spacing w:after="0" w:line="277" w:lineRule="auto"/>
        <w:tabs>
          <w:tab w:leader="none" w:pos="223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product of the Severance Base multiplied by the Bonus Percentage (defined below) multiplied by 150%; and</w:t>
      </w:r>
    </w:p>
    <w:p>
      <w:pPr>
        <w:spacing w:after="0" w:line="116" w:lineRule="exact"/>
        <w:rPr>
          <w:rFonts w:ascii="Arial" w:cs="Arial" w:eastAsia="Arial" w:hAnsi="Arial"/>
          <w:sz w:val="18"/>
          <w:szCs w:val="18"/>
          <w:color w:val="auto"/>
        </w:rPr>
      </w:pPr>
    </w:p>
    <w:p>
      <w:pPr>
        <w:ind w:left="1944"/>
        <w:spacing w:after="0" w:line="277" w:lineRule="auto"/>
        <w:tabs>
          <w:tab w:leader="none" w:pos="2263"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product of the Severance Base multiplied by the Bonus Percentage multiplied by the Bonus Multiplier (defined below).</w:t>
      </w:r>
    </w:p>
    <w:p>
      <w:pPr>
        <w:spacing w:after="0" w:line="116" w:lineRule="exact"/>
        <w:rPr>
          <w:sz w:val="20"/>
          <w:szCs w:val="20"/>
          <w:color w:val="auto"/>
        </w:rPr>
      </w:pPr>
    </w:p>
    <w:p>
      <w:pPr>
        <w:jc w:val="both"/>
        <w:ind w:left="1304"/>
        <w:spacing w:after="0" w:line="268" w:lineRule="auto"/>
        <w:rPr>
          <w:sz w:val="20"/>
          <w:szCs w:val="20"/>
          <w:color w:val="auto"/>
        </w:rPr>
      </w:pPr>
      <w:r>
        <w:rPr>
          <w:rFonts w:ascii="Arial" w:cs="Arial" w:eastAsia="Arial" w:hAnsi="Arial"/>
          <w:sz w:val="18"/>
          <w:szCs w:val="18"/>
          <w:color w:val="auto"/>
        </w:rPr>
        <w:t>Notwithstanding the foregoing, to the extent applicable, the Severance Payment shall be reduced by any amounts paid to Executive: (1) during any period of garden leave immediately preceding the Covered Termination; (ii) qualifying as pay-in-lieu of notice; or (iii) any other severance benefits whether contractual or statutory (including but not limited to any statutory redundancy pay) or other similar benefits payable to the Executive in connection with the termination of Executive’s employment.</w:t>
      </w:r>
    </w:p>
    <w:p>
      <w:pPr>
        <w:spacing w:after="0" w:line="127" w:lineRule="exact"/>
        <w:rPr>
          <w:sz w:val="20"/>
          <w:szCs w:val="20"/>
          <w:color w:val="auto"/>
        </w:rPr>
      </w:pPr>
    </w:p>
    <w:p>
      <w:pPr>
        <w:jc w:val="both"/>
        <w:ind w:left="1304"/>
        <w:spacing w:after="0" w:line="269" w:lineRule="auto"/>
        <w:rPr>
          <w:sz w:val="20"/>
          <w:szCs w:val="20"/>
          <w:color w:val="auto"/>
        </w:rPr>
      </w:pPr>
      <w:r>
        <w:rPr>
          <w:rFonts w:ascii="Arial" w:cs="Arial" w:eastAsia="Arial" w:hAnsi="Arial"/>
          <w:sz w:val="18"/>
          <w:szCs w:val="18"/>
          <w:color w:val="auto"/>
        </w:rPr>
        <w:t>By way of example, if the effective date of the Covered Termination is 30 June, Executive’s annual basic salary in effect as of the Covered Termination is £300,000, and her target bonus is 45% of basic salary (and Executive has not received any higher annual bonus in either of the last two calendar years prior to the Covered Termination), the Severance Payment shall be calculated as follows:</w:t>
      </w:r>
    </w:p>
    <w:p>
      <w:pPr>
        <w:spacing w:after="0" w:line="206" w:lineRule="exact"/>
        <w:rPr>
          <w:sz w:val="20"/>
          <w:szCs w:val="20"/>
          <w:color w:val="auto"/>
        </w:rPr>
      </w:pPr>
    </w:p>
    <w:p>
      <w:pPr>
        <w:ind w:left="1944" w:hanging="648"/>
        <w:spacing w:after="0"/>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£300,000 x 150% (1.5) = £450,000</w:t>
      </w:r>
    </w:p>
    <w:p>
      <w:pPr>
        <w:spacing w:after="0" w:line="22" w:lineRule="exact"/>
        <w:rPr>
          <w:rFonts w:ascii="Arial" w:cs="Arial" w:eastAsia="Arial" w:hAnsi="Arial"/>
          <w:sz w:val="18"/>
          <w:szCs w:val="18"/>
          <w:color w:val="auto"/>
        </w:rPr>
      </w:pPr>
    </w:p>
    <w:p>
      <w:pPr>
        <w:ind w:left="1944" w:hanging="648"/>
        <w:spacing w:after="0"/>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£300.000 x bonus percentage (.45) x 150% (1.5) = £202,500</w:t>
      </w:r>
    </w:p>
    <w:p>
      <w:pPr>
        <w:spacing w:after="0" w:line="22" w:lineRule="exact"/>
        <w:rPr>
          <w:rFonts w:ascii="Arial" w:cs="Arial" w:eastAsia="Arial" w:hAnsi="Arial"/>
          <w:sz w:val="18"/>
          <w:szCs w:val="18"/>
          <w:color w:val="auto"/>
        </w:rPr>
      </w:pPr>
    </w:p>
    <w:p>
      <w:pPr>
        <w:ind w:left="1944" w:hanging="648"/>
        <w:spacing w:after="0"/>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£300,000 x bonus percentage (.45) x 6/12 = £67,500</w:t>
      </w:r>
    </w:p>
    <w:p>
      <w:pPr>
        <w:spacing w:after="0" w:line="136" w:lineRule="exact"/>
        <w:rPr>
          <w:sz w:val="20"/>
          <w:szCs w:val="20"/>
          <w:color w:val="auto"/>
        </w:rPr>
      </w:pPr>
    </w:p>
    <w:p>
      <w:pPr>
        <w:ind w:left="1304"/>
        <w:spacing w:after="0"/>
        <w:rPr>
          <w:sz w:val="20"/>
          <w:szCs w:val="20"/>
          <w:color w:val="auto"/>
        </w:rPr>
      </w:pPr>
      <w:r>
        <w:rPr>
          <w:rFonts w:ascii="Arial" w:cs="Arial" w:eastAsia="Arial" w:hAnsi="Arial"/>
          <w:sz w:val="18"/>
          <w:szCs w:val="18"/>
          <w:b w:val="1"/>
          <w:bCs w:val="1"/>
          <w:color w:val="auto"/>
        </w:rPr>
        <w:t>Total Gross Severance Payment: £450,000 + £202,500 + £67,500 = £720,000</w:t>
      </w:r>
    </w:p>
    <w:p>
      <w:pPr>
        <w:spacing w:after="0" w:line="239" w:lineRule="exact"/>
        <w:rPr>
          <w:sz w:val="20"/>
          <w:szCs w:val="20"/>
          <w:color w:val="auto"/>
        </w:rPr>
      </w:pPr>
    </w:p>
    <w:p>
      <w:pPr>
        <w:jc w:val="both"/>
        <w:ind w:left="1304" w:hanging="656"/>
        <w:spacing w:after="0" w:line="278"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Health Continuation Coverage Benefits</w:t>
      </w:r>
      <w:r>
        <w:rPr>
          <w:rFonts w:ascii="Arial" w:cs="Arial" w:eastAsia="Arial" w:hAnsi="Arial"/>
          <w:sz w:val="18"/>
          <w:szCs w:val="18"/>
          <w:color w:val="auto"/>
        </w:rPr>
        <w:t>: To the extent that Executive elects continued private health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following the Covered Termination at a level equivalent to the private health insurance coverage provided to Executive during her employment, the Employer shall pay the applicable premiums (inclusive of premiums for the Executive’s participating dependents, if any) for such plan</w:t>
      </w:r>
    </w:p>
    <w:p>
      <w:pPr>
        <w:spacing w:after="0" w:line="33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711" w:right="339" w:bottom="1440" w:gutter="0" w:footer="0" w:header="0"/>
        </w:sectPr>
      </w:pPr>
    </w:p>
    <w:bookmarkStart w:id="82" w:name="page83"/>
    <w:bookmarkEnd w:id="82"/>
    <w:p>
      <w:pPr>
        <w:jc w:val="both"/>
        <w:ind w:left="1304"/>
        <w:spacing w:after="0" w:line="267" w:lineRule="auto"/>
        <w:rPr>
          <w:sz w:val="20"/>
          <w:szCs w:val="20"/>
          <w:color w:val="auto"/>
        </w:rPr>
      </w:pPr>
      <w:r>
        <w:rPr>
          <w:rFonts w:ascii="Arial" w:cs="Arial" w:eastAsia="Arial" w:hAnsi="Arial"/>
          <w:sz w:val="18"/>
          <w:szCs w:val="18"/>
          <w:color w:val="auto"/>
        </w:rPr>
        <w:t>coverage for a period of eighteen (18) months following the date of the Covered Termination (or such earlier date if the Executive dies, if Executive and/or her dependents are no longer eligible for coverage, or if Executive obtains new employment which includes eligibility for health plan coverage). The provision of these benefits is subject to commensurate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her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106" w:lineRule="exact"/>
        <w:rPr>
          <w:sz w:val="20"/>
          <w:szCs w:val="20"/>
          <w:color w:val="auto"/>
        </w:rPr>
      </w:pPr>
    </w:p>
    <w:p>
      <w:pPr>
        <w:ind w:left="644" w:hanging="644"/>
        <w:spacing w:after="0"/>
        <w:tabs>
          <w:tab w:leader="none" w:pos="64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38" w:lineRule="exact"/>
        <w:rPr>
          <w:rFonts w:ascii="Arial" w:cs="Arial" w:eastAsia="Arial" w:hAnsi="Arial"/>
          <w:sz w:val="18"/>
          <w:szCs w:val="18"/>
          <w:b w:val="1"/>
          <w:bCs w:val="1"/>
          <w:color w:val="auto"/>
        </w:rPr>
      </w:pPr>
    </w:p>
    <w:p>
      <w:pPr>
        <w:ind w:left="1304" w:hanging="656"/>
        <w:spacing w:after="0" w:line="303"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“parent” or “subsidiary” of the Employer as such terms are defined in Rule 405 of the United States Securities Act of 1933, as amended.</w:t>
      </w:r>
    </w:p>
    <w:p>
      <w:pPr>
        <w:spacing w:after="0" w:line="71" w:lineRule="exact"/>
        <w:rPr>
          <w:rFonts w:ascii="Arial" w:cs="Arial" w:eastAsia="Arial" w:hAnsi="Arial"/>
          <w:sz w:val="18"/>
          <w:szCs w:val="18"/>
          <w:color w:val="auto"/>
        </w:rPr>
      </w:pPr>
    </w:p>
    <w:p>
      <w:pPr>
        <w:jc w:val="both"/>
        <w:ind w:left="1304" w:hanging="656"/>
        <w:spacing w:after="0" w:line="278"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Percentage</w:t>
      </w:r>
      <w:r>
        <w:rPr>
          <w:rFonts w:ascii="Arial" w:cs="Arial" w:eastAsia="Arial" w:hAnsi="Arial"/>
          <w:sz w:val="18"/>
          <w:szCs w:val="18"/>
          <w:color w:val="auto"/>
        </w:rPr>
        <w:t>” means the greater of (i) any annual bonus, expressed as a percentage of annual base salary paid in the year of determination, paid to the Executive by the Company or an Affiliate in respect of either of the last two calendar years prior to the date of a Covered Termination or (ii) the Executive’s target bonus, expressed as a percentage of annual base salary, for the calendar year in which the Covered Termination occurs.</w:t>
      </w:r>
    </w:p>
    <w:p>
      <w:pPr>
        <w:spacing w:after="0" w:line="93"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Multiplier</w:t>
      </w:r>
      <w:r>
        <w:rPr>
          <w:rFonts w:ascii="Arial" w:cs="Arial" w:eastAsia="Arial" w:hAnsi="Arial"/>
          <w:sz w:val="18"/>
          <w:szCs w:val="18"/>
          <w:color w:val="auto"/>
        </w:rPr>
        <w:t>” means the quotient obtained by dividing the number of full months that the Executive is employed by the Company or an Affiliate in the calendar year of a Covered Termination by twelve (12).</w:t>
      </w:r>
    </w:p>
    <w:p>
      <w:pPr>
        <w:spacing w:after="0" w:line="71" w:lineRule="exact"/>
        <w:rPr>
          <w:rFonts w:ascii="Arial" w:cs="Arial" w:eastAsia="Arial" w:hAnsi="Arial"/>
          <w:sz w:val="18"/>
          <w:szCs w:val="18"/>
          <w:color w:val="auto"/>
        </w:rPr>
      </w:pPr>
    </w:p>
    <w:p>
      <w:pPr>
        <w:ind w:left="1304" w:hanging="656"/>
        <w:spacing w:after="0" w:line="303"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“Change in Control” as defined in the Jazz Pharmaceuticals plc Amended and Restated Executive Change in Control and Severance Benefit Plan.</w:t>
      </w:r>
    </w:p>
    <w:p>
      <w:pPr>
        <w:spacing w:after="0" w:line="71" w:lineRule="exact"/>
        <w:rPr>
          <w:rFonts w:ascii="Arial" w:cs="Arial" w:eastAsia="Arial" w:hAnsi="Arial"/>
          <w:sz w:val="18"/>
          <w:szCs w:val="18"/>
          <w:color w:val="auto"/>
        </w:rPr>
      </w:pPr>
    </w:p>
    <w:p>
      <w:pPr>
        <w:ind w:left="1304" w:hanging="656"/>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any one or more of the following:</w:t>
      </w:r>
    </w:p>
    <w:p>
      <w:pPr>
        <w:spacing w:after="0" w:line="179" w:lineRule="exact"/>
        <w:rPr>
          <w:rFonts w:ascii="Arial" w:cs="Arial" w:eastAsia="Arial" w:hAnsi="Arial"/>
          <w:sz w:val="18"/>
          <w:szCs w:val="18"/>
          <w:color w:val="auto"/>
        </w:rPr>
      </w:pPr>
    </w:p>
    <w:p>
      <w:pPr>
        <w:ind w:left="1944" w:hanging="648"/>
        <w:spacing w:after="0" w:line="266"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unauthorised use or disclosure of the confidential information or trade secrets of the Employer or its Affiliates which use or disclosure causes material harm to the Employer or an Affiliate;</w:t>
      </w:r>
    </w:p>
    <w:p>
      <w:pPr>
        <w:jc w:val="both"/>
        <w:ind w:left="1944" w:hanging="648"/>
        <w:spacing w:after="0" w:line="266"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material breach of any agreement between the Executive and the Employer or an Affiliate which remains uncured for ten (10) business days after receiving written notification of the breach from the Employer;</w:t>
      </w:r>
    </w:p>
    <w:p>
      <w:pPr>
        <w:jc w:val="both"/>
        <w:ind w:left="1944" w:hanging="648"/>
        <w:spacing w:after="0" w:line="266"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material failure to comply with the written policies or rules of the Employer or an Affiliate which remains uncured for ten (10) business days after receiving written notification of the breach from the Employer;</w:t>
      </w:r>
    </w:p>
    <w:p>
      <w:pPr>
        <w:jc w:val="both"/>
        <w:ind w:left="1944" w:hanging="648"/>
        <w:spacing w:after="0" w:line="266"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 contest to, any crime involving fraud, dishonesty, or moral turpitude under the laws of any United States, England, Federal, state, local, or foreign governmental authority;</w:t>
      </w:r>
    </w:p>
    <w:p>
      <w:pPr>
        <w:ind w:left="1944" w:hanging="648"/>
        <w:spacing w:after="0"/>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gross misconduct;</w:t>
      </w:r>
    </w:p>
    <w:p>
      <w:pPr>
        <w:spacing w:after="0" w:line="22" w:lineRule="exact"/>
        <w:rPr>
          <w:rFonts w:ascii="Arial" w:cs="Arial" w:eastAsia="Arial" w:hAnsi="Arial"/>
          <w:sz w:val="18"/>
          <w:szCs w:val="18"/>
          <w:color w:val="auto"/>
        </w:rPr>
      </w:pPr>
    </w:p>
    <w:p>
      <w:pPr>
        <w:ind w:left="1944" w:hanging="648"/>
        <w:spacing w:after="0" w:line="277"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Executive’s continuing failure to perform assigned duties after receiving written notification of the failure from the Employer;</w:t>
      </w:r>
    </w:p>
    <w:p>
      <w:pPr>
        <w:spacing w:after="0" w:line="19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733" w:right="339" w:bottom="1440" w:gutter="0" w:footer="0" w:header="0"/>
        </w:sectPr>
      </w:pPr>
    </w:p>
    <w:bookmarkStart w:id="83" w:name="page84"/>
    <w:bookmarkEnd w:id="83"/>
    <w:p>
      <w:pPr>
        <w:jc w:val="both"/>
        <w:ind w:left="1480" w:hanging="648"/>
        <w:spacing w:after="0" w:line="266"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Executive’s failure to cooperate in good faith with a governmental or internal investigation of the Employer, its Affiliates, directors, officers, or employees, if the Employer has requested the Executive’s cooperation; or</w:t>
      </w:r>
    </w:p>
    <w:p>
      <w:pPr>
        <w:jc w:val="both"/>
        <w:ind w:left="1480" w:hanging="648"/>
        <w:spacing w:after="0" w:line="271"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action of Executive warranting summary dismissal or termination without prior notice under Executive’s employment agreement with the Employer as in effect on the Covered Termination (as applicable,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or under applicable employment laws.</w:t>
      </w:r>
    </w:p>
    <w:p>
      <w:pPr>
        <w:spacing w:after="0" w:line="100" w:lineRule="exact"/>
        <w:rPr>
          <w:rFonts w:ascii="Arial" w:cs="Arial" w:eastAsia="Arial" w:hAnsi="Arial"/>
          <w:sz w:val="18"/>
          <w:szCs w:val="18"/>
          <w:color w:val="auto"/>
        </w:rPr>
      </w:pPr>
    </w:p>
    <w:p>
      <w:pPr>
        <w:jc w:val="both"/>
        <w:ind w:left="840" w:hanging="656"/>
        <w:spacing w:after="0" w:line="271"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Constructive Termination</w:t>
      </w:r>
      <w:r>
        <w:rPr>
          <w:rFonts w:ascii="Arial" w:cs="Arial" w:eastAsia="Arial" w:hAnsi="Arial"/>
          <w:sz w:val="18"/>
          <w:szCs w:val="18"/>
          <w:color w:val="auto"/>
        </w:rPr>
        <w:t>” means a resignation of employment by Executive after an action or event which constitutes Good Reason is undertaken by Employer or an Affiliate, or otherwise occurs, provided such action or event is not agreed to by Executive in writing; provided, however, that in order for Executive’s resignation to constitute a Constructive Termination, Executive must (i) provide written notice to Employer’s General Counsel within thirty (30) days after the first occurrence of the event giving rise to Good Reason setting forth the basis for such resignation, (ii) allow Employer at least thirty (30) days from receipt of such written notice to cure such event, and (iii) if such event is not reasonably cured within such period, resign from all positions Executive then holds with Employer and any Affiliate effective not later than ninety (90) days after the expiration of the cure period.</w:t>
      </w:r>
    </w:p>
    <w:p>
      <w:pPr>
        <w:spacing w:after="0" w:line="74" w:lineRule="exact"/>
        <w:rPr>
          <w:rFonts w:ascii="Arial" w:cs="Arial" w:eastAsia="Arial" w:hAnsi="Arial"/>
          <w:sz w:val="18"/>
          <w:szCs w:val="18"/>
          <w:color w:val="auto"/>
        </w:rPr>
      </w:pPr>
    </w:p>
    <w:p>
      <w:pPr>
        <w:jc w:val="both"/>
        <w:ind w:left="840" w:hanging="656"/>
        <w:spacing w:after="0" w:line="278"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Termination</w:t>
      </w:r>
      <w:r>
        <w:rPr>
          <w:rFonts w:ascii="Arial" w:cs="Arial" w:eastAsia="Arial" w:hAnsi="Arial"/>
          <w:sz w:val="18"/>
          <w:szCs w:val="18"/>
          <w:color w:val="auto"/>
        </w:rPr>
        <w:t>” means either (I) an Involuntary Termination Without Cause, or (ii) a Constructive Termination. Termination of employment of Executive due to death or disability shall not constitute a Covered Termination unless a resignation of employment by Executive immediately prior to Executive’s death or disability would have qualified as a Constructive Termination.</w:t>
      </w:r>
    </w:p>
    <w:p>
      <w:pPr>
        <w:spacing w:after="0" w:line="66" w:lineRule="exact"/>
        <w:rPr>
          <w:rFonts w:ascii="Arial" w:cs="Arial" w:eastAsia="Arial" w:hAnsi="Arial"/>
          <w:sz w:val="18"/>
          <w:szCs w:val="18"/>
          <w:color w:val="auto"/>
        </w:rPr>
      </w:pPr>
    </w:p>
    <w:p>
      <w:pPr>
        <w:ind w:left="840" w:hanging="656"/>
        <w:spacing w:after="0" w:line="303"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means the corporate entity which employed Executive as of the effective date of the Covered Termination (including any predecessor or successor entity).</w:t>
      </w:r>
    </w:p>
    <w:p>
      <w:pPr>
        <w:spacing w:after="0" w:line="44" w:lineRule="exact"/>
        <w:rPr>
          <w:rFonts w:ascii="Arial" w:cs="Arial" w:eastAsia="Arial" w:hAnsi="Arial"/>
          <w:sz w:val="18"/>
          <w:szCs w:val="18"/>
          <w:color w:val="auto"/>
        </w:rPr>
      </w:pPr>
    </w:p>
    <w:p>
      <w:pPr>
        <w:ind w:left="840" w:hanging="656"/>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means Samantha Pearce.</w:t>
      </w:r>
    </w:p>
    <w:p>
      <w:pPr>
        <w:spacing w:after="0" w:line="130" w:lineRule="exact"/>
        <w:rPr>
          <w:rFonts w:ascii="Arial" w:cs="Arial" w:eastAsia="Arial" w:hAnsi="Arial"/>
          <w:sz w:val="18"/>
          <w:szCs w:val="18"/>
          <w:color w:val="auto"/>
        </w:rPr>
      </w:pPr>
    </w:p>
    <w:p>
      <w:pPr>
        <w:ind w:left="840" w:hanging="656"/>
        <w:spacing w:after="0" w:line="303"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one or more of the following actions or events without Executive’s written consent:</w:t>
      </w:r>
    </w:p>
    <w:p>
      <w:pPr>
        <w:spacing w:after="0" w:line="66" w:lineRule="exact"/>
        <w:rPr>
          <w:rFonts w:ascii="Arial" w:cs="Arial" w:eastAsia="Arial" w:hAnsi="Arial"/>
          <w:sz w:val="18"/>
          <w:szCs w:val="18"/>
          <w:color w:val="auto"/>
        </w:rPr>
      </w:pPr>
    </w:p>
    <w:p>
      <w:pPr>
        <w:jc w:val="both"/>
        <w:ind w:left="1480" w:hanging="648"/>
        <w:spacing w:after="0" w:line="266"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reduction in Executive’s base salary by more than ten percent (10%) (other than a reduction in conjunction with (x) a Company-wide salary reduction, or (y) a salary reduction involving senior management of Employer which results in salary reductions for employees similarly-situated to Executive);</w:t>
      </w:r>
    </w:p>
    <w:p>
      <w:pPr>
        <w:ind w:left="1480" w:hanging="648"/>
        <w:spacing w:after="0" w:line="266"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relocation of Executive’s place of employment that increases Executive’s one-way commute by more than thirty-five (35) miles;</w:t>
      </w:r>
    </w:p>
    <w:p>
      <w:pPr>
        <w:jc w:val="both"/>
        <w:ind w:left="1480" w:hanging="648"/>
        <w:spacing w:after="0" w:line="266"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substantial reduction in Executive’s duties or responsibilities (and not simply a change in reporting relationships) in effect immediately prior to the effective date of the Change in Control; provided, however, that it shall not constitute “Good Reason” if, following the effective date of the Change in Control, either (x) Employer is retained as a separate legal entity or business unit and Executive holds the same position in such legal entity or business unit as Executive held before such effective date, (y) Executive holds a position with duties and responsibilities comparable (although not necessarily identical, in view of the relative sizes of Employer and the entity involved in the Change in Control) to the duties and responsibilities of Executive prior to the effective date of the Change in Control; or</w:t>
      </w:r>
    </w:p>
    <w:p>
      <w:pPr>
        <w:ind w:left="1480" w:hanging="648"/>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reduction in the Executives title.</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0"/>
          </w:cols>
          <w:pgMar w:left="1440" w:top="733" w:right="339" w:bottom="1440" w:gutter="0" w:footer="0" w:header="0"/>
        </w:sectPr>
      </w:pPr>
    </w:p>
    <w:bookmarkStart w:id="84" w:name="page85"/>
    <w:bookmarkEnd w:id="84"/>
    <w:p>
      <w:pPr>
        <w:jc w:val="both"/>
        <w:ind w:left="1304" w:hanging="656"/>
        <w:spacing w:after="0" w:line="284" w:lineRule="auto"/>
        <w:tabs>
          <w:tab w:leader="none" w:pos="13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Termination Without Cause</w:t>
      </w:r>
      <w:r>
        <w:rPr>
          <w:rFonts w:ascii="Arial" w:cs="Arial" w:eastAsia="Arial" w:hAnsi="Arial"/>
          <w:sz w:val="18"/>
          <w:szCs w:val="18"/>
          <w:color w:val="auto"/>
        </w:rPr>
        <w:t>” means a termination by the Employer of the Executive’s employment relationship with the Employer or an Affiliate for any reason other than for Cause and other than as a result of death or disability.</w:t>
      </w:r>
    </w:p>
    <w:p>
      <w:pPr>
        <w:spacing w:after="0" w:line="88" w:lineRule="exact"/>
        <w:rPr>
          <w:rFonts w:ascii="Arial" w:cs="Arial" w:eastAsia="Arial" w:hAnsi="Arial"/>
          <w:sz w:val="18"/>
          <w:szCs w:val="18"/>
          <w:color w:val="auto"/>
        </w:rPr>
      </w:pPr>
    </w:p>
    <w:p>
      <w:pPr>
        <w:ind w:left="644" w:hanging="644"/>
        <w:spacing w:after="0"/>
        <w:tabs>
          <w:tab w:leader="none" w:pos="64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Terms for Severance Benefits</w:t>
      </w:r>
      <w:r>
        <w:rPr>
          <w:rFonts w:ascii="Arial" w:cs="Arial" w:eastAsia="Arial" w:hAnsi="Arial"/>
          <w:sz w:val="18"/>
          <w:szCs w:val="18"/>
          <w:color w:val="auto"/>
        </w:rPr>
        <w:t>: The following additional terms shall apply:</w:t>
      </w:r>
    </w:p>
    <w:p>
      <w:pPr>
        <w:spacing w:after="0" w:line="238" w:lineRule="exact"/>
        <w:rPr>
          <w:rFonts w:ascii="Arial" w:cs="Arial" w:eastAsia="Arial" w:hAnsi="Arial"/>
          <w:sz w:val="18"/>
          <w:szCs w:val="18"/>
          <w:b w:val="1"/>
          <w:bCs w:val="1"/>
          <w:color w:val="auto"/>
        </w:rPr>
      </w:pPr>
    </w:p>
    <w:p>
      <w:pPr>
        <w:jc w:val="both"/>
        <w:ind w:left="1304" w:hanging="656"/>
        <w:spacing w:after="0" w:line="271" w:lineRule="auto"/>
        <w:tabs>
          <w:tab w:leader="none" w:pos="1304"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order to be eligible to receive, and prior to receipt of, any of the Severance Benefits, the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 general waiver and release and return such release to Employer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Agreement or by law. The Employer, in its sole discretion, may modify the form of the required release to comply with applicable law and shall determine the form of the required release.</w:t>
      </w:r>
    </w:p>
    <w:p>
      <w:pPr>
        <w:spacing w:after="0" w:line="101" w:lineRule="exact"/>
        <w:rPr>
          <w:rFonts w:ascii="Arial" w:cs="Arial" w:eastAsia="Arial" w:hAnsi="Arial"/>
          <w:sz w:val="18"/>
          <w:szCs w:val="18"/>
          <w:color w:val="auto"/>
        </w:rPr>
      </w:pPr>
    </w:p>
    <w:p>
      <w:pPr>
        <w:jc w:val="both"/>
        <w:ind w:left="1304" w:hanging="656"/>
        <w:spacing w:after="0" w:line="275" w:lineRule="auto"/>
        <w:tabs>
          <w:tab w:leader="none" w:pos="1304"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Mitigation</w:t>
      </w:r>
      <w:r>
        <w:rPr>
          <w:rFonts w:ascii="Arial" w:cs="Arial" w:eastAsia="Arial" w:hAnsi="Arial"/>
          <w:sz w:val="18"/>
          <w:szCs w:val="18"/>
          <w:color w:val="auto"/>
        </w:rPr>
        <w:t>: The Executive shall not be required to mitigate damages as a condition of the Severance Benefits by</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other employment or otherwise. Similarly, no amount of the Severance Benefits shall be reduced by any compensation earned by the Executive as a result of employment by another employer or any retirement benefits received by such Executive after the date of the Executive’s termination of employment with the Employer, except for Severance Benefits relating to payments for health continuation coverage provided above.</w:t>
      </w:r>
    </w:p>
    <w:p>
      <w:pPr>
        <w:spacing w:after="0" w:line="96" w:lineRule="exact"/>
        <w:rPr>
          <w:rFonts w:ascii="Arial" w:cs="Arial" w:eastAsia="Arial" w:hAnsi="Arial"/>
          <w:sz w:val="18"/>
          <w:szCs w:val="18"/>
          <w:color w:val="auto"/>
        </w:rPr>
      </w:pPr>
    </w:p>
    <w:p>
      <w:pPr>
        <w:jc w:val="both"/>
        <w:ind w:left="1304" w:hanging="656"/>
        <w:spacing w:after="0" w:line="273" w:lineRule="auto"/>
        <w:tabs>
          <w:tab w:leader="none" w:pos="1304"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Tax Withholding, Contributions</w:t>
      </w:r>
      <w:r>
        <w:rPr>
          <w:rFonts w:ascii="Arial" w:cs="Arial" w:eastAsia="Arial" w:hAnsi="Arial"/>
          <w:sz w:val="18"/>
          <w:szCs w:val="18"/>
          <w:color w:val="auto"/>
        </w:rPr>
        <w:t>: All payments under this Schedule will be subject to all applicable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of the Employer, including, without limitation, all obligations to withhold or make deductions for federal, state and local income and employment taxes, as well as national contributions and any other required deductions or withholdings which are required pursuant to the terms of the Executive’s employment or by law, or which are provided for in the Executive’s Employment Agreement and/or this Schedule (including for the avoidance of doubt deductions for income tax and national insurance contributions required under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71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9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740" w:right="300" w:hanging="327"/>
        <w:spacing w:after="0" w:line="263"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740" w:right="620" w:hanging="327"/>
        <w:spacing w:after="0" w:line="263"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hanging="327"/>
        <w:spacing w:after="0" w:line="263"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200" w:hanging="327"/>
        <w:spacing w:after="0" w:line="277"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5640" w:val="left"/>
          <w:tab w:leader="none" w:pos="7900" w:val="left"/>
          <w:tab w:leader="none" w:pos="826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740" w:right="300" w:hanging="327"/>
        <w:spacing w:after="0" w:line="263" w:lineRule="auto"/>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740" w:right="620" w:hanging="327"/>
        <w:spacing w:after="0" w:line="263" w:lineRule="auto"/>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hanging="327"/>
        <w:spacing w:after="0" w:line="263" w:lineRule="auto"/>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200" w:hanging="327"/>
        <w:spacing w:after="0" w:line="277" w:lineRule="auto"/>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640" w:val="left"/>
          <w:tab w:leader="none" w:pos="8100" w:val="left"/>
          <w:tab w:leader="none" w:pos="846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40640</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6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80" w:hanging="327"/>
        <w:spacing w:after="0" w:line="308" w:lineRule="auto"/>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05"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360"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8"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74"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Renée Galá</w:t>
      </w:r>
    </w:p>
    <w:p>
      <w:pPr>
        <w:spacing w:after="0" w:line="4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lvl w:ilvl="1">
      <w:lvlJc w:val="left"/>
      <w:lvlText w:val="%2"/>
      <w:numFmt w:val="decimal"/>
      <w:start w:val="104"/>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decimal"/>
      <w:start w:val="6"/>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decimal"/>
      <w:start w:val="1"/>
    </w:lvl>
    <w:lvl w:ilvl="1">
      <w:lvlJc w:val="left"/>
      <w:lvlText w:val="%2."/>
      <w:numFmt w:val="lowerLetter"/>
      <w:start w:val="1"/>
    </w:lvl>
  </w:abstractNum>
  <w:abstractNum w:abstractNumId="29">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
    <w:nsid w:val="70A64E2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4">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542289EC"/>
    <w:multiLevelType w:val="hybridMultilevel"/>
    <w:lvl w:ilvl="0">
      <w:lvlJc w:val="left"/>
      <w:lvlText w:val="%1"/>
      <w:numFmt w:val="lowerLetter"/>
      <w:start w:val="1"/>
    </w:lvl>
    <w:lvl w:ilvl="1">
      <w:lvlJc w:val="left"/>
      <w:lvlText w:val="%2."/>
      <w:numFmt w:val="lowerRoman"/>
      <w:start w:val="7"/>
    </w:lvl>
  </w:abstractNum>
  <w:abstractNum w:abstractNumId="43">
    <w:nsid w:val="6DE91B18"/>
    <w:multiLevelType w:val="hybridMultilevel"/>
    <w:lvl w:ilvl="0">
      <w:lvlJc w:val="left"/>
      <w:lvlText w:val="%1."/>
      <w:numFmt w:val="lowerLetter"/>
      <w:start w:val="6"/>
    </w:lvl>
    <w:lvl w:ilvl="1">
      <w:lvlJc w:val="left"/>
      <w:lvlText w:val="%2."/>
      <w:numFmt w:val="lowerRoman"/>
      <w:start w:val="1"/>
    </w:lvl>
  </w:abstractNum>
  <w:abstractNum w:abstractNumId="44">
    <w:nsid w:val="38437FDB"/>
    <w:multiLevelType w:val="hybridMultilevel"/>
    <w:lvl w:ilvl="0">
      <w:lvlJc w:val="left"/>
      <w:lvlText w:val="%1"/>
      <w:numFmt w:val="decimal"/>
      <w:start w:val="1"/>
    </w:lvl>
    <w:lvl w:ilvl="1">
      <w:lvlJc w:val="left"/>
      <w:lvlText w:val="%2."/>
      <w:numFmt w:val="lowerLetter"/>
      <w:start w:val="11"/>
    </w:lvl>
  </w:abstractNum>
  <w:abstractNum w:abstractNumId="45">
    <w:nsid w:val="7644A45C"/>
    <w:multiLevelType w:val="hybridMultilevel"/>
    <w:lvl w:ilvl="0">
      <w:lvlJc w:val="left"/>
      <w:lvlText w:val="%1."/>
      <w:numFmt w:val="decimal"/>
      <w:start w:val="4"/>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30" Type="http://schemas.openxmlformats.org/officeDocument/2006/relationships/hyperlink" Target="http://www.sec.gov/Archives/edgar/data/1232524/000119312511251468/d233902dex21.htm" TargetMode="External"/><Relationship Id="rId31" Type="http://schemas.openxmlformats.org/officeDocument/2006/relationships/hyperlink" Target="http://www.sec.gov/Archives/edgar/data/1232524/000119312512015521/d282897dex22.htm" TargetMode="External"/><Relationship Id="rId32" Type="http://schemas.openxmlformats.org/officeDocument/2006/relationships/hyperlink" Target="http://www.sec.gov/Archives/edgar/data/1232524/000119312512191724/d341488dex21.htm" TargetMode="External"/><Relationship Id="rId33" Type="http://schemas.openxmlformats.org/officeDocument/2006/relationships/hyperlink" Target="http://www.sec.gov/Archives/edgar/data/1232524/000119312512268244/d365702dex21b.htm" TargetMode="External"/><Relationship Id="rId34" Type="http://schemas.openxmlformats.org/officeDocument/2006/relationships/hyperlink" Target="http://www.sec.gov/Archives/edgar/data/1232524/000119312513481242/d647727dex21.htm" TargetMode="External"/><Relationship Id="rId35" Type="http://schemas.openxmlformats.org/officeDocument/2006/relationships/hyperlink" Target="http://www.sec.gov/Archives/edgar/data/1232524/000119312514008838/d656574dex21.htm" TargetMode="External"/><Relationship Id="rId36" Type="http://schemas.openxmlformats.org/officeDocument/2006/relationships/hyperlink" Target="http://www.sec.gov/Archives/edgar/data/1232524/000119312514295844/d768395dex21.htm" TargetMode="External"/><Relationship Id="rId37" Type="http://schemas.openxmlformats.org/officeDocument/2006/relationships/hyperlink" Target="http://www.sec.gov/Archives/edgar/data/1232524/000123252415000074/form8-kex21.htm" TargetMode="External"/><Relationship Id="rId38" Type="http://schemas.openxmlformats.org/officeDocument/2006/relationships/hyperlink" Target="http://www.sec.gov/Archives/edgar/data/1232524/000119312516607097/d203835dex21.htm" TargetMode="External"/><Relationship Id="rId39" Type="http://schemas.openxmlformats.org/officeDocument/2006/relationships/hyperlink" Target="http://www.sec.gov/Archives/edgar/data/1232524/000123252416000303/jazzq22016ex31.htm" TargetMode="External"/><Relationship Id="rId40" Type="http://schemas.openxmlformats.org/officeDocument/2006/relationships/hyperlink" Target="http://www.sec.gov/Archives/edgar/data/1232524/000119312514308406/d773171dex41.htm" TargetMode="External"/><Relationship Id="rId41" Type="http://schemas.openxmlformats.org/officeDocument/2006/relationships/hyperlink" Target="http://www.sec.gov/Archives/edgar/data/1232524/000119312517265654/d64100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2020-05-05T16:15:46Z</dcterms:created>
  <dcterms:modified xsi:type="dcterms:W3CDTF">2020-05-05T16:15:46Z</dcterms:modified>
</cp:coreProperties>
</file>