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10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10933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vMerge w:val="restart"/>
          </w:tcPr>
          <w:p>
            <w:pPr>
              <w:spacing w:after="0" w:line="240"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Carr Patricia</w:t>
              </w:r>
            </w:hyperlink>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gridSpan w:val="7"/>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 xml:space="preserve">Jazz Pharmaceuticals plc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JAZZ</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tcBorders>
              <w:top w:val="single" w:sz="8" w:color="0000EE"/>
              <w:bottom w:val="single" w:sz="8" w:color="0000EE"/>
            </w:tcBorders>
            <w:gridSpan w:val="3"/>
            <w:vMerge w:val="restart"/>
          </w:tcPr>
          <w:p>
            <w:pPr>
              <w:spacing w:after="0"/>
              <w:rPr>
                <w:sz w:val="20"/>
                <w:szCs w:val="20"/>
                <w:color w:val="auto"/>
              </w:rPr>
            </w:pPr>
            <w:r>
              <w:rPr>
                <w:rFonts w:ascii="Arial" w:cs="Arial" w:eastAsia="Arial" w:hAnsi="Arial"/>
                <w:sz w:val="13"/>
                <w:szCs w:val="13"/>
                <w:color w:val="auto"/>
                <w:w w:val="99"/>
              </w:rPr>
              <w:t>Foreign Trading Symbol</w:t>
            </w:r>
          </w:p>
        </w:tc>
        <w:tc>
          <w:tcPr>
            <w:tcW w:w="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40"/>
              <w:spacing w:after="0" w:line="143" w:lineRule="exact"/>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3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restart"/>
          </w:tcPr>
          <w:p>
            <w:pPr>
              <w:ind w:left="140"/>
              <w:spacing w:after="0" w:line="12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500" w:type="dxa"/>
            <w:vAlign w:val="bottom"/>
            <w:gridSpan w:val="4"/>
            <w:vMerge w:val="restart"/>
          </w:tcPr>
          <w:p>
            <w:pPr>
              <w:ind w:left="260"/>
              <w:spacing w:after="0" w:line="12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6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460" w:type="dxa"/>
            <w:vAlign w:val="bottom"/>
            <w:tcBorders>
              <w:top w:val="single" w:sz="8" w:color="EEEEEE"/>
            </w:tcBorders>
          </w:tcPr>
          <w:p>
            <w:pPr>
              <w:spacing w:after="0"/>
              <w:rPr>
                <w:sz w:val="16"/>
                <w:szCs w:val="16"/>
                <w:color w:val="auto"/>
              </w:rPr>
            </w:pPr>
          </w:p>
        </w:tc>
        <w:tc>
          <w:tcPr>
            <w:tcW w:w="1240" w:type="dxa"/>
            <w:vAlign w:val="bottom"/>
            <w:tcBorders>
              <w:top w:val="single" w:sz="8" w:color="EEEEEE"/>
            </w:tcBorders>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320" w:type="dxa"/>
            <w:vAlign w:val="bottom"/>
            <w:tcBorders>
              <w:top w:val="single" w:sz="8" w:color="EEEEEE"/>
            </w:tcBorders>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Times New Roman" w:cs="Times New Roman" w:eastAsia="Times New Roman" w:hAnsi="Times New Roman"/>
                <w:sz w:val="17"/>
                <w:szCs w:val="17"/>
                <w:color w:val="0000FF"/>
              </w:rPr>
              <w:t>SVP, Chief Accounting Officer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w w:val="97"/>
              </w:rPr>
              <w:t>5TH FL, WATERLOO EXCHANGE</w:t>
            </w: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gridSpan w:val="5"/>
            <w:vMerge w:val="continue"/>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WATERLOO RD</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11/04/2026</w:t>
            </w: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vMerge w:val="continue"/>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7"/>
                <w:szCs w:val="7"/>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DUBLIN 4</w:t>
            </w: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3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IRELAND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(Country)</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4"/>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4"/>
                <w:szCs w:val="14"/>
                <w:color w:val="auto"/>
              </w:rPr>
            </w:pPr>
          </w:p>
        </w:tc>
        <w:tc>
          <w:tcPr>
            <w:tcW w:w="166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20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5"/>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9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00"/>
              <w:spacing w:after="0"/>
              <w:rPr>
                <w:sz w:val="20"/>
                <w:szCs w:val="20"/>
                <w:color w:val="auto"/>
              </w:rPr>
            </w:pPr>
            <w:r>
              <w:rPr>
                <w:rFonts w:ascii="Times New Roman" w:cs="Times New Roman" w:eastAsia="Times New Roman" w:hAnsi="Times New Roman"/>
                <w:sz w:val="17"/>
                <w:szCs w:val="17"/>
                <w:color w:val="0000FF"/>
              </w:rPr>
              <w:t>11/04/2026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72"/>
              <w:spacing w:after="0"/>
              <w:rPr>
                <w:sz w:val="20"/>
                <w:szCs w:val="20"/>
                <w:color w:val="auto"/>
              </w:rPr>
            </w:pPr>
            <w:r>
              <w:rPr>
                <w:rFonts w:ascii="Times New Roman" w:cs="Times New Roman" w:eastAsia="Times New Roman" w:hAnsi="Times New Roman"/>
                <w:sz w:val="17"/>
                <w:szCs w:val="17"/>
                <w:color w:val="0000FF"/>
                <w:w w:val="99"/>
              </w:rPr>
              <w:t>1,250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140.03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7,925</w:t>
            </w:r>
            <w:r>
              <w:rPr>
                <w:rFonts w:ascii="Times New Roman" w:cs="Times New Roman" w:eastAsia="Times New Roman" w:hAnsi="Times New Roman"/>
                <w:sz w:val="21"/>
                <w:szCs w:val="21"/>
                <w:color w:val="008000"/>
                <w:w w:val="95"/>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gridSpan w:val="5"/>
          </w:tcPr>
          <w:p>
            <w:pPr>
              <w:ind w:left="700"/>
              <w:spacing w:after="0"/>
              <w:rPr>
                <w:sz w:val="20"/>
                <w:szCs w:val="20"/>
                <w:color w:val="auto"/>
              </w:rPr>
            </w:pPr>
            <w:r>
              <w:rPr>
                <w:rFonts w:ascii="Times New Roman" w:cs="Times New Roman" w:eastAsia="Times New Roman" w:hAnsi="Times New Roman"/>
                <w:sz w:val="17"/>
                <w:szCs w:val="17"/>
                <w:color w:val="0000FF"/>
              </w:rPr>
              <w:t>11/04/2026</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172"/>
              <w:spacing w:after="0"/>
              <w:rPr>
                <w:sz w:val="20"/>
                <w:szCs w:val="20"/>
                <w:color w:val="auto"/>
              </w:rPr>
            </w:pPr>
            <w:r>
              <w:rPr>
                <w:rFonts w:ascii="Times New Roman" w:cs="Times New Roman" w:eastAsia="Times New Roman" w:hAnsi="Times New Roman"/>
                <w:sz w:val="17"/>
                <w:szCs w:val="17"/>
                <w:color w:val="0000FF"/>
                <w:w w:val="99"/>
              </w:rPr>
              <w:t>1,250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231.37</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6,675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gridSpan w:val="5"/>
          </w:tcPr>
          <w:p>
            <w:pPr>
              <w:ind w:left="700"/>
              <w:spacing w:after="0"/>
              <w:rPr>
                <w:sz w:val="20"/>
                <w:szCs w:val="20"/>
                <w:color w:val="auto"/>
              </w:rPr>
            </w:pPr>
            <w:r>
              <w:rPr>
                <w:rFonts w:ascii="Times New Roman" w:cs="Times New Roman" w:eastAsia="Times New Roman" w:hAnsi="Times New Roman"/>
                <w:sz w:val="17"/>
                <w:szCs w:val="17"/>
                <w:color w:val="0000FF"/>
              </w:rPr>
              <w:t>11/04/2026</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152"/>
              <w:spacing w:after="0"/>
              <w:rPr>
                <w:sz w:val="20"/>
                <w:szCs w:val="20"/>
                <w:color w:val="auto"/>
              </w:rPr>
            </w:pPr>
            <w:r>
              <w:rPr>
                <w:rFonts w:ascii="Times New Roman" w:cs="Times New Roman" w:eastAsia="Times New Roman" w:hAnsi="Times New Roman"/>
                <w:sz w:val="17"/>
                <w:szCs w:val="17"/>
                <w:color w:val="0000FF"/>
                <w:w w:val="93"/>
              </w:rPr>
              <w:t>163</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231.27</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6,512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300" w:type="dxa"/>
            <w:vAlign w:val="bottom"/>
            <w:tcBorders>
              <w:top w:val="single" w:sz="8" w:color="2C2C2C"/>
            </w:tcBorders>
            <w:gridSpan w:val="17"/>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2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1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140.03</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11/04/2026</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1,250</w:t>
            </w:r>
          </w:p>
        </w:tc>
        <w:tc>
          <w:tcPr>
            <w:tcW w:w="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02/27/2029</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1,250</w:t>
            </w:r>
          </w:p>
        </w:tc>
        <w:tc>
          <w:tcPr>
            <w:tcW w:w="18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3,000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acquired 163 ordinary shares under a Section 423 Employee Stock Purchase Plan on May 29, 2026.</w:t>
      </w:r>
    </w:p>
    <w:p>
      <w:pPr>
        <w:spacing w:after="0" w:line="45" w:lineRule="exact"/>
        <w:rPr>
          <w:rFonts w:ascii="Times New Roman" w:cs="Times New Roman" w:eastAsia="Times New Roman" w:hAnsi="Times New Roman"/>
          <w:sz w:val="13"/>
          <w:szCs w:val="13"/>
          <w:color w:val="008000"/>
        </w:rPr>
      </w:pPr>
    </w:p>
    <w:p>
      <w:pPr>
        <w:ind w:left="40" w:right="320" w:firstLine="3"/>
        <w:spacing w:after="0" w:line="24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granted pursuant to the Issuer's 2011 Equity Incentive Plan. The ordinary shares subject to these options vest over four years measured from the grant date, February 28, 2019, with 1/4th vesting on the first anniversary of the grant date and the remainder vesting in 36 equal monthly installments thereafter.</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By: /s/Paz Dizon, as attorney in </w:t>
      </w:r>
      <w:r>
        <w:rPr>
          <w:rFonts w:ascii="Times New Roman" w:cs="Times New Roman" w:eastAsia="Times New Roman" w:hAnsi="Times New Roman"/>
          <w:sz w:val="32"/>
          <w:szCs w:val="32"/>
          <w:color w:val="0000FF"/>
          <w:vertAlign w:val="subscript"/>
        </w:rPr>
        <w:t>11/06/2026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938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853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4606" TargetMode="External"/><Relationship Id="rId14" Type="http://schemas.openxmlformats.org/officeDocument/2006/relationships/hyperlink" Target="http://www.sec.gov/cgi-bin/browse-edgar?action=getcompany&amp;CIK=00012325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2026-11-06T16:23:20Z</dcterms:created>
  <dcterms:modified xsi:type="dcterms:W3CDTF">2026-11-06T16:23:20Z</dcterms:modified>
</cp:coreProperties>
</file>