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356" w:type="dxa"/>
        <w:jc w:val="left"/>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or</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001-33500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JAZZ PHARMACEUTICALS PUBLIC LIMITED COMPANY</w:t>
      </w:r>
    </w:p>
    <w:p>
      <w:pPr>
        <w:pStyle w:val="TextBody"/>
        <w:bidi w:val="0"/>
        <w:spacing w:lineRule="auto" w:line="288" w:before="0" w:after="0"/>
        <w:jc w:val="center"/>
        <w:rPr/>
      </w:pPr>
      <w:r>
        <w:rPr>
          <w:rFonts w:ascii="Times New Roman;serif" w:hAnsi="Times New Roman;serif"/>
          <w:b/>
          <w:color w:val="000000"/>
          <w:sz w:val="16"/>
        </w:rPr>
        <w:t>(Exact name of registrant as specified in its charter)</w:t>
      </w:r>
      <w:r>
        <w:rPr>
          <w:color w:val="000000"/>
        </w:rPr>
        <w:t> </w:t>
      </w:r>
    </w:p>
    <w:tbl>
      <w:tblPr>
        <w:tblW w:w="3854" w:type="dxa"/>
        <w:jc w:val="left"/>
        <w:tblInd w:w="0" w:type="dxa"/>
        <w:tblLayout w:type="fixed"/>
        <w:tblCellMar>
          <w:top w:w="28" w:type="dxa"/>
          <w:left w:w="28" w:type="dxa"/>
          <w:bottom w:w="28" w:type="dxa"/>
          <w:right w:w="28" w:type="dxa"/>
        </w:tblCellMar>
      </w:tblPr>
      <w:tblGrid>
        <w:gridCol w:w="857"/>
        <w:gridCol w:w="753"/>
        <w:gridCol w:w="760"/>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94"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98"/>
        <w:gridCol w:w="1098"/>
        <w:gridCol w:w="1554"/>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LLC </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ind w:left="0" w:right="0" w:firstLine="495"/>
        <w:jc w:val="left"/>
        <w:rPr/>
      </w:pPr>
      <w:r>
        <w:rPr/>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April 28, 2026, 62,742,820 ordinary shares of the registrant, nominal value $0.0001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 FOR THE QUARTER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95"/>
        <w:gridCol w:w="519"/>
        <w:gridCol w:w="519"/>
        <w:gridCol w:w="2735"/>
        <w:gridCol w:w="2636"/>
        <w:gridCol w:w="2687"/>
        <w:gridCol w:w="149"/>
        <w:gridCol w:w="149"/>
        <w:gridCol w:w="216"/>
      </w:tblGrid>
      <w:tr>
        <w:trPr/>
        <w:tc>
          <w:tcPr>
            <w:tcW w:w="59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3">
              <w:r>
                <w:rPr>
                  <w:rStyle w:val="InternetLink"/>
                  <w:rFonts w:ascii="Times New Roman;serif" w:hAnsi="Times New Roman;serif"/>
                  <w:b/>
                  <w:color w:val="0000FF"/>
                  <w:sz w:val="20"/>
                  <w:u w:val="single"/>
                </w:rPr>
                <w:t>PART I –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0">
              <w:r>
                <w:rPr>
                  <w:rStyle w:val="InternetLink"/>
                  <w:rFonts w:ascii="Times New Roman;serif" w:hAnsi="Times New Roman;serif"/>
                  <w:b w:val="false"/>
                  <w:color w:val="0000FF"/>
                  <w:sz w:val="20"/>
                  <w:u w:val="single"/>
                </w:rPr>
                <w:t>Defined Terms and Products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0">
              <w:r>
                <w:rPr>
                  <w:rStyle w:val="InternetLink"/>
                  <w:rFonts w:ascii="Times New Roman;serif" w:hAnsi="Times New Roman;serif"/>
                  <w:b w:val="false"/>
                  <w:color w:val="0000FF"/>
                  <w:sz w:val="20"/>
                  <w:u w:val="single"/>
                </w:rPr>
                <w:t>3</w:t>
              </w:r>
            </w:hyperlink>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6">
              <w:r>
                <w:rPr>
                  <w:rStyle w:val="InternetLink"/>
                  <w:rFonts w:ascii="Times New Roman;serif" w:hAnsi="Times New Roman;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6">
              <w:r>
                <w:rPr>
                  <w:rStyle w:val="InternetLink"/>
                  <w:rFonts w:ascii="Times New Roman;serif" w:hAnsi="Times New Roman;serif"/>
                  <w:b w:val="false"/>
                  <w:color w:val="0000FF"/>
                  <w:sz w:val="20"/>
                  <w:u w:val="single"/>
                </w:rPr>
                <w:t>7</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9">
              <w:r>
                <w:rPr>
                  <w:rStyle w:val="InternetLink"/>
                  <w:rFonts w:ascii="Times New Roman;serif" w:hAnsi="Times New Roman;serif"/>
                  <w:b w:val="false"/>
                  <w:color w:val="000080"/>
                  <w:sz w:val="20"/>
                  <w:u w:val="single"/>
                </w:rPr>
                <w:t xml:space="preserve">Condensed Consolidated Balance Sheets – </w:t>
              </w:r>
            </w:hyperlink>
            <w:hyperlink w:anchor="i1e02b45c17d94446af9859f47876435c_19">
              <w:r>
                <w:rPr>
                  <w:rStyle w:val="InternetLink"/>
                  <w:rFonts w:ascii="Times New Roman;serif" w:hAnsi="Times New Roman;serif"/>
                  <w:b w:val="false"/>
                  <w:color w:val="000080"/>
                  <w:sz w:val="20"/>
                  <w:u w:val="single"/>
                </w:rPr>
                <w:t>March</w:t>
              </w:r>
            </w:hyperlink>
            <w:hyperlink w:anchor="i1e02b45c17d94446af9859f47876435c_19">
              <w:r>
                <w:rPr>
                  <w:rStyle w:val="InternetLink"/>
                  <w:rFonts w:ascii="Times New Roman;serif" w:hAnsi="Times New Roman;serif"/>
                  <w:b w:val="false"/>
                  <w:color w:val="000080"/>
                  <w:sz w:val="20"/>
                  <w:u w:val="single"/>
                </w:rPr>
                <w:t xml:space="preserve"> 3</w:t>
              </w:r>
            </w:hyperlink>
            <w:hyperlink w:anchor="i1e02b45c17d94446af9859f47876435c_19">
              <w:r>
                <w:rPr>
                  <w:rStyle w:val="InternetLink"/>
                  <w:rFonts w:ascii="Times New Roman;serif" w:hAnsi="Times New Roman;serif"/>
                  <w:b w:val="false"/>
                  <w:color w:val="000080"/>
                  <w:sz w:val="20"/>
                  <w:u w:val="single"/>
                </w:rPr>
                <w:t>1</w:t>
              </w:r>
            </w:hyperlink>
            <w:hyperlink w:anchor="i1e02b45c17d94446af9859f47876435c_19">
              <w:r>
                <w:rPr>
                  <w:rStyle w:val="InternetLink"/>
                  <w:rFonts w:ascii="Times New Roman;serif" w:hAnsi="Times New Roman;serif"/>
                  <w:b w:val="false"/>
                  <w:color w:val="000080"/>
                  <w:sz w:val="20"/>
                  <w:u w:val="single"/>
                </w:rPr>
                <w:t>, 202</w:t>
              </w:r>
            </w:hyperlink>
            <w:hyperlink w:anchor="i1e02b45c17d94446af9859f47876435c_19">
              <w:r>
                <w:rPr>
                  <w:rStyle w:val="InternetLink"/>
                  <w:rFonts w:ascii="Times New Roman;serif" w:hAnsi="Times New Roman;serif"/>
                  <w:b w:val="false"/>
                  <w:color w:val="000080"/>
                  <w:sz w:val="20"/>
                  <w:u w:val="single"/>
                </w:rPr>
                <w:t>6</w:t>
              </w:r>
            </w:hyperlink>
            <w:hyperlink w:anchor="i1e02b45c17d94446af9859f47876435c_19">
              <w:r>
                <w:rPr>
                  <w:rStyle w:val="InternetLink"/>
                  <w:rFonts w:ascii="Times New Roman;serif" w:hAnsi="Times New Roman;serif"/>
                  <w:b w:val="false"/>
                  <w:color w:val="000080"/>
                  <w:sz w:val="20"/>
                  <w:u w:val="single"/>
                </w:rPr>
                <w:t xml:space="preserve"> and December 31, 2</w:t>
              </w:r>
            </w:hyperlink>
            <w:hyperlink w:anchor="i1e02b45c17d94446af9859f47876435c_19">
              <w:r>
                <w:rPr>
                  <w:rStyle w:val="InternetLink"/>
                  <w:rFonts w:ascii="Times New Roman;serif" w:hAnsi="Times New Roman;serif"/>
                  <w:b w:val="false"/>
                  <w:color w:val="000080"/>
                  <w:sz w:val="20"/>
                  <w:u w:val="single"/>
                </w:rPr>
                <w:t>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9">
              <w:r>
                <w:rPr>
                  <w:rStyle w:val="InternetLink"/>
                  <w:rFonts w:ascii="Times New Roman;serif" w:hAnsi="Times New Roman;serif"/>
                  <w:b w:val="false"/>
                  <w:color w:val="0000FF"/>
                  <w:sz w:val="20"/>
                  <w:u w:val="single"/>
                </w:rPr>
                <w:t>7</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22">
              <w:r>
                <w:rPr>
                  <w:rStyle w:val="InternetLink"/>
                  <w:rFonts w:ascii="Times New Roman;serif" w:hAnsi="Times New Roman;serif"/>
                  <w:b w:val="false"/>
                  <w:color w:val="0000FF"/>
                  <w:sz w:val="20"/>
                  <w:u w:val="single"/>
                </w:rPr>
                <w:t>Condensed Consolidated Statements of Income (Loss) – Three Months Ended March 31,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22">
              <w:r>
                <w:rPr>
                  <w:rStyle w:val="InternetLink"/>
                  <w:rFonts w:ascii="Times New Roman;serif" w:hAnsi="Times New Roman;serif"/>
                  <w:b w:val="false"/>
                  <w:color w:val="0000FF"/>
                  <w:sz w:val="20"/>
                  <w:u w:val="single"/>
                </w:rPr>
                <w:t>8</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25">
              <w:r>
                <w:rPr>
                  <w:rStyle w:val="InternetLink"/>
                  <w:rFonts w:ascii="Times New Roman;serif" w:hAnsi="Times New Roman;serif"/>
                  <w:b w:val="false"/>
                  <w:color w:val="0000FF"/>
                  <w:sz w:val="20"/>
                  <w:u w:val="single"/>
                </w:rPr>
                <w:t>Condensed Consolidated Statements of Comprehensive Income – Three Months Ended March 31,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25">
              <w:r>
                <w:rPr>
                  <w:rStyle w:val="InternetLink"/>
                  <w:rFonts w:ascii="Times New Roman;serif" w:hAnsi="Times New Roman;serif"/>
                  <w:b w:val="false"/>
                  <w:color w:val="0000FF"/>
                  <w:sz w:val="20"/>
                  <w:u w:val="single"/>
                </w:rPr>
                <w:t>9</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28">
              <w:r>
                <w:rPr>
                  <w:rStyle w:val="InternetLink"/>
                  <w:rFonts w:ascii="Times New Roman;serif" w:hAnsi="Times New Roman;serif"/>
                  <w:b w:val="false"/>
                  <w:color w:val="000080"/>
                  <w:sz w:val="20"/>
                  <w:u w:val="single"/>
                </w:rPr>
                <w:t>Condensed Consolidated Statements of Shareholders’ Equity – Three</w:t>
              </w:r>
            </w:hyperlink>
            <w:hyperlink w:anchor="i1e02b45c17d94446af9859f47876435c_28">
              <w:r>
                <w:rPr>
                  <w:rStyle w:val="InternetLink"/>
                  <w:rFonts w:ascii="Times New Roman;serif" w:hAnsi="Times New Roman;serif"/>
                  <w:b w:val="false"/>
                  <w:color w:val="000080"/>
                  <w:sz w:val="20"/>
                  <w:u w:val="single"/>
                </w:rPr>
                <w:t xml:space="preserve"> Months Ended </w:t>
              </w:r>
            </w:hyperlink>
            <w:hyperlink w:anchor="i1e02b45c17d94446af9859f47876435c_28">
              <w:r>
                <w:rPr>
                  <w:rStyle w:val="InternetLink"/>
                  <w:rFonts w:ascii="Times New Roman;serif" w:hAnsi="Times New Roman;serif"/>
                  <w:b w:val="false"/>
                  <w:color w:val="000080"/>
                  <w:sz w:val="20"/>
                  <w:u w:val="single"/>
                </w:rPr>
                <w:t>March</w:t>
              </w:r>
            </w:hyperlink>
            <w:hyperlink w:anchor="i1e02b45c17d94446af9859f47876435c_28">
              <w:r>
                <w:rPr>
                  <w:rStyle w:val="InternetLink"/>
                  <w:rFonts w:ascii="Times New Roman;serif" w:hAnsi="Times New Roman;serif"/>
                  <w:b w:val="false"/>
                  <w:color w:val="000080"/>
                  <w:sz w:val="20"/>
                  <w:u w:val="single"/>
                </w:rPr>
                <w:t xml:space="preserve"> 3</w:t>
              </w:r>
            </w:hyperlink>
            <w:hyperlink w:anchor="i1e02b45c17d94446af9859f47876435c_28">
              <w:r>
                <w:rPr>
                  <w:rStyle w:val="InternetLink"/>
                  <w:rFonts w:ascii="Times New Roman;serif" w:hAnsi="Times New Roman;serif"/>
                  <w:b w:val="false"/>
                  <w:color w:val="000080"/>
                  <w:sz w:val="20"/>
                  <w:u w:val="single"/>
                </w:rPr>
                <w:t>1</w:t>
              </w:r>
            </w:hyperlink>
            <w:hyperlink w:anchor="i1e02b45c17d94446af9859f47876435c_28">
              <w:r>
                <w:rPr>
                  <w:rStyle w:val="InternetLink"/>
                  <w:rFonts w:ascii="Times New Roman;serif" w:hAnsi="Times New Roman;serif"/>
                  <w:b w:val="false"/>
                  <w:color w:val="000080"/>
                  <w:sz w:val="20"/>
                  <w:u w:val="single"/>
                </w:rPr>
                <w:t>, 202</w:t>
              </w:r>
            </w:hyperlink>
            <w:hyperlink w:anchor="i1e02b45c17d94446af9859f47876435c_28">
              <w:r>
                <w:rPr>
                  <w:rStyle w:val="InternetLink"/>
                  <w:rFonts w:ascii="Times New Roman;serif" w:hAnsi="Times New Roman;serif"/>
                  <w:b w:val="false"/>
                  <w:color w:val="000080"/>
                  <w:sz w:val="20"/>
                  <w:u w:val="single"/>
                </w:rPr>
                <w:t>6</w:t>
              </w:r>
            </w:hyperlink>
            <w:hyperlink w:anchor="i1e02b45c17d94446af9859f47876435c_28">
              <w:r>
                <w:rPr>
                  <w:rStyle w:val="InternetLink"/>
                  <w:rFonts w:ascii="Times New Roman;serif" w:hAnsi="Times New Roman;serif"/>
                  <w:b w:val="false"/>
                  <w:color w:val="000080"/>
                  <w:sz w:val="20"/>
                  <w:u w:val="single"/>
                </w:rPr>
                <w:t xml:space="preserve"> and 202</w:t>
              </w:r>
            </w:hyperlink>
            <w:hyperlink w:anchor="i1e02b45c17d94446af9859f47876435c_28">
              <w:r>
                <w:rPr>
                  <w:rStyle w:val="InternetLink"/>
                  <w:rFonts w:ascii="Times New Roman;serif" w:hAnsi="Times New Roman;serif"/>
                  <w:b w:val="false"/>
                  <w:color w:val="000080"/>
                  <w:sz w:val="20"/>
                  <w:u w:val="single"/>
                </w:rPr>
                <w:t>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28">
              <w:r>
                <w:rPr>
                  <w:rStyle w:val="InternetLink"/>
                  <w:rFonts w:ascii="Times New Roman;serif" w:hAnsi="Times New Roman;serif"/>
                  <w:b w:val="false"/>
                  <w:color w:val="0000FF"/>
                  <w:sz w:val="20"/>
                  <w:u w:val="single"/>
                </w:rPr>
                <w:t>10</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34">
              <w:r>
                <w:rPr>
                  <w:rStyle w:val="InternetLink"/>
                  <w:rFonts w:ascii="Times New Roman;serif" w:hAnsi="Times New Roman;serif"/>
                  <w:b w:val="false"/>
                  <w:color w:val="0000FF"/>
                  <w:sz w:val="20"/>
                  <w:u w:val="single"/>
                </w:rPr>
                <w:t>Condensed Consolidated Statements of Cash Flows – Three Months Ended March 31,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34">
              <w:r>
                <w:rPr>
                  <w:rStyle w:val="InternetLink"/>
                  <w:rFonts w:ascii="Times New Roman;serif" w:hAnsi="Times New Roman;serif"/>
                  <w:b w:val="false"/>
                  <w:color w:val="0000FF"/>
                  <w:sz w:val="20"/>
                  <w:u w:val="single"/>
                </w:rPr>
                <w:t>11</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37">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37">
              <w:r>
                <w:rPr>
                  <w:rStyle w:val="InternetLink"/>
                  <w:rFonts w:ascii="Times New Roman;serif" w:hAnsi="Times New Roman;serif"/>
                  <w:b w:val="false"/>
                  <w:color w:val="0000FF"/>
                  <w:sz w:val="20"/>
                  <w:u w:val="single"/>
                </w:rPr>
                <w:t>12</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06">
              <w:r>
                <w:rPr>
                  <w:rStyle w:val="InternetLink"/>
                  <w:rFonts w:ascii="Times New Roman;serif" w:hAnsi="Times New Roman;serif"/>
                  <w:b w:val="false"/>
                  <w:color w:val="0000FF"/>
                  <w:sz w:val="20"/>
                  <w:u w:val="single"/>
                </w:rPr>
                <w:t>26</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30">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30">
              <w:r>
                <w:rPr>
                  <w:rStyle w:val="InternetLink"/>
                  <w:rFonts w:ascii="Times New Roman;serif" w:hAnsi="Times New Roman;serif"/>
                  <w:b w:val="false"/>
                  <w:color w:val="0000FF"/>
                  <w:sz w:val="20"/>
                  <w:u w:val="single"/>
                </w:rPr>
                <w:t>43</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33">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33">
              <w:r>
                <w:rPr>
                  <w:rStyle w:val="InternetLink"/>
                  <w:rFonts w:ascii="Times New Roman;serif" w:hAnsi="Times New Roman;serif"/>
                  <w:b w:val="false"/>
                  <w:color w:val="0000FF"/>
                  <w:sz w:val="20"/>
                  <w:u w:val="single"/>
                </w:rPr>
                <w:t>43</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36">
              <w:r>
                <w:rPr>
                  <w:rStyle w:val="InternetLink"/>
                  <w:rFonts w:ascii="Times New Roman;serif" w:hAnsi="Times New Roman;serif"/>
                  <w:b/>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39">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39">
              <w:r>
                <w:rPr>
                  <w:rStyle w:val="InternetLink"/>
                  <w:rFonts w:ascii="Times New Roman;serif" w:hAnsi="Times New Roman;serif"/>
                  <w:b w:val="false"/>
                  <w:color w:val="0000FF"/>
                  <w:sz w:val="20"/>
                  <w:u w:val="single"/>
                </w:rPr>
                <w:t>44</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51">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51">
              <w:r>
                <w:rPr>
                  <w:rStyle w:val="InternetLink"/>
                  <w:rFonts w:ascii="Times New Roman;serif" w:hAnsi="Times New Roman;serif"/>
                  <w:b w:val="false"/>
                  <w:color w:val="0000FF"/>
                  <w:sz w:val="20"/>
                  <w:u w:val="single"/>
                </w:rPr>
                <w:t>44</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78">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78">
              <w:r>
                <w:rPr>
                  <w:rStyle w:val="InternetLink"/>
                  <w:rFonts w:ascii="Times New Roman;serif" w:hAnsi="Times New Roman;serif"/>
                  <w:b w:val="false"/>
                  <w:color w:val="0000FF"/>
                  <w:sz w:val="20"/>
                  <w:u w:val="single"/>
                </w:rPr>
                <w:t>44</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81">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81">
              <w:r>
                <w:rPr>
                  <w:rStyle w:val="InternetLink"/>
                  <w:rFonts w:ascii="Times New Roman;serif" w:hAnsi="Times New Roman;serif"/>
                  <w:b w:val="false"/>
                  <w:color w:val="0000FF"/>
                  <w:sz w:val="20"/>
                  <w:u w:val="single"/>
                </w:rPr>
                <w:t>44</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8058"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8058"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87">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87">
              <w:r>
                <w:rPr>
                  <w:rStyle w:val="InternetLink"/>
                  <w:rFonts w:ascii="Times New Roman;serif" w:hAnsi="Times New Roman;serif"/>
                  <w:b w:val="false"/>
                  <w:color w:val="0000FF"/>
                  <w:sz w:val="20"/>
                  <w:u w:val="single"/>
                </w:rPr>
                <w:t>45</w:t>
              </w:r>
            </w:hyperlink>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02b45c17d94446af9859f47876435c_190">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e02b45c17d94446af9859f47876435c_190">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Defined Terms and Products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Defined terms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several terms in this Form 10-Q, including but not limited to those that are finance, regulation and disease-state related as well as names of other companies, which are given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8"/>
        <w:gridCol w:w="521"/>
        <w:gridCol w:w="494"/>
        <w:gridCol w:w="2672"/>
        <w:gridCol w:w="2397"/>
        <w:gridCol w:w="3413"/>
      </w:tblGrid>
      <w:tr>
        <w:trPr/>
        <w:tc>
          <w:tcPr>
            <w:tcW w:w="70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exchangeable senior notes due 2026</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3.125% exchangeable senior notes due 2030</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generic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Alkermes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Alkermes plc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acute lymphoblastic leukemia</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Almaject Inc., Alvogen, Inc., and Alvogen PB Research and Development LLC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amended to include the Repricing Amendment No. 1, the Repricing Amendment No. 2 and Amendment No. 3</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amended to increase the Initial Revolving Credit Facility to $885.0 million and extend the maturity date</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3</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November 2024</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AML</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acute myeloid leukemia</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Amneal Pharmaceuticals LLC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NDA</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Ascent Pharmaceuticals, Inc.</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 Specialty Healthcare LLC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Avadel</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Avadel Pharmaceuticals plc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Axsome</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Axsome Therapeutics, Inc.</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License Application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BTC</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biliary tract cancers</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BTD</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Breakthrough Therapy designation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CBD</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cannabidiol</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Inc.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Chimerix Acquisition</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Chimerix on April 21, 2025</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ClpP</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mitochondrial caseinolytic protease P</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CNX Therapeutics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CNX Therapeutics Limited</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entered into on May 5, 2021, by and among us, Jazz Lux, and certain of our other subsidiaries, as borrowers, the lenders and issuing banks from time to time party thereto, Bank of America, N.A., as administrative agent and U.S. Bank Trust Company, National Association, as collateral trustee</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Drug Enforcement Administration</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Term Loan</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former seven-year $3.1 billion term loan B facility under the Credit Agreement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DRD2</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dopamine D2 receptor</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Dravet syndrome</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Commission</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EDS</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excessive daytime sleepiness</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ANDA Filers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Padagis US LLC; Apotex Inc.; API Pharma Tech LLC and InvaGen; Lupin Limited; Taro Pharmaceutical Industries Ltd.; Zenara Pharma Private Limited and Biophore Pharma, Inc.; MSN Laboratories Pvt. Ltd. and MSN Pharmaceuticals, Inc.; Alkem Laboratories Ltd.; and Ascent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2007 Employee Stock Purchase Plan</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Express Scripts Specialty Distribution Services, Inc.</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ET</w:t>
            </w:r>
          </w:p>
        </w:tc>
        <w:tc>
          <w:tcPr>
            <w:tcW w:w="8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tremor</w:t>
            </w:r>
          </w:p>
        </w:tc>
      </w:tr>
      <w:tr>
        <w:trPr/>
        <w:tc>
          <w:tcPr>
            <w:tcW w:w="1723" w:type="dxa"/>
            <w:gridSpan w:val="3"/>
            <w:tcBorders/>
            <w:vAlign w:val="center"/>
          </w:tcPr>
          <w:p>
            <w:pPr>
              <w:pStyle w:val="TableContents"/>
              <w:bidi w:val="0"/>
              <w:spacing w:before="0" w:after="283"/>
              <w:jc w:val="left"/>
              <w:rPr>
                <w:sz w:val="4"/>
                <w:szCs w:val="4"/>
              </w:rPr>
            </w:pPr>
            <w:r>
              <w:rPr>
                <w:sz w:val="4"/>
                <w:szCs w:val="4"/>
              </w:rPr>
            </w:r>
          </w:p>
        </w:tc>
        <w:tc>
          <w:tcPr>
            <w:tcW w:w="8482" w:type="dxa"/>
            <w:gridSpan w:val="3"/>
            <w:tcBorders/>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719"/>
        <w:gridCol w:w="632"/>
        <w:gridCol w:w="544"/>
        <w:gridCol w:w="2939"/>
        <w:gridCol w:w="2215"/>
        <w:gridCol w:w="3156"/>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now repaid seven-year €625.0 million term loan B facility under the Credit Agreement</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2026 Notes and 2030 Notes</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step-up expense</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acquisition accounting inventory fair value step-up expense</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Act</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Finance (No. 2) Act of 2023</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gram</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GEA</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gastroesophageal adenocarcinoma</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Granules</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Granules India Limited</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Pharmaceuticals plc</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 Acquisition</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acquisition of GW in May 2021</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HHS</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Health and Human Services</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Hikma Pharmaceuticals PLC</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IFNα</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interferon alpha</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IH</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idiopathic hypersomnia</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intramuscular</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NDA</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Revolving Credit Facility</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five-year $500.0 million revolving credit facility under the Credit Agreement entered into in May 2021</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InvaGen</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InvaGen Pharmaceuticals, Inc.</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Investments I Limited</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Lux</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Financing Lux S.à.r.l.</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KRAS</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Kirsten rat sarcoma virus</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LBL</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lymphoblastic lymphoma</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LGS</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Lennox-Gastaut syndrome</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Lupin Inc.</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MAPK</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mitogen-activated protein kinase</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MDS</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Myelodysplastic Syndrome</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MFN</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Most-Favored-Nation</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milligram</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MHRA</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Medicines and Healthcare products Regulatory Agency</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MWT</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Wakefulness Test</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Zoki</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Nippon Zoki Pharmaceutical Co., Ltd.</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Orphan Drug Exclusivity in the U.S.</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for Economic Co-operation and Development</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Orange Book</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FDA’s publication “Approved Drug Products with Therapeutic Equivalence Evaluations”</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Pharmaceutical, Inc.</w:t>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8310"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PBMs</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managers</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PharmaMar</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Mar, S.A.</w:t>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Pillar Two</w:t>
            </w:r>
          </w:p>
        </w:tc>
        <w:tc>
          <w:tcPr>
            <w:tcW w:w="8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OECD framework proposal to implement a two-pillar plan on global tax reform, including a global minimum tax rate of 15% for large multinational corporations on a jurisdiction-by-jurisdiction basis</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8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699"/>
        <w:gridCol w:w="488"/>
        <w:gridCol w:w="500"/>
        <w:gridCol w:w="2485"/>
        <w:gridCol w:w="2485"/>
        <w:gridCol w:w="3548"/>
      </w:tblGrid>
      <w:tr>
        <w:trPr/>
        <w:tc>
          <w:tcPr>
            <w:tcW w:w="69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8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PRV</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priority review voucher</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 ended March 31, 2026</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R/R</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relapsed/refractory</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Redx Pharma plc</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REMS</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evaluation and mitigation strategy</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No.1</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January 2024</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Repricing Amendment No.2</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Credit Agreement entered into by Jazz Lux in July 2024</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Program</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share repurchase program announced on July 31, 2024</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RK Pharma, Inc., Apicore US LLC, Archis Pharma LLC, Vgyaan Pharmaceuticals LLC</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RTOR</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Real-Time Oncology Review</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Saniona A/S</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BLA</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SCLC</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cell lung cancer</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issued $1.5 billion in aggregate principal amount of 4.375% senior secured notes, due 2029</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sNDA</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NDA</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Sumitomo</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Sumitomo Pharma Co., Ltd.</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T-DXd</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trastuzumab deruxtecan</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Takeda</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Takeda Pharmaceutical Company Limited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Pharmaceuticals, Inc.</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B-1 Dollar Term Loans</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No.1, the then outstanding Dollar Term Loan was refinanced into a new tranche of U.S. dollar term loans</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Tranche B-2 Dollar Term Loans</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upon entry into the Repricing Amendment No.2, the then outstanding Tranche B-1 Dollar Term Loans were refinanced into a new tranche of U.S. dollar term loans</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 Pharma</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Tris Pharma, Inc.</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TSC</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tuberous sclerosis complex</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USAO</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Attorney's Office</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USPTO</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Patent and Trademark Office</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Werewolf Therapeutics, Inc.</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8518"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ANDA Filers</w:t>
            </w:r>
          </w:p>
        </w:tc>
        <w:tc>
          <w:tcPr>
            <w:tcW w:w="8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Sandoz Inc., InvaGen, CIPLA USA, Inc., CIPLA (EU) Limited, CIPLA Limited, Zydus Lifesciences Global FZE, Zydus Pharmaceuticals (USA) Inc., Zydus Lifesciences Limited, RK Pharma, MSN Pharmaceuticals Inc., and MSN Laboratories PVT. LTD.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w:t>
            </w:r>
          </w:p>
        </w:tc>
        <w:tc>
          <w:tcPr>
            <w:tcW w:w="8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Zymeworks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brand names of our products, our delivery devices and certain of our product candidates and their associated generic names are given below.</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374"/>
        <w:gridCol w:w="329"/>
        <w:gridCol w:w="333"/>
        <w:gridCol w:w="2699"/>
        <w:gridCol w:w="2667"/>
        <w:gridCol w:w="3803"/>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9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 (delivery technology platform)</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Defitelio® (defibrotide sodium), Defitelio® (defibrotide)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 oral solution, Epidyolex® (the trade name in Europe and other countries outside the U.S. for Epidiolex)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Modeyso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(dordaviprone)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(recombinant)-rywn), Enrylaze® (the trade name in Europe and other countries outside the U.S. and Canada for Rylaze)</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Sativex*</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Sativex® (nabiximols) oral solution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 (daunorubicin and cytarabine) liposome for injection, Vyxeos® liposomal 44 mg/100 mg powder for concentrate for solution for infusion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 (sodium oxybate) oral solution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 oral solution</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9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9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31, 2025, we completed the sale of Sativex to CNX Therapeutics.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own or have rights to various copyrights, trademarks, and trade names used in our business in the U.S. and/or other countries, including the following: Jazz Pharmaceuticals</w:t>
      </w:r>
      <w:r>
        <w:rPr>
          <w:rFonts w:ascii="Times New Roman;serif" w:hAnsi="Times New Roman;serif"/>
          <w:b w:val="false"/>
          <w:color w:val="000000"/>
          <w:sz w:val="13"/>
        </w:rPr>
        <w:t>®</w:t>
      </w:r>
      <w:r>
        <w:rPr>
          <w:rFonts w:ascii="Times New Roman;serif" w:hAnsi="Times New Roman;serif"/>
          <w:b w:val="false"/>
          <w:color w:val="000000"/>
          <w:sz w:val="20"/>
        </w:rPr>
        <w:t>, Xywav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(calcium, magnesium, potassium, and sodium oxybates) oral solution, Xyrem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(sodium oxybate) oral solution, Epidiolex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(cannabidiol) oral solution, Epidyolex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for Epidiolex), Ziihera® (zanidatamab-hrii), Modeyso</w:t>
      </w:r>
      <w:r>
        <w:rPr>
          <w:rFonts w:ascii="Times New Roman;serif" w:hAnsi="Times New Roman;serif"/>
          <w:b w:val="false"/>
          <w:color w:val="000000"/>
          <w:sz w:val="13"/>
        </w:rPr>
        <w:t xml:space="preserve">TM </w:t>
      </w:r>
      <w:r>
        <w:rPr>
          <w:rFonts w:ascii="Times New Roman;serif" w:hAnsi="Times New Roman;serif"/>
          <w:b w:val="false"/>
          <w:color w:val="000000"/>
          <w:sz w:val="20"/>
        </w:rPr>
        <w:t>(dordaviprone), Zepzelca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(lurbinectedin), 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(asparaginase erwinia chrysanthemi (recombinant)-rywn), Enrylaze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trade name in Europe and other countries outside the U.S. and Canada for Rylaze),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sodium), Defitelio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(defibrotide), Vyxeos</w:t>
      </w:r>
      <w:r>
        <w:rPr>
          <w:rFonts w:ascii="Times New Roman;serif" w:hAnsi="Times New Roman;serif"/>
          <w:b w:val="false"/>
          <w:color w:val="000000"/>
          <w:sz w:val="13"/>
        </w:rPr>
        <w:t xml:space="preserve">® </w:t>
      </w:r>
      <w:r>
        <w:rPr>
          <w:rFonts w:ascii="Times New Roman;serif" w:hAnsi="Times New Roman;serif"/>
          <w:b w:val="false"/>
          <w:color w:val="000000"/>
          <w:sz w:val="20"/>
        </w:rPr>
        <w:t>(daunorubicin and cytarabine) liposome for injection, Vyxeos</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(liposomal 44 mg/100 mg powder for concentrate for solution for infusion), and CombiPlex</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also includes trademarks, service marks and trade names of other companies. Trademarks, service marks and trade names appearing in this Quarterly Report on Form 10</w:t>
        <w:noBreakHyphen/>
        <w:t>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058" w:type="dxa"/>
        <w:jc w:val="center"/>
        <w:tblInd w:w="0" w:type="dxa"/>
        <w:tblLayout w:type="fixed"/>
        <w:tblCellMar>
          <w:top w:w="28" w:type="dxa"/>
          <w:left w:w="28" w:type="dxa"/>
          <w:bottom w:w="28" w:type="dxa"/>
          <w:right w:w="28" w:type="dxa"/>
        </w:tblCellMar>
      </w:tblPr>
      <w:tblGrid>
        <w:gridCol w:w="1556"/>
        <w:gridCol w:w="1372"/>
        <w:gridCol w:w="1376"/>
        <w:gridCol w:w="211"/>
        <w:gridCol w:w="871"/>
        <w:gridCol w:w="109"/>
        <w:gridCol w:w="109"/>
        <w:gridCol w:w="109"/>
        <w:gridCol w:w="109"/>
        <w:gridCol w:w="211"/>
        <w:gridCol w:w="871"/>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Non-voting euro deferred shares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redemption reserve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9970" w:type="dxa"/>
        <w:jc w:val="left"/>
        <w:tblInd w:w="0" w:type="dxa"/>
        <w:tblLayout w:type="fixed"/>
        <w:tblCellMar>
          <w:top w:w="28" w:type="dxa"/>
          <w:left w:w="28" w:type="dxa"/>
          <w:bottom w:w="28" w:type="dxa"/>
          <w:right w:w="28" w:type="dxa"/>
        </w:tblCellMar>
      </w:tblPr>
      <w:tblGrid>
        <w:gridCol w:w="2479"/>
        <w:gridCol w:w="2174"/>
        <w:gridCol w:w="2187"/>
        <w:gridCol w:w="109"/>
        <w:gridCol w:w="109"/>
        <w:gridCol w:w="134"/>
        <w:gridCol w:w="134"/>
        <w:gridCol w:w="259"/>
        <w:gridCol w:w="943"/>
        <w:gridCol w:w="134"/>
        <w:gridCol w:w="109"/>
        <w:gridCol w:w="109"/>
        <w:gridCol w:w="109"/>
        <w:gridCol w:w="211"/>
        <w:gridCol w:w="616"/>
        <w:gridCol w:w="154"/>
      </w:tblGrid>
      <w:tr>
        <w:trPr/>
        <w:tc>
          <w:tcPr>
            <w:tcW w:w="247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priority review voucher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 (benefit) and equity in loss of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13"/>
        <w:gridCol w:w="2380"/>
        <w:gridCol w:w="2298"/>
        <w:gridCol w:w="109"/>
        <w:gridCol w:w="109"/>
        <w:gridCol w:w="127"/>
        <w:gridCol w:w="127"/>
        <w:gridCol w:w="246"/>
        <w:gridCol w:w="721"/>
        <w:gridCol w:w="127"/>
        <w:gridCol w:w="109"/>
        <w:gridCol w:w="109"/>
        <w:gridCol w:w="109"/>
        <w:gridCol w:w="211"/>
        <w:gridCol w:w="552"/>
        <w:gridCol w:w="158"/>
      </w:tblGrid>
      <w:tr>
        <w:trPr/>
        <w:tc>
          <w:tcPr>
            <w:tcW w:w="271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48" w:type="dxa"/>
            <w:gridSpan w:val="6"/>
            <w:tcBorders/>
          </w:tcPr>
          <w:p>
            <w:pPr>
              <w:pStyle w:val="TableContents"/>
              <w:bidi w:val="0"/>
              <w:spacing w:before="0" w:after="283"/>
              <w:jc w:val="left"/>
              <w:rPr>
                <w:sz w:val="4"/>
                <w:szCs w:val="4"/>
              </w:rPr>
            </w:pPr>
            <w:r>
              <w:rPr>
                <w:sz w:val="4"/>
                <w:szCs w:val="4"/>
              </w:rPr>
            </w:r>
          </w:p>
        </w:tc>
      </w:tr>
      <w:tr>
        <w:trPr/>
        <w:tc>
          <w:tcPr>
            <w:tcW w:w="7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cash flow hedging activities, net of income tax (benefit) expense of $— and $(0.1)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cash flow hedging activities reclassified from accumulated other comprehensive loss to interest expense, net of income tax (benefit) expense of $(0.1) and $0.1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73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136" w:type="dxa"/>
        <w:jc w:val="center"/>
        <w:tblInd w:w="0" w:type="dxa"/>
        <w:tblLayout w:type="fixed"/>
        <w:tblCellMar>
          <w:top w:w="28" w:type="dxa"/>
          <w:left w:w="28" w:type="dxa"/>
          <w:bottom w:w="28" w:type="dxa"/>
          <w:right w:w="28" w:type="dxa"/>
        </w:tblCellMar>
      </w:tblPr>
      <w:tblGrid>
        <w:gridCol w:w="747"/>
        <w:gridCol w:w="354"/>
        <w:gridCol w:w="355"/>
        <w:gridCol w:w="233"/>
        <w:gridCol w:w="233"/>
        <w:gridCol w:w="196"/>
        <w:gridCol w:w="109"/>
        <w:gridCol w:w="109"/>
        <w:gridCol w:w="109"/>
        <w:gridCol w:w="196"/>
        <w:gridCol w:w="406"/>
        <w:gridCol w:w="109"/>
        <w:gridCol w:w="109"/>
        <w:gridCol w:w="109"/>
        <w:gridCol w:w="109"/>
        <w:gridCol w:w="203"/>
        <w:gridCol w:w="203"/>
        <w:gridCol w:w="196"/>
        <w:gridCol w:w="109"/>
        <w:gridCol w:w="109"/>
        <w:gridCol w:w="109"/>
        <w:gridCol w:w="206"/>
        <w:gridCol w:w="376"/>
        <w:gridCol w:w="109"/>
        <w:gridCol w:w="109"/>
        <w:gridCol w:w="109"/>
        <w:gridCol w:w="109"/>
        <w:gridCol w:w="280"/>
        <w:gridCol w:w="538"/>
        <w:gridCol w:w="158"/>
        <w:gridCol w:w="109"/>
        <w:gridCol w:w="109"/>
        <w:gridCol w:w="109"/>
        <w:gridCol w:w="196"/>
        <w:gridCol w:w="691"/>
        <w:gridCol w:w="109"/>
        <w:gridCol w:w="109"/>
        <w:gridCol w:w="109"/>
        <w:gridCol w:w="109"/>
        <w:gridCol w:w="272"/>
        <w:gridCol w:w="792"/>
        <w:gridCol w:w="152"/>
        <w:gridCol w:w="109"/>
        <w:gridCol w:w="109"/>
        <w:gridCol w:w="109"/>
        <w:gridCol w:w="196"/>
        <w:gridCol w:w="556"/>
        <w:gridCol w:w="109"/>
        <w:gridCol w:w="109"/>
        <w:gridCol w:w="109"/>
        <w:gridCol w:w="109"/>
        <w:gridCol w:w="109"/>
        <w:gridCol w:w="109"/>
        <w:gridCol w:w="109"/>
        <w:gridCol w:w="109"/>
        <w:gridCol w:w="109"/>
        <w:gridCol w:w="109"/>
        <w:gridCol w:w="109"/>
        <w:gridCol w:w="109"/>
        <w:gridCol w:w="109"/>
        <w:gridCol w:w="109"/>
        <w:gridCol w:w="109"/>
        <w:gridCol w:w="109"/>
        <w:gridCol w:w="196"/>
        <w:gridCol w:w="69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271" w:type="dxa"/>
        <w:jc w:val="center"/>
        <w:tblInd w:w="0" w:type="dxa"/>
        <w:tblLayout w:type="fixed"/>
        <w:tblCellMar>
          <w:top w:w="28" w:type="dxa"/>
          <w:left w:w="28" w:type="dxa"/>
          <w:bottom w:w="28" w:type="dxa"/>
          <w:right w:w="28" w:type="dxa"/>
        </w:tblCellMar>
      </w:tblPr>
      <w:tblGrid>
        <w:gridCol w:w="747"/>
        <w:gridCol w:w="354"/>
        <w:gridCol w:w="355"/>
        <w:gridCol w:w="233"/>
        <w:gridCol w:w="233"/>
        <w:gridCol w:w="196"/>
        <w:gridCol w:w="109"/>
        <w:gridCol w:w="109"/>
        <w:gridCol w:w="109"/>
        <w:gridCol w:w="196"/>
        <w:gridCol w:w="406"/>
        <w:gridCol w:w="109"/>
        <w:gridCol w:w="109"/>
        <w:gridCol w:w="109"/>
        <w:gridCol w:w="109"/>
        <w:gridCol w:w="203"/>
        <w:gridCol w:w="203"/>
        <w:gridCol w:w="196"/>
        <w:gridCol w:w="109"/>
        <w:gridCol w:w="109"/>
        <w:gridCol w:w="109"/>
        <w:gridCol w:w="206"/>
        <w:gridCol w:w="376"/>
        <w:gridCol w:w="109"/>
        <w:gridCol w:w="109"/>
        <w:gridCol w:w="109"/>
        <w:gridCol w:w="109"/>
        <w:gridCol w:w="280"/>
        <w:gridCol w:w="538"/>
        <w:gridCol w:w="158"/>
        <w:gridCol w:w="109"/>
        <w:gridCol w:w="109"/>
        <w:gridCol w:w="109"/>
        <w:gridCol w:w="196"/>
        <w:gridCol w:w="691"/>
        <w:gridCol w:w="109"/>
        <w:gridCol w:w="109"/>
        <w:gridCol w:w="109"/>
        <w:gridCol w:w="109"/>
        <w:gridCol w:w="272"/>
        <w:gridCol w:w="792"/>
        <w:gridCol w:w="152"/>
        <w:gridCol w:w="109"/>
        <w:gridCol w:w="109"/>
        <w:gridCol w:w="109"/>
        <w:gridCol w:w="196"/>
        <w:gridCol w:w="691"/>
        <w:gridCol w:w="109"/>
        <w:gridCol w:w="109"/>
        <w:gridCol w:w="109"/>
        <w:gridCol w:w="109"/>
        <w:gridCol w:w="109"/>
        <w:gridCol w:w="109"/>
        <w:gridCol w:w="109"/>
        <w:gridCol w:w="109"/>
        <w:gridCol w:w="109"/>
        <w:gridCol w:w="109"/>
        <w:gridCol w:w="109"/>
        <w:gridCol w:w="109"/>
        <w:gridCol w:w="109"/>
        <w:gridCol w:w="109"/>
        <w:gridCol w:w="109"/>
        <w:gridCol w:w="109"/>
        <w:gridCol w:w="196"/>
        <w:gridCol w:w="691"/>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Non-voting Euro 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br/>
              <w:t>Redemption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Equity</w:t>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exercise of share options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restricted stock units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conjunction with vesting of performance-based restricted stock units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payment of employees' withholding tax liability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shd w:fill="FFFFFF" w:val="clear"/>
        </w:rPr>
        <w:t>JAZZ</w:t>
      </w:r>
      <w:r>
        <w:rPr>
          <w:color w:val="000000"/>
        </w:rPr>
        <w:t xml:space="preserve"> </w:t>
      </w:r>
      <w:r>
        <w:rPr>
          <w:rFonts w:ascii="Times New Roman;serif" w:hAnsi="Times New Roman;serif"/>
          <w:b/>
          <w:color w:val="000000"/>
          <w:sz w:val="20"/>
        </w:rPr>
        <w:t>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9744" w:type="dxa"/>
        <w:jc w:val="left"/>
        <w:tblInd w:w="0" w:type="dxa"/>
        <w:tblLayout w:type="fixed"/>
        <w:tblCellMar>
          <w:top w:w="28" w:type="dxa"/>
          <w:left w:w="28" w:type="dxa"/>
          <w:bottom w:w="28" w:type="dxa"/>
          <w:right w:w="28" w:type="dxa"/>
        </w:tblCellMar>
      </w:tblPr>
      <w:tblGrid>
        <w:gridCol w:w="2608"/>
        <w:gridCol w:w="2288"/>
        <w:gridCol w:w="2304"/>
        <w:gridCol w:w="211"/>
        <w:gridCol w:w="766"/>
        <w:gridCol w:w="109"/>
        <w:gridCol w:w="109"/>
        <w:gridCol w:w="109"/>
        <w:gridCol w:w="109"/>
        <w:gridCol w:w="211"/>
        <w:gridCol w:w="766"/>
        <w:gridCol w:w="154"/>
      </w:tblGrid>
      <w:tr>
        <w:trPr/>
        <w:tc>
          <w:tcPr>
            <w:tcW w:w="260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(loss)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accounting inventory fair value step-up adjustment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losses on accounts receivable and inventory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sale of priority review voucher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transactions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 of priority review voucher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sale of priority review voucher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investing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employee withholding taxes related to share-based awards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long-term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employee equity incentive and purchase plans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and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JAZZ PHARMACEUTICALS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unless otherwise indicated or the context otherwise requires, all references to “Jazz Pharmaceuticals plc,” “the registrant,” “the Company,” “we,” “us,” and “our” refer to Jazz Pharmaceuticals plc and its consolidated subsidiaries. Throughout this Quarterly Report on Form 10-Q, all references to “ordinary shares” refer to Jazz Pharmaceuticals plc’s ordinary shares.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following the requirements of the SEC for interim reporting. As permitted under those rules, certain footnotes and other financial information that are normally required by U.S. GAAP can be condensed or omitted. The information included in this Quarterly Report on Form 10</w:t>
        <w:noBreakHyphen/>
        <w:t>Q should be read in conjunction with our annual audited consolidated financial statements and accompanying notes included in our Annual Report on Form 10</w:t>
        <w:noBreakHyphen/>
        <w:t xml:space="preserve">K for the year ended December 31,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these condensed consolidated financial statements have been prepared on the same basis as the annual audited consolidated financial statements and include all adjustments, consisting only of normal recurring adjustments, considered necessary for the fair presentation of our financial position and operating results. The results for the three months ended March 31, 2026, are not necessarily indicative of the results to be expected for the year ending December 31, 2026, for any other interim period or for any future period.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have not changed substantially from those previously described in our Annual Report on Form 10</w:t>
        <w:noBreakHyphen/>
        <w:t xml:space="preserve">K for the year ended December 31,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include the accounts of Jazz Pharmaceuticals plc and our subsidiaries. Intercompany transactions and balances have been eliminated.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Commencing in 2026, we changed the presentation of our financial statements and accompanying footnote disclosures from thousands to millions. This change did not materially impact previously reported financial information; however, certain prior period amounts have insignificant differences due to rounding.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segment performance and decides how to allocate resources for the segment based on net income (loss) and a measure of segment assets which are on the condensed consolidated statements of income (loss) and condensed consolidated balance sheet.</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ASU 2024-04 was effective for the Company from January 1, 2026 and is effective on a prospective basis. The adoption did not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The standard is effective for annual periods beginning after December 15, 2027 and interim periods within those annual periods. We are currently evaluating the impact of adopting this new accounting guidance.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Disposition</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Gain on sale of PRV</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January 2026, we completed the sale of our rare pediatric disease PRV for total cash consideration of $200.0 million. We received 50% of the post-tax proceeds with the remainder paid to the former stockholders of Oncoceutics, Inc., which was acquired by Chimerix in 2021. We received the PRV in connection with the approval of Modeyso by FDA for the treatment of adult and pediatric patients 1 year of age and older with diffuse midline glioma harboring an H3 K27M mutation in August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Upon closing, we recognized a pre-tax gain on disposal of $122.8 million in our consolidated statements of income (loss) in the three months ended March 31, 2026, representing the total cash consideration received of $200.0 million, less the post-tax proceeds paid to the former stockholders of Oncoceutics, Inc.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Cash and Available-for-Sale Securities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Cash, cash equivalents and investments consisted of the following (in millions):</w:t>
      </w:r>
      <w:r>
        <w:rPr>
          <w:color w:val="000000"/>
        </w:rPr>
        <w:t> </w:t>
      </w:r>
    </w:p>
    <w:tbl>
      <w:tblPr>
        <w:tblW w:w="9595" w:type="dxa"/>
        <w:jc w:val="left"/>
        <w:tblInd w:w="0" w:type="dxa"/>
        <w:tblLayout w:type="fixed"/>
        <w:tblCellMar>
          <w:top w:w="28" w:type="dxa"/>
          <w:left w:w="28" w:type="dxa"/>
          <w:bottom w:w="28" w:type="dxa"/>
          <w:right w:w="28" w:type="dxa"/>
        </w:tblCellMar>
      </w:tblPr>
      <w:tblGrid>
        <w:gridCol w:w="648"/>
        <w:gridCol w:w="570"/>
        <w:gridCol w:w="581"/>
        <w:gridCol w:w="211"/>
        <w:gridCol w:w="766"/>
        <w:gridCol w:w="109"/>
        <w:gridCol w:w="109"/>
        <w:gridCol w:w="109"/>
        <w:gridCol w:w="109"/>
        <w:gridCol w:w="257"/>
        <w:gridCol w:w="495"/>
        <w:gridCol w:w="134"/>
        <w:gridCol w:w="109"/>
        <w:gridCol w:w="109"/>
        <w:gridCol w:w="109"/>
        <w:gridCol w:w="257"/>
        <w:gridCol w:w="495"/>
        <w:gridCol w:w="13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5" w:type="dxa"/>
        <w:jc w:val="left"/>
        <w:tblInd w:w="0" w:type="dxa"/>
        <w:tblLayout w:type="fixed"/>
        <w:tblCellMar>
          <w:top w:w="28" w:type="dxa"/>
          <w:left w:w="28" w:type="dxa"/>
          <w:bottom w:w="28" w:type="dxa"/>
          <w:right w:w="28" w:type="dxa"/>
        </w:tblCellMar>
      </w:tblPr>
      <w:tblGrid>
        <w:gridCol w:w="648"/>
        <w:gridCol w:w="570"/>
        <w:gridCol w:w="581"/>
        <w:gridCol w:w="211"/>
        <w:gridCol w:w="766"/>
        <w:gridCol w:w="109"/>
        <w:gridCol w:w="109"/>
        <w:gridCol w:w="109"/>
        <w:gridCol w:w="109"/>
        <w:gridCol w:w="257"/>
        <w:gridCol w:w="495"/>
        <w:gridCol w:w="134"/>
        <w:gridCol w:w="109"/>
        <w:gridCol w:w="109"/>
        <w:gridCol w:w="109"/>
        <w:gridCol w:w="257"/>
        <w:gridCol w:w="495"/>
        <w:gridCol w:w="134"/>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and </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w:t>
      </w:r>
      <w:r>
        <w:rPr>
          <w:rFonts w:ascii="Times New Roman;serif" w:hAnsi="Times New Roman;serif"/>
          <w:b w:val="false"/>
          <w:color w:val="000000"/>
          <w:sz w:val="20"/>
          <w:shd w:fill="FFFFFF" w:val="clear"/>
        </w:rPr>
        <w:t xml:space="preserve">Interest income from available-for-sale securities was </w:t>
      </w:r>
      <w:r>
        <w:rPr>
          <w:rFonts w:ascii="Times New Roman;serif" w:hAnsi="Times New Roman;serif"/>
          <w:b w:val="false"/>
          <w:color w:val="000000"/>
          <w:sz w:val="20"/>
        </w:rPr>
        <w:t>$23.4 million and $27.6 million</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summarizes, by major security type, our available-for-sale securities and derivative contracts as of March 31, 2026 and December 31, 2025, that were measured at fair value on a recurring basis and were categorized using the fair value hierarchy (in millions):</w:t>
      </w:r>
      <w:r>
        <w:rPr>
          <w:color w:val="000000"/>
        </w:rPr>
        <w:t> </w:t>
      </w:r>
    </w:p>
    <w:tbl>
      <w:tblPr>
        <w:tblW w:w="10205" w:type="dxa"/>
        <w:jc w:val="left"/>
        <w:tblInd w:w="0" w:type="dxa"/>
        <w:tblLayout w:type="fixed"/>
        <w:tblCellMar>
          <w:top w:w="28" w:type="dxa"/>
          <w:left w:w="28" w:type="dxa"/>
          <w:bottom w:w="28" w:type="dxa"/>
          <w:right w:w="28" w:type="dxa"/>
        </w:tblCellMar>
      </w:tblPr>
      <w:tblGrid>
        <w:gridCol w:w="607"/>
        <w:gridCol w:w="536"/>
        <w:gridCol w:w="539"/>
        <w:gridCol w:w="211"/>
        <w:gridCol w:w="766"/>
        <w:gridCol w:w="109"/>
        <w:gridCol w:w="109"/>
        <w:gridCol w:w="109"/>
        <w:gridCol w:w="109"/>
        <w:gridCol w:w="211"/>
        <w:gridCol w:w="766"/>
        <w:gridCol w:w="109"/>
        <w:gridCol w:w="109"/>
        <w:gridCol w:w="109"/>
        <w:gridCol w:w="109"/>
        <w:gridCol w:w="109"/>
        <w:gridCol w:w="109"/>
        <w:gridCol w:w="211"/>
        <w:gridCol w:w="766"/>
        <w:gridCol w:w="109"/>
        <w:gridCol w:w="109"/>
        <w:gridCol w:w="109"/>
        <w:gridCol w:w="109"/>
        <w:gridCol w:w="220"/>
        <w:gridCol w:w="642"/>
        <w:gridCol w:w="114"/>
        <w:gridCol w:w="109"/>
        <w:gridCol w:w="109"/>
        <w:gridCol w:w="109"/>
        <w:gridCol w:w="211"/>
        <w:gridCol w:w="766"/>
        <w:gridCol w:w="109"/>
        <w:gridCol w:w="109"/>
        <w:gridCol w:w="109"/>
        <w:gridCol w:w="109"/>
        <w:gridCol w:w="109"/>
        <w:gridCol w:w="109"/>
        <w:gridCol w:w="211"/>
        <w:gridCol w:w="766"/>
        <w:gridCol w:w="155"/>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77" w:type="dxa"/>
            <w:gridSpan w:val="8"/>
            <w:tcBorders/>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Prices in</w:t>
              <w:br/>
              <w:t>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Estimated</w:t>
              <w:br/>
              <w:t>Fair Value</w:t>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the different levels of the fair value hierarchy in 2026 or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the estimated fair values of the 2026 Notes, the 2030 Notes, the Secured Notes and the Tranche B-2 Dollar Term Loans were $1.2 billion, $1.4 billion, $1.4 billion and $1.9 billion, respectively. As of December 31, 2025, the estimated fair values of the 2026 Notes, the 2030 Notes, the Secured Notes and the Tranche B-2 Dollar Term Loans were $1.2 billion, $1.3 billion, $1.5 billion and $1.9 billion, respectively. The fair value of each of these debt facilities was estimated using quoted market prices obtained from brokers (Level 2).</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Derivative Instruments and Hedging Activities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w:t>
      </w:r>
      <w:r>
        <w:rPr>
          <w:rFonts w:ascii="Times New Roman;serif" w:hAnsi="Times New Roman;serif"/>
          <w:b w:val="false"/>
          <w:color w:val="000000"/>
          <w:sz w:val="20"/>
          <w:shd w:fill="FFFFFF" w:val="clear"/>
        </w:rPr>
        <w:t xml:space="preserve">As of March 31,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December 31, 2025, the notional amount of foreign exchange contracts where hedge accounting is not applied was $398.0 million</w:t>
      </w:r>
      <w:r>
        <w:rPr>
          <w:color w:val="000000"/>
        </w:rPr>
        <w:t xml:space="preserve"> </w:t>
      </w:r>
      <w:r>
        <w:rPr>
          <w:rFonts w:ascii="Times New Roman;serif" w:hAnsi="Times New Roman;serif"/>
          <w:b w:val="false"/>
          <w:color w:val="000000"/>
          <w:sz w:val="20"/>
        </w:rPr>
        <w:t>and $575.9 million,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foreign exchange gain (loss) in our condensed consolidated statements of income (loss) included the following gains (losses) associated with foreign exchange contracts not designated as hedging instruments (in millions):</w:t>
      </w:r>
    </w:p>
    <w:tbl>
      <w:tblPr>
        <w:tblW w:w="7404" w:type="dxa"/>
        <w:jc w:val="left"/>
        <w:tblInd w:w="0" w:type="dxa"/>
        <w:tblLayout w:type="fixed"/>
        <w:tblCellMar>
          <w:top w:w="28" w:type="dxa"/>
          <w:left w:w="28" w:type="dxa"/>
          <w:bottom w:w="28" w:type="dxa"/>
          <w:right w:w="28" w:type="dxa"/>
        </w:tblCellMar>
      </w:tblPr>
      <w:tblGrid>
        <w:gridCol w:w="1621"/>
        <w:gridCol w:w="1429"/>
        <w:gridCol w:w="1435"/>
        <w:gridCol w:w="109"/>
        <w:gridCol w:w="109"/>
        <w:gridCol w:w="171"/>
        <w:gridCol w:w="171"/>
        <w:gridCol w:w="332"/>
        <w:gridCol w:w="758"/>
        <w:gridCol w:w="171"/>
        <w:gridCol w:w="109"/>
        <w:gridCol w:w="109"/>
        <w:gridCol w:w="109"/>
        <w:gridCol w:w="211"/>
        <w:gridCol w:w="406"/>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Foreign Exchange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To achieve a desired mix of floating and fixed interest rates on our variable rate debt, we entered into interest rate swap agreements in April 2023, which are effective until April 2026. These agreements hedge contractual term loan interest rates.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the interest rate swap agreements had a notional amount of $500.0 million. As a result of these agreements, the interest rate on a portion of our term loan borrowings is fixed at 3.9086%, plus the borrowing spread, until April 30,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impact on accumulated other comprehensive loss and earnings from derivative instruments that qualified as cash flow hedges for the three months ended March 31, 2026 and 2025 was not material.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cash flow effects of our derivative contracts for the three months ended March 31, 2026 and 2025 are included within net cash provided by operating activities in the condensed consolidated statements of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fair value of outstanding derivatives (in millions):</w:t>
      </w:r>
    </w:p>
    <w:tbl>
      <w:tblPr>
        <w:tblW w:w="8273" w:type="dxa"/>
        <w:jc w:val="left"/>
        <w:tblInd w:w="0" w:type="dxa"/>
        <w:tblLayout w:type="fixed"/>
        <w:tblCellMar>
          <w:top w:w="28" w:type="dxa"/>
          <w:left w:w="28" w:type="dxa"/>
          <w:bottom w:w="28" w:type="dxa"/>
          <w:right w:w="28" w:type="dxa"/>
        </w:tblCellMar>
      </w:tblPr>
      <w:tblGrid>
        <w:gridCol w:w="1544"/>
        <w:gridCol w:w="1359"/>
        <w:gridCol w:w="1371"/>
        <w:gridCol w:w="559"/>
        <w:gridCol w:w="559"/>
        <w:gridCol w:w="561"/>
        <w:gridCol w:w="248"/>
        <w:gridCol w:w="478"/>
        <w:gridCol w:w="128"/>
        <w:gridCol w:w="109"/>
        <w:gridCol w:w="109"/>
        <w:gridCol w:w="109"/>
        <w:gridCol w:w="311"/>
        <w:gridCol w:w="599"/>
        <w:gridCol w:w="229"/>
      </w:tblGrid>
      <w:tr>
        <w:trPr/>
        <w:tc>
          <w:tcPr>
            <w:tcW w:w="154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asset instruments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 liability instruments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These provisions were not applicable as of March 31, 2026 since all derivatives were in a liability position. The following table summarizes the potential effect on our condensed consolidated balance sheets of offsetting our interest rate and foreign exchange forward contracts subject to such provisions as of December 31, 2025 (in millions):</w:t>
      </w:r>
    </w:p>
    <w:tbl>
      <w:tblPr>
        <w:tblW w:w="10205" w:type="dxa"/>
        <w:jc w:val="left"/>
        <w:tblInd w:w="0" w:type="dxa"/>
        <w:tblLayout w:type="fixed"/>
        <w:tblCellMar>
          <w:top w:w="28" w:type="dxa"/>
          <w:left w:w="28" w:type="dxa"/>
          <w:bottom w:w="28" w:type="dxa"/>
          <w:right w:w="28" w:type="dxa"/>
        </w:tblCellMar>
      </w:tblPr>
      <w:tblGrid>
        <w:gridCol w:w="390"/>
        <w:gridCol w:w="343"/>
        <w:gridCol w:w="348"/>
        <w:gridCol w:w="368"/>
        <w:gridCol w:w="708"/>
        <w:gridCol w:w="192"/>
        <w:gridCol w:w="109"/>
        <w:gridCol w:w="109"/>
        <w:gridCol w:w="109"/>
        <w:gridCol w:w="422"/>
        <w:gridCol w:w="813"/>
        <w:gridCol w:w="220"/>
        <w:gridCol w:w="109"/>
        <w:gridCol w:w="109"/>
        <w:gridCol w:w="109"/>
        <w:gridCol w:w="480"/>
        <w:gridCol w:w="925"/>
        <w:gridCol w:w="250"/>
        <w:gridCol w:w="109"/>
        <w:gridCol w:w="109"/>
        <w:gridCol w:w="109"/>
        <w:gridCol w:w="368"/>
        <w:gridCol w:w="650"/>
        <w:gridCol w:w="138"/>
        <w:gridCol w:w="116"/>
        <w:gridCol w:w="116"/>
        <w:gridCol w:w="116"/>
        <w:gridCol w:w="383"/>
        <w:gridCol w:w="546"/>
        <w:gridCol w:w="146"/>
        <w:gridCol w:w="116"/>
        <w:gridCol w:w="116"/>
        <w:gridCol w:w="116"/>
        <w:gridCol w:w="225"/>
        <w:gridCol w:w="434"/>
        <w:gridCol w:w="17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Liabilities Presented in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Consolidated Balance Sheet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12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Financial Instruments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Collateral Received (Pledged)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Inventories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Inventories consisted of the following (in millions):</w:t>
      </w:r>
      <w:r>
        <w:rPr>
          <w:color w:val="000000"/>
        </w:rPr>
        <w:t> </w:t>
      </w:r>
    </w:p>
    <w:tbl>
      <w:tblPr>
        <w:tblW w:w="3917" w:type="dxa"/>
        <w:jc w:val="left"/>
        <w:tblInd w:w="0" w:type="dxa"/>
        <w:tblLayout w:type="fixed"/>
        <w:tblCellMar>
          <w:top w:w="28" w:type="dxa"/>
          <w:left w:w="28" w:type="dxa"/>
          <w:bottom w:w="28" w:type="dxa"/>
          <w:right w:w="28" w:type="dxa"/>
        </w:tblCellMar>
      </w:tblPr>
      <w:tblGrid>
        <w:gridCol w:w="548"/>
        <w:gridCol w:w="481"/>
        <w:gridCol w:w="485"/>
        <w:gridCol w:w="211"/>
        <w:gridCol w:w="616"/>
        <w:gridCol w:w="109"/>
        <w:gridCol w:w="109"/>
        <w:gridCol w:w="109"/>
        <w:gridCol w:w="109"/>
        <w:gridCol w:w="245"/>
        <w:gridCol w:w="716"/>
        <w:gridCol w:w="17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inventories included $16.6 million and $54.1 million, respectively, related to the purchase accounting inventory fair value step-up on inventory acquired as part of our GW Acquisition.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Goodwill and Intangible Assets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gross carrying amount of goodwill was as follows (in millions):</w:t>
      </w:r>
    </w:p>
    <w:tbl>
      <w:tblPr>
        <w:tblW w:w="3725" w:type="dxa"/>
        <w:jc w:val="left"/>
        <w:tblInd w:w="0" w:type="dxa"/>
        <w:tblLayout w:type="fixed"/>
        <w:tblCellMar>
          <w:top w:w="28" w:type="dxa"/>
          <w:left w:w="28" w:type="dxa"/>
          <w:bottom w:w="28" w:type="dxa"/>
          <w:right w:w="28" w:type="dxa"/>
        </w:tblCellMar>
      </w:tblPr>
      <w:tblGrid>
        <w:gridCol w:w="939"/>
        <w:gridCol w:w="825"/>
        <w:gridCol w:w="830"/>
        <w:gridCol w:w="211"/>
        <w:gridCol w:w="76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gross carrying amounts and net book values of our intangible assets were as follows (in millions):</w:t>
      </w:r>
      <w:r>
        <w:rPr>
          <w:color w:val="000000"/>
        </w:rPr>
        <w:t> </w:t>
      </w:r>
    </w:p>
    <w:tbl>
      <w:tblPr>
        <w:tblW w:w="11105" w:type="dxa"/>
        <w:jc w:val="left"/>
        <w:tblInd w:w="0" w:type="dxa"/>
        <w:tblLayout w:type="fixed"/>
        <w:tblCellMar>
          <w:top w:w="28" w:type="dxa"/>
          <w:left w:w="28" w:type="dxa"/>
          <w:bottom w:w="28" w:type="dxa"/>
          <w:right w:w="28" w:type="dxa"/>
        </w:tblCellMar>
      </w:tblPr>
      <w:tblGrid>
        <w:gridCol w:w="589"/>
        <w:gridCol w:w="373"/>
        <w:gridCol w:w="374"/>
        <w:gridCol w:w="405"/>
        <w:gridCol w:w="405"/>
        <w:gridCol w:w="406"/>
        <w:gridCol w:w="109"/>
        <w:gridCol w:w="109"/>
        <w:gridCol w:w="109"/>
        <w:gridCol w:w="211"/>
        <w:gridCol w:w="766"/>
        <w:gridCol w:w="109"/>
        <w:gridCol w:w="109"/>
        <w:gridCol w:w="109"/>
        <w:gridCol w:w="109"/>
        <w:gridCol w:w="211"/>
        <w:gridCol w:w="781"/>
        <w:gridCol w:w="109"/>
        <w:gridCol w:w="109"/>
        <w:gridCol w:w="109"/>
        <w:gridCol w:w="109"/>
        <w:gridCol w:w="211"/>
        <w:gridCol w:w="766"/>
        <w:gridCol w:w="109"/>
        <w:gridCol w:w="109"/>
        <w:gridCol w:w="109"/>
        <w:gridCol w:w="109"/>
        <w:gridCol w:w="211"/>
        <w:gridCol w:w="766"/>
        <w:gridCol w:w="109"/>
        <w:gridCol w:w="109"/>
        <w:gridCol w:w="109"/>
        <w:gridCol w:w="109"/>
        <w:gridCol w:w="211"/>
        <w:gridCol w:w="781"/>
        <w:gridCol w:w="109"/>
        <w:gridCol w:w="109"/>
        <w:gridCol w:w="109"/>
        <w:gridCol w:w="109"/>
        <w:gridCol w:w="211"/>
        <w:gridCol w:w="76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Weighted-</w:t>
              <w:br/>
              <w:t>Average Useful</w:t>
              <w:br/>
              <w:t>Life</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w:t>
              <w:br/>
              <w:t>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technologies</w:t>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contracts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decrease in the gross carrying amount of intangible assets as of March 31, 2026, compared to December 31, 2025, primarily relates to the negative impact of foreign currency translation adjustments primarily due to the weakening of sterling against the U.S. dollar.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Based on finite-lived intangible assets recorded as of March 31, 2026, and assuming the underlying assets will not be impaired and that we will not change the expected lives of the assets, future amortization expenses were estimated as follows (in millions):</w:t>
      </w:r>
      <w:r>
        <w:rPr>
          <w:color w:val="000000"/>
        </w:rPr>
        <w:t> </w:t>
      </w:r>
    </w:p>
    <w:tbl>
      <w:tblPr>
        <w:tblW w:w="4589" w:type="dxa"/>
        <w:jc w:val="left"/>
        <w:tblInd w:w="0" w:type="dxa"/>
        <w:tblLayout w:type="fixed"/>
        <w:tblCellMar>
          <w:top w:w="28" w:type="dxa"/>
          <w:left w:w="28" w:type="dxa"/>
          <w:bottom w:w="28" w:type="dxa"/>
          <w:right w:w="28" w:type="dxa"/>
        </w:tblCellMar>
      </w:tblPr>
      <w:tblGrid>
        <w:gridCol w:w="748"/>
        <w:gridCol w:w="659"/>
        <w:gridCol w:w="662"/>
        <w:gridCol w:w="470"/>
        <w:gridCol w:w="1707"/>
        <w:gridCol w:w="343"/>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 Ending December 31,</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Amortization Expense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Certain Balance Sheet Items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(in millions):</w:t>
      </w:r>
    </w:p>
    <w:tbl>
      <w:tblPr>
        <w:tblW w:w="6452" w:type="dxa"/>
        <w:jc w:val="left"/>
        <w:tblInd w:w="0" w:type="dxa"/>
        <w:tblLayout w:type="fixed"/>
        <w:tblCellMar>
          <w:top w:w="28" w:type="dxa"/>
          <w:left w:w="28" w:type="dxa"/>
          <w:bottom w:w="28" w:type="dxa"/>
          <w:right w:w="28" w:type="dxa"/>
        </w:tblCellMar>
      </w:tblPr>
      <w:tblGrid>
        <w:gridCol w:w="1467"/>
        <w:gridCol w:w="1288"/>
        <w:gridCol w:w="1294"/>
        <w:gridCol w:w="211"/>
        <w:gridCol w:w="616"/>
        <w:gridCol w:w="109"/>
        <w:gridCol w:w="109"/>
        <w:gridCol w:w="109"/>
        <w:gridCol w:w="109"/>
        <w:gridCol w:w="245"/>
        <w:gridCol w:w="716"/>
        <w:gridCol w:w="179"/>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 and machinery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millions):</w:t>
      </w:r>
    </w:p>
    <w:tbl>
      <w:tblPr>
        <w:tblW w:w="5716" w:type="dxa"/>
        <w:jc w:val="left"/>
        <w:tblInd w:w="0" w:type="dxa"/>
        <w:tblLayout w:type="fixed"/>
        <w:tblCellMar>
          <w:top w:w="28" w:type="dxa"/>
          <w:left w:w="28" w:type="dxa"/>
          <w:bottom w:w="28" w:type="dxa"/>
          <w:right w:w="28" w:type="dxa"/>
        </w:tblCellMar>
      </w:tblPr>
      <w:tblGrid>
        <w:gridCol w:w="1147"/>
        <w:gridCol w:w="1007"/>
        <w:gridCol w:w="1010"/>
        <w:gridCol w:w="211"/>
        <w:gridCol w:w="766"/>
        <w:gridCol w:w="109"/>
        <w:gridCol w:w="109"/>
        <w:gridCol w:w="109"/>
        <w:gridCol w:w="109"/>
        <w:gridCol w:w="212"/>
        <w:gridCol w:w="772"/>
        <w:gridCol w:w="155"/>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and other sales deductions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Inventory-related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 reserve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accruals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construction-in-progress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Debt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our indebtedness (in millions):</w:t>
      </w:r>
    </w:p>
    <w:tbl>
      <w:tblPr>
        <w:tblW w:w="5417" w:type="dxa"/>
        <w:jc w:val="left"/>
        <w:tblInd w:w="0" w:type="dxa"/>
        <w:tblLayout w:type="fixed"/>
        <w:tblCellMar>
          <w:top w:w="28" w:type="dxa"/>
          <w:left w:w="28" w:type="dxa"/>
          <w:bottom w:w="28" w:type="dxa"/>
          <w:right w:w="28" w:type="dxa"/>
        </w:tblCellMar>
      </w:tblPr>
      <w:tblGrid>
        <w:gridCol w:w="1035"/>
        <w:gridCol w:w="908"/>
        <w:gridCol w:w="922"/>
        <w:gridCol w:w="211"/>
        <w:gridCol w:w="766"/>
        <w:gridCol w:w="109"/>
        <w:gridCol w:w="109"/>
        <w:gridCol w:w="109"/>
        <w:gridCol w:w="109"/>
        <w:gridCol w:w="212"/>
        <w:gridCol w:w="772"/>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Notes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Secured Notes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current portion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Balances include the 2026 Notes since they mature in June 2026.</w:t>
      </w:r>
    </w:p>
    <w:p>
      <w:pPr>
        <w:pStyle w:val="TextBody"/>
        <w:bidi w:val="0"/>
        <w:spacing w:lineRule="auto" w:line="288" w:before="2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Exchangeable Senior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Exchangeable Senior Notes were issued by Jazz Investments,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total liability of the 2030 Notes is reflected net of issuance costs of $19.2 million which will be amortized over the term of the 2030 Notes. The effective interest rate of the 2030 Notes is 3.47%. During the three months ended March 31, 2026 and 2025, we recognized interest expense of $8.5 million, of which $7.8 million related to the contractual coupon rate and $0.7 million related to the amortization of debt issuance costs.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total liability of the 2026 Notes is reflected net of issuance costs of $15.3 million which will be amortized over the term of the 2026 Notes. The effective interest rate of the 2026 Notes is 2.26%. During the three months ended March 31, 2026 and 2025, we recognized interest expense of $5.5 million, of which $5.0 million related to the contractual coupon rate and $0.5 million related to the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Maturities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Scheduled maturities with respect to our long-term debt principal balances outstanding as of March 31, 2026 were as follows (in millions): </w:t>
      </w:r>
    </w:p>
    <w:tbl>
      <w:tblPr>
        <w:tblW w:w="4993" w:type="dxa"/>
        <w:jc w:val="center"/>
        <w:tblInd w:w="0" w:type="dxa"/>
        <w:tblLayout w:type="fixed"/>
        <w:tblCellMar>
          <w:top w:w="28" w:type="dxa"/>
          <w:left w:w="28" w:type="dxa"/>
          <w:bottom w:w="28" w:type="dxa"/>
          <w:right w:w="28" w:type="dxa"/>
        </w:tblCellMar>
      </w:tblPr>
      <w:tblGrid>
        <w:gridCol w:w="748"/>
        <w:gridCol w:w="659"/>
        <w:gridCol w:w="662"/>
        <w:gridCol w:w="545"/>
        <w:gridCol w:w="1981"/>
        <w:gridCol w:w="39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Scheduled Long-Term Debt Maturities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5,402.8 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w:t>
      </w:r>
      <w:r>
        <w:rPr>
          <w:color w:val="000000"/>
        </w:rPr>
        <w:t xml:space="preserve"> </w:t>
      </w:r>
      <w:r>
        <w:rPr>
          <w:rFonts w:ascii="Times New Roman;serif" w:hAnsi="Times New Roman;serif"/>
          <w:b w:val="false"/>
          <w:color w:val="000000"/>
          <w:sz w:val="20"/>
        </w:rPr>
        <w:t>Accordingly, we did not recognize any liabilities relating to these obligations as of March 31, 2026 and December 31, 2025. No assurances can be given that the covering insurers will not attempt to dispute the validity, applicability, or amount of coverage w</w:t>
      </w:r>
      <w:r>
        <w:rPr>
          <w:rFonts w:ascii="Times New Roman;serif" w:hAnsi="Times New Roman;serif"/>
          <w:b w:val="false"/>
          <w:color w:val="000000"/>
          <w:sz w:val="20"/>
          <w:shd w:fill="FFFFFF" w:val="clear"/>
        </w:rPr>
        <w:t>ithout expensive litigation against these insurers, in which case we may incur substantial liabilities as a result of these indemnification obligations.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involved in legal proceedings, including the following matters:</w:t>
      </w:r>
    </w:p>
    <w:p>
      <w:pPr>
        <w:pStyle w:val="TextBody"/>
        <w:bidi w:val="0"/>
        <w:spacing w:lineRule="auto" w:line="288" w:before="12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Patent Infringement Litigation</w:t>
      </w:r>
    </w:p>
    <w:p>
      <w:pPr>
        <w:pStyle w:val="TextBody"/>
        <w:bidi w:val="0"/>
        <w:spacing w:lineRule="auto" w:line="288" w:before="120" w:after="12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Xywav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July 2021, we filed a patent infringement suit against Lupin in the U.S.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w:t>
      </w:r>
      <w:r>
        <w:rPr>
          <w:color w:val="000000"/>
          <w:shd w:fill="FFFFFF" w:val="clear"/>
        </w:rPr>
        <w:t> </w:t>
      </w:r>
      <w:r>
        <w:rPr>
          <w:rFonts w:ascii="Times New Roman;serif" w:hAnsi="Times New Roman;serif"/>
          <w:b w:val="false"/>
          <w:color w:val="000000"/>
          <w:sz w:val="20"/>
        </w:rPr>
        <w:t>4,</w:t>
      </w:r>
      <w:r>
        <w:rPr>
          <w:color w:val="000000"/>
          <w:shd w:fill="FFFFFF" w:val="clear"/>
        </w:rPr>
        <w:t> </w:t>
      </w:r>
      <w:r>
        <w:rPr>
          <w:rFonts w:ascii="Times New Roman;serif" w:hAnsi="Times New Roman;serif"/>
          <w:b w:val="false"/>
          <w:color w:val="000000"/>
          <w:sz w:val="20"/>
        </w:rPr>
        <w:t>2021, Lupin filed an answer to the complaint and counterclaims asserting that the patents are invalid or not enforceable, and that its product, if approved, will not infringe our patents.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received notice from Lupin that it had filed a paragraph IV certification regarding a newly-issued patent listed in the Orange Book for Xywav. On May 11, 2022, we filed an additional lawsuit against Lupin in the U.S. District Court for the District of New Jersey alleging that by filing its ANDA, Lupin infringed the newly-issued patent related to a method of treatment when Xywav is administered concomitantly with certain other medications. The suit seeks a permanent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injunction to prevent Lupin from introducing a generic version of Xywav that would infringe our patent. On June 22, 2022, the U.S. District Court for the District of New Jersey consolidated the two lawsuits we filed against Lupin.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November 2022, we received notice from Lupin that it had filed a paragraph IV certification regarding a newly-issued patent listed in the Orange Book for Xywav. On January</w:t>
      </w:r>
      <w:r>
        <w:rPr>
          <w:color w:val="000000"/>
          <w:shd w:fill="FFFFFF" w:val="clear"/>
        </w:rPr>
        <w:t> </w:t>
      </w:r>
      <w:r>
        <w:rPr>
          <w:rFonts w:ascii="Times New Roman;serif" w:hAnsi="Times New Roman;serif"/>
          <w:b w:val="false"/>
          <w:color w:val="000000"/>
          <w:sz w:val="20"/>
        </w:rPr>
        <w:t>19,</w:t>
      </w:r>
      <w:r>
        <w:rPr>
          <w:color w:val="000000"/>
          <w:shd w:fill="FFFFFF" w:val="clear"/>
        </w:rPr>
        <w:t> </w:t>
      </w:r>
      <w:r>
        <w:rPr>
          <w:rFonts w:ascii="Times New Roman;serif" w:hAnsi="Times New Roman;serif"/>
          <w:b w:val="false"/>
          <w:color w:val="000000"/>
          <w:sz w:val="20"/>
        </w:rPr>
        <w:t>2023, we filed an additional lawsuit against Lupin in the U.S.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w:t>
      </w:r>
      <w:r>
        <w:rPr>
          <w:color w:val="000000"/>
          <w:shd w:fill="FFFFFF" w:val="clear"/>
        </w:rPr>
        <w:t> </w:t>
      </w:r>
      <w:r>
        <w:rPr>
          <w:rFonts w:ascii="Times New Roman;serif" w:hAnsi="Times New Roman;serif"/>
          <w:b w:val="false"/>
          <w:color w:val="000000"/>
          <w:sz w:val="20"/>
        </w:rPr>
        <w:t>15,</w:t>
      </w:r>
      <w:r>
        <w:rPr>
          <w:color w:val="000000"/>
          <w:shd w:fill="FFFFFF" w:val="clear"/>
        </w:rPr>
        <w:t> </w:t>
      </w:r>
      <w:r>
        <w:rPr>
          <w:rFonts w:ascii="Times New Roman;serif" w:hAnsi="Times New Roman;serif"/>
          <w:b w:val="false"/>
          <w:color w:val="000000"/>
          <w:sz w:val="20"/>
        </w:rPr>
        <w:t>2023, the U.S. District Court for the District of New Jersey consolidated the new lawsuit with the two suits we previously filed against Lupin. No trial date has been set in the consolidated case against Lupin.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 March 2023, we filed a patent infringement suit against Teva in the U.S.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w:t>
      </w:r>
      <w:r>
        <w:rPr>
          <w:color w:val="000000"/>
          <w:shd w:fill="FFFFFF" w:val="clear"/>
        </w:rPr>
        <w:t> </w:t>
      </w:r>
      <w:r>
        <w:rPr>
          <w:rFonts w:ascii="Times New Roman;serif" w:hAnsi="Times New Roman;serif"/>
          <w:b w:val="false"/>
          <w:color w:val="000000"/>
          <w:sz w:val="20"/>
        </w:rPr>
        <w:t>23,</w:t>
      </w:r>
      <w:r>
        <w:rPr>
          <w:color w:val="000000"/>
          <w:shd w:fill="FFFFFF" w:val="clear"/>
        </w:rPr>
        <w:t> </w:t>
      </w:r>
      <w:r>
        <w:rPr>
          <w:rFonts w:ascii="Times New Roman;serif" w:hAnsi="Times New Roman;serif"/>
          <w:b w:val="false"/>
          <w:color w:val="000000"/>
          <w:sz w:val="20"/>
        </w:rPr>
        <w:t xml:space="preserve">2023, Teva filed an answer to the complaint and counterclaims asserting that the patents are invalid or not enforceable, and that its product, if approved, will not infringe our patents.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December 15, 2023, based on a stipulation between all parties, the U.S. District Court for the District of New Jersey consolidated the Lupin lawsuits and the Teva lawsuit for all purposes. No trial date has been set in the consolidated case.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we received notices from Lupin and Teva that they had each filed a paragraph IV certification regarding a newly-issued patent listed in the Orange Book for Xywav. On August 27, 2024, we filed an additional lawsuit in the U.S.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2025, we received notice from Granules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August 2025, we filed a patent infringement suit against Granules in the U.S. District Court for the District of New Jersey. The complaint alleges that by filing its ANDA, Granules has infringed fourteen of our Orange Book-listed patents. We are seeking a permanent injunction to prevent Granules from introducing a generic version of Xywav that would infringe our patents. As a result of this lawsuit, we expect that a stay of approval of up to 30 months will be imposed by FDA on Granules’ ANDA.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settlement agreement with Granules that resolved our patent litigation with Granules related to Xywav. Under the settlement agreement, we granted a license to certain of the patents listed in the Orange Book for Xywav that could, under certain circumstances, allow Granules to launch its generic version of Xywav prior to the expiration of the licensed patents. The specific terms of the Granules settlement agreement are confidential.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settlement with Granules does not resolve the litigation against Lupin or Teva, which is ongoing. We cannot predict the specific timing or outcome of events in these matters with respect to the remaining defendants or the impact of developments involving any specific parties or patents on other ongoing proceedings with Lupin or Teva.</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Zepzelca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and August 2024,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We are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11, 2024, we and PharmaMar filed a patent infringement suit against the Zepzelca ANDA Filers in the U.S. District Court for the District of New Jersey. The complaint alleges that by filing their ANDAs, the Zepzelca ANDA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Filers have infringed the Orange Book listed patent for Zepzelca, and seeks an order that the effective date of FDA approval of the ANDAs shall be a date no earlier than the expiration of the asserted patent.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26, 2025, we and Sandoz Inc. stipulated to the dismissal of our lawsuit against Sandoz Inc. without prejudice.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12, 2024, we and PharmaMar filed a patent infringement suit against RK Pharma, in the U.S.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U.S. District Court for the District of Delaware. RK Pharma remains a defendant in the litigation referenced above in the U.S. District Court for the District of New Jersey.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we received notice from InvaGen that it had filed a paragraph IV certification regarding a newly-issued patent listed in the Orange Book for Zepzelca. On September 4, 2025, we filed an additional lawsuit in the U.S. District Court for the District of New Jersey against each of the Zepzelca ANDA Filers, alleging that, by filing its ANDA, each party infringed the newly-issued patent related to a method of treatment using Zepzelca. The suit seeks orders that the effective date of FDA approval for each defendant’s application shall be no earlier than the expiration of the newly-issued patent.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Defitelio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2025, we received a notice from Almaject that it had filed with FDA an ANDA for a generic version of Defitelio (defibrotide sodium).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U.S. 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filed a second patent infringement lawsuit against Almaject in the U.S. District Court for the District of New Jersey based on two additional patents listed in the Orange Book for Defitelio. The patents relate generally to the Defitelio drug product. The complaint alleges that by filing its ANDA, Almaject has infringed the patents, and seeks an order that the effective date of FDA approval for the Almaject ANDA shall be on a date no earlier than the expiration of the last to expire of the asserted patents.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Tris Pharma Patent Litigation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we received notices from Tris Pharma that it had filed with FDA a Section 505(b)(2) NDA with Xyrem and Xywav as reference listed drugs. The first notice included a paragraph IV certification with respect to seven patents listed in FDA’s Orange Book for Xyrem, and the second notice included a paragraph IV certification with respect to fifteen patents listed in FDA’s Orange Book for Xywav on the date of our receipt of the notice. Seven of the listed patents relate generally to methods of treatment when Xywav or Xyrem is administered concomitantly with certain other medications, and the remaining eight relate generally to the composition and method of use of Xywav.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we filed two patent infringement suits against Tris Pharma in the U.S. District Court for the District of New Jersey. The complaints allege that by filing its Section 505(b)(2) NDA, Tris Pharma infringed certain of our patents listed in FDA’s Orange Book for Xyrem and certain of our patents listed in FDA’s Orange Book for Xywav, respectively. Each lawsuit seeks an order that the effective date of FDA approval of Tris Pharma’s Section 505(b)(2) NDA shall be a date no earlier than the expiration of the last to expire of the asserted patents. As a result of this lawsuit, we expect that a stay of approval of up to 30 months will be imposed by FDA of Tris Pharma’s Section 505(b)(2) NDA. On April 24, 2026, Tris Pharma filed motions to dismiss our complaints for patent infringement. Those motions remain pending and no hearing date has been set.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Qui Tam Matters</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U.S. and a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of states named in the whistleblower complaint declined to intervene in this matter. Private whistleblower litigation then proceeded in the U.S. District Court for the District of Massachusetts. The U.S. District Court for the District of Massachusetts set a deadline of September 1, 2024, for the plaintiff to file an amended complaint, and December 2, 2024, for us to file a motion to dismiss the amended complaint.</w:t>
      </w:r>
      <w:r>
        <w:rPr>
          <w:color w:val="000000"/>
        </w:rPr>
        <w:t xml:space="preserve"> </w:t>
      </w:r>
      <w:r>
        <w:rPr>
          <w:rFonts w:ascii="Times New Roman;serif" w:hAnsi="Times New Roman;serif"/>
          <w:b w:val="false"/>
          <w:color w:val="000000"/>
          <w:sz w:val="20"/>
        </w:rPr>
        <w:t>The p</w:t>
      </w:r>
      <w:r>
        <w:rPr>
          <w:rFonts w:ascii="Times New Roman;serif" w:hAnsi="Times New Roman;serif"/>
          <w:b w:val="false"/>
          <w:color w:val="000000"/>
          <w:sz w:val="20"/>
          <w:shd w:fill="FFFFFF" w:val="clear"/>
        </w:rPr>
        <w:t>laintiff filed the amended complaint on September 1, 2024.</w:t>
      </w:r>
      <w:r>
        <w:rPr>
          <w:color w:val="000000"/>
        </w:rPr>
        <w:t xml:space="preserve"> </w:t>
      </w:r>
      <w:r>
        <w:rPr>
          <w:rFonts w:ascii="Times New Roman;serif" w:hAnsi="Times New Roman;serif"/>
          <w:b w:val="false"/>
          <w:color w:val="000000"/>
          <w:sz w:val="20"/>
        </w:rPr>
        <w:t xml:space="preserve">We filed our motion to dismiss on December 2, 2024. The </w:t>
      </w:r>
      <w:r>
        <w:rPr>
          <w:rFonts w:ascii="Times New Roman;serif" w:hAnsi="Times New Roman;serif"/>
          <w:b w:val="false"/>
          <w:color w:val="000000"/>
          <w:sz w:val="20"/>
          <w:shd w:fill="FFFFFF" w:val="clear"/>
        </w:rPr>
        <w:t>U.S. District Court for the District of Massachusetts</w:t>
      </w:r>
      <w:r>
        <w:rPr>
          <w:color w:val="000000"/>
        </w:rPr>
        <w:t xml:space="preserve"> </w:t>
      </w:r>
      <w:r>
        <w:rPr>
          <w:rFonts w:ascii="Times New Roman;serif" w:hAnsi="Times New Roman;serif"/>
          <w:b w:val="false"/>
          <w:color w:val="000000"/>
          <w:sz w:val="20"/>
        </w:rPr>
        <w:t xml:space="preserve">held oral argument on the motion to dismiss on April 2, 2025. On September 23, 2025, the </w:t>
      </w:r>
      <w:r>
        <w:rPr>
          <w:rFonts w:ascii="Times New Roman;serif" w:hAnsi="Times New Roman;serif"/>
          <w:b w:val="false"/>
          <w:color w:val="000000"/>
          <w:sz w:val="20"/>
          <w:shd w:fill="FFFFFF" w:val="clear"/>
        </w:rPr>
        <w:t>U.S. District Court for the District of Massachusetts</w:t>
      </w:r>
      <w:r>
        <w:rPr>
          <w:color w:val="000000"/>
        </w:rPr>
        <w:t xml:space="preserve"> </w:t>
      </w:r>
      <w:r>
        <w:rPr>
          <w:rFonts w:ascii="Times New Roman;serif" w:hAnsi="Times New Roman;serif"/>
          <w:b w:val="false"/>
          <w:color w:val="000000"/>
          <w:sz w:val="20"/>
        </w:rPr>
        <w:t>granted our motion and dismissed the plaintiff’s federal claims with prejudice and state-law claims without prejudice.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23, 2026, the U.S. District Court for the Southern District of New York unsealed a lawsuit filed by a qui tam whistleblower against us under the New York state False Claims Act, captioned 1:25-cv-08797-PKC. The docket reflects that the New York Attorney General declined to participate in the litigation. This lawsuit repeats almost verbatim allegations asserted by this same whistleblower against us in the case that was dismissed on September 23, 2025, by the U.S. District Court for the District of Massachusetts, 1:21-cv-10891-PBS. We will continue to vigorously defend against these claims.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Shareholders’ Equity</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our board of directors authorized the Repurchase Program, to repurchase ordinary shares having an aggregate purchase price of $500.0 million, exclusive of any brokerage commissions. The Repurchase Program, which has no expiration date, allows us to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Repurchase Program may be modified, suspended or discontinued at any time without our prior notice. During the three months ended March 31, 2026 and 2025, no shares were repurchased. As of March 31, 2026, the remaining amount authorized for repurchases under the Repurchase Program was $225.0 million, exclusive of any brokerage commissions.</w:t>
      </w:r>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as of March 31, 2026 and December 31, 2025 were as follows (in millions): </w:t>
      </w:r>
    </w:p>
    <w:tbl>
      <w:tblPr>
        <w:tblW w:w="9781" w:type="dxa"/>
        <w:jc w:val="left"/>
        <w:tblInd w:w="0" w:type="dxa"/>
        <w:tblLayout w:type="fixed"/>
        <w:tblCellMar>
          <w:top w:w="28" w:type="dxa"/>
          <w:left w:w="28" w:type="dxa"/>
          <w:bottom w:w="28" w:type="dxa"/>
          <w:right w:w="28" w:type="dxa"/>
        </w:tblCellMar>
      </w:tblPr>
      <w:tblGrid>
        <w:gridCol w:w="1960"/>
        <w:gridCol w:w="1722"/>
        <w:gridCol w:w="1733"/>
        <w:gridCol w:w="409"/>
        <w:gridCol w:w="818"/>
        <w:gridCol w:w="213"/>
        <w:gridCol w:w="109"/>
        <w:gridCol w:w="109"/>
        <w:gridCol w:w="109"/>
        <w:gridCol w:w="211"/>
        <w:gridCol w:w="691"/>
        <w:gridCol w:w="109"/>
        <w:gridCol w:w="109"/>
        <w:gridCol w:w="109"/>
        <w:gridCol w:w="109"/>
        <w:gridCol w:w="267"/>
        <w:gridCol w:w="798"/>
        <w:gridCol w:w="196"/>
      </w:tblGrid>
      <w:tr>
        <w:trPr/>
        <w:tc>
          <w:tcPr>
            <w:tcW w:w="1960"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w:t>
              <w:br/>
              <w:t xml:space="preserve">Loss From </w:t>
              <w:b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Accumulated</w:t>
              <w:br/>
              <w:t>Other</w:t>
              <w:br/>
              <w:t>Comprehensive</w:t>
              <w:br/>
              <w:t>Loss</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other comprehensive income (loss) primarily reflects foreign currency translation adjustments, primarily due to the weakening of sterling against the U.S. dollar.</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(Loss) per Ordinary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ordinary share were computed as follows (in millions, except per share amounts):</w:t>
      </w:r>
    </w:p>
    <w:tbl>
      <w:tblPr>
        <w:tblW w:w="9143" w:type="dxa"/>
        <w:jc w:val="left"/>
        <w:tblInd w:w="0" w:type="dxa"/>
        <w:tblLayout w:type="fixed"/>
        <w:tblCellMar>
          <w:top w:w="28" w:type="dxa"/>
          <w:left w:w="28" w:type="dxa"/>
          <w:bottom w:w="28" w:type="dxa"/>
          <w:right w:w="28" w:type="dxa"/>
        </w:tblCellMar>
      </w:tblPr>
      <w:tblGrid>
        <w:gridCol w:w="2621"/>
        <w:gridCol w:w="1709"/>
        <w:gridCol w:w="1714"/>
        <w:gridCol w:w="109"/>
        <w:gridCol w:w="109"/>
        <w:gridCol w:w="151"/>
        <w:gridCol w:w="151"/>
        <w:gridCol w:w="293"/>
        <w:gridCol w:w="857"/>
        <w:gridCol w:w="151"/>
        <w:gridCol w:w="109"/>
        <w:gridCol w:w="109"/>
        <w:gridCol w:w="109"/>
        <w:gridCol w:w="211"/>
        <w:gridCol w:w="586"/>
        <w:gridCol w:w="154"/>
      </w:tblGrid>
      <w:tr>
        <w:trPr/>
        <w:tc>
          <w:tcPr>
            <w:tcW w:w="262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equity incentive and purchase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the Exchangeable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ordinary shares used in per share calculations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we irrevocably elected to fix the settlement method for exchanges of the 2026 Notes to a combination of cash and ordinary shares of the Company with a specified cash amount per $1,000 principal amount of 2026 Notes exchanged equal to or in excess of $1,000.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conversion spread will have a dilutive impact on diluted net income per ordinary share when the average market price of our ordinary shares for a given period exceeds the conversion price, of approximately $155.81 per ordinary share, of the 2026 Notes. The average market price of our ordinary shares for the three months ended March 31, 2025 did not exceed the conversion price of the 2026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approximately $153.05 per ordinary share, of the 2030 Notes. The average market price of our ordinary shares for the three months ended March 31, 2025 did not exceed the conversion price of the 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weighted-average ordinary shares that were excluded from the calculation of diluted net income (loss) per ordinary share for the periods presented because including them would have an anti-dilutive effect (in millions):</w:t>
      </w:r>
    </w:p>
    <w:tbl>
      <w:tblPr>
        <w:tblW w:w="6682" w:type="dxa"/>
        <w:jc w:val="left"/>
        <w:tblInd w:w="0" w:type="dxa"/>
        <w:tblLayout w:type="fixed"/>
        <w:tblCellMar>
          <w:top w:w="28" w:type="dxa"/>
          <w:left w:w="28" w:type="dxa"/>
          <w:bottom w:w="28" w:type="dxa"/>
          <w:right w:w="28" w:type="dxa"/>
        </w:tblCellMar>
      </w:tblPr>
      <w:tblGrid>
        <w:gridCol w:w="1415"/>
        <w:gridCol w:w="1246"/>
        <w:gridCol w:w="1254"/>
        <w:gridCol w:w="109"/>
        <w:gridCol w:w="109"/>
        <w:gridCol w:w="320"/>
        <w:gridCol w:w="320"/>
        <w:gridCol w:w="320"/>
        <w:gridCol w:w="320"/>
        <w:gridCol w:w="323"/>
        <w:gridCol w:w="109"/>
        <w:gridCol w:w="109"/>
        <w:gridCol w:w="109"/>
        <w:gridCol w:w="203"/>
        <w:gridCol w:w="203"/>
        <w:gridCol w:w="213"/>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946" w:type="dxa"/>
            <w:gridSpan w:val="6"/>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equity incentive and purchase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Revenues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(in millions):</w:t>
      </w:r>
      <w:r>
        <w:rPr>
          <w:color w:val="000000"/>
        </w:rPr>
        <w:t> </w:t>
      </w:r>
    </w:p>
    <w:tbl>
      <w:tblPr>
        <w:tblW w:w="7090" w:type="dxa"/>
        <w:jc w:val="left"/>
        <w:tblInd w:w="0" w:type="dxa"/>
        <w:tblLayout w:type="fixed"/>
        <w:tblCellMar>
          <w:top w:w="28" w:type="dxa"/>
          <w:left w:w="28" w:type="dxa"/>
          <w:bottom w:w="28" w:type="dxa"/>
          <w:right w:w="28" w:type="dxa"/>
        </w:tblCellMar>
      </w:tblPr>
      <w:tblGrid>
        <w:gridCol w:w="1273"/>
        <w:gridCol w:w="1120"/>
        <w:gridCol w:w="1131"/>
        <w:gridCol w:w="109"/>
        <w:gridCol w:w="109"/>
        <w:gridCol w:w="134"/>
        <w:gridCol w:w="134"/>
        <w:gridCol w:w="259"/>
        <w:gridCol w:w="943"/>
        <w:gridCol w:w="134"/>
        <w:gridCol w:w="109"/>
        <w:gridCol w:w="109"/>
        <w:gridCol w:w="109"/>
        <w:gridCol w:w="211"/>
        <w:gridCol w:w="61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140"/>
        <w:jc w:val="left"/>
        <w:rPr/>
      </w:pPr>
      <w:r>
        <w:rPr>
          <w:rFonts w:ascii="Times New Roman;serif" w:hAnsi="Times New Roman;serif"/>
          <w:b w:val="false"/>
          <w:color w:val="000000"/>
          <w:sz w:val="12"/>
          <w:shd w:fill="FFFFFF" w:val="clear"/>
        </w:rPr>
        <w:t>(1)</w:t>
      </w:r>
      <w:r>
        <w:rPr>
          <w:color w:val="000000"/>
          <w:shd w:fill="FFFFFF" w:val="clear"/>
        </w:rPr>
        <w:t xml:space="preserve"> </w:t>
      </w:r>
      <w:r>
        <w:rPr>
          <w:rFonts w:ascii="Times New Roman;serif" w:hAnsi="Times New Roman;serif"/>
          <w:b w:val="false"/>
          <w:color w:val="000000"/>
          <w:sz w:val="18"/>
          <w:shd w:fill="FFFFFF" w:val="clear"/>
        </w:rPr>
        <w:t>Includes Sativex product sales, net for the three months ended March 31, 2025.</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total revenues attributed to geographic sources (in millions):</w:t>
      </w:r>
      <w:r>
        <w:rPr>
          <w:color w:val="000000"/>
        </w:rPr>
        <w:t> </w:t>
      </w:r>
    </w:p>
    <w:tbl>
      <w:tblPr>
        <w:tblW w:w="4449" w:type="dxa"/>
        <w:jc w:val="left"/>
        <w:tblInd w:w="0" w:type="dxa"/>
        <w:tblLayout w:type="fixed"/>
        <w:tblCellMar>
          <w:top w:w="28" w:type="dxa"/>
          <w:left w:w="28" w:type="dxa"/>
          <w:bottom w:w="28" w:type="dxa"/>
          <w:right w:w="28" w:type="dxa"/>
        </w:tblCellMar>
      </w:tblPr>
      <w:tblGrid>
        <w:gridCol w:w="475"/>
        <w:gridCol w:w="416"/>
        <w:gridCol w:w="428"/>
        <w:gridCol w:w="109"/>
        <w:gridCol w:w="109"/>
        <w:gridCol w:w="134"/>
        <w:gridCol w:w="134"/>
        <w:gridCol w:w="259"/>
        <w:gridCol w:w="943"/>
        <w:gridCol w:w="134"/>
        <w:gridCol w:w="109"/>
        <w:gridCol w:w="109"/>
        <w:gridCol w:w="109"/>
        <w:gridCol w:w="21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a summary of the percentage of total revenues from customers that represented more than 10% of our total revenues:</w:t>
      </w:r>
      <w:r>
        <w:rPr>
          <w:color w:val="000000"/>
        </w:rPr>
        <w:t> </w:t>
      </w:r>
    </w:p>
    <w:tbl>
      <w:tblPr>
        <w:tblW w:w="3801" w:type="dxa"/>
        <w:jc w:val="left"/>
        <w:tblInd w:w="0" w:type="dxa"/>
        <w:tblLayout w:type="fixed"/>
        <w:tblCellMar>
          <w:top w:w="28" w:type="dxa"/>
          <w:left w:w="28" w:type="dxa"/>
          <w:bottom w:w="28" w:type="dxa"/>
          <w:right w:w="28" w:type="dxa"/>
        </w:tblCellMar>
      </w:tblPr>
      <w:tblGrid>
        <w:gridCol w:w="353"/>
        <w:gridCol w:w="310"/>
        <w:gridCol w:w="313"/>
        <w:gridCol w:w="109"/>
        <w:gridCol w:w="109"/>
        <w:gridCol w:w="247"/>
        <w:gridCol w:w="247"/>
        <w:gridCol w:w="247"/>
        <w:gridCol w:w="247"/>
        <w:gridCol w:w="615"/>
        <w:gridCol w:w="109"/>
        <w:gridCol w:w="109"/>
        <w:gridCol w:w="109"/>
        <w:gridCol w:w="180"/>
        <w:gridCol w:w="181"/>
        <w:gridCol w:w="31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04"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percentage of trade receivables by customers who individually accounted for 10% or more of our trade receivables were as follows: </w:t>
      </w:r>
    </w:p>
    <w:tbl>
      <w:tblPr>
        <w:tblW w:w="3296" w:type="dxa"/>
        <w:jc w:val="left"/>
        <w:tblInd w:w="0" w:type="dxa"/>
        <w:tblLayout w:type="fixed"/>
        <w:tblCellMar>
          <w:top w:w="28" w:type="dxa"/>
          <w:left w:w="28" w:type="dxa"/>
          <w:bottom w:w="28" w:type="dxa"/>
          <w:right w:w="28" w:type="dxa"/>
        </w:tblCellMar>
      </w:tblPr>
      <w:tblGrid>
        <w:gridCol w:w="353"/>
        <w:gridCol w:w="310"/>
        <w:gridCol w:w="313"/>
        <w:gridCol w:w="189"/>
        <w:gridCol w:w="189"/>
        <w:gridCol w:w="476"/>
        <w:gridCol w:w="109"/>
        <w:gridCol w:w="109"/>
        <w:gridCol w:w="109"/>
        <w:gridCol w:w="231"/>
        <w:gridCol w:w="231"/>
        <w:gridCol w:w="67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ESSDS</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w:t>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2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Financing and payment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payment terms vary by the type and location of our customer but payment is generally required in a term ranging from 30 to 65 days.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Share-Based Compensation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Share-based compensation expense related to RSUs, PRSUs, grants under our ESPP and share options was as follows (in millions):</w:t>
      </w:r>
      <w:r>
        <w:rPr>
          <w:color w:val="000000"/>
        </w:rPr>
        <w:t> </w:t>
      </w:r>
    </w:p>
    <w:tbl>
      <w:tblPr>
        <w:tblW w:w="7958" w:type="dxa"/>
        <w:jc w:val="left"/>
        <w:tblInd w:w="0" w:type="dxa"/>
        <w:tblLayout w:type="fixed"/>
        <w:tblCellMar>
          <w:top w:w="28" w:type="dxa"/>
          <w:left w:w="28" w:type="dxa"/>
          <w:bottom w:w="28" w:type="dxa"/>
          <w:right w:w="28" w:type="dxa"/>
        </w:tblCellMar>
      </w:tblPr>
      <w:tblGrid>
        <w:gridCol w:w="1788"/>
        <w:gridCol w:w="1571"/>
        <w:gridCol w:w="1575"/>
        <w:gridCol w:w="109"/>
        <w:gridCol w:w="109"/>
        <w:gridCol w:w="166"/>
        <w:gridCol w:w="166"/>
        <w:gridCol w:w="323"/>
        <w:gridCol w:w="782"/>
        <w:gridCol w:w="166"/>
        <w:gridCol w:w="109"/>
        <w:gridCol w:w="109"/>
        <w:gridCol w:w="109"/>
        <w:gridCol w:w="211"/>
        <w:gridCol w:w="511"/>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pre-tax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15. Income Taxes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income tax expense was $6.1 million for the three months ended March 31, 2026, compared to an income tax benefit of $17.8 million for the three months ended March 31, 2025, related to tax arising on income or losses in Ireland, the U.K., the U.S. and certain other foreign jurisdictions and Pillar Two top-up taxes, offset by deductions on subsidiary equity, patent box and foreign-derived deduction eligible income benefits and tax credits. The income tax expense for the three months ended March 31, 2026 included tax arising on the gain on sale of the PRV, partially offset by excess tax benefits from share-based compensation. The income tax benefit for the three months ended March 31, 2025 was primarily due to the tax impact of certain Xyrem antitrust litigation settlements.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net deferred tax asset comprises of U.S. federal and state and foreign net operating loss carryforwards and other temporary differences and is net of deferred tax liabilities primarily related to acquired intangible assets. We maintain a valuation allowance against certain deferred tax assets. Each reporting period, we evaluate the need for a valuation allowance on our deferred tax assets by jurisdiction and adjust our estimates as more information becomes available.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2021.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2021 and earlier may still be adjusted upon examination by the taxing authorities. Certain of our subsidiaries are under examination by the Italian tax authorities for the years ended December 31, 2019, 2023, 2024 and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Government of Ireland, the jurisdiction in which Jazz Pharmaceuticals plc is incorporated, transposed the Global Minimum Tax Pillar Two rules into domestic legislation as part of the Finance Act. The Finance Act closely follows the EU Minimum Tax Directive and certain OECD Guidance released to date. The Company is within the scope of these rules, which took effect from January 1, 2024. Under the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The income tax expense for the three months ended March 31, 2026 included an amount for forecasted Pillar Two top-up taxes, as required under the applicable rules.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The following discussion of our financial condition and results of operations should be read in conjunction with the condensed consolidated financial statements and the notes to the condensed consolidated financial statements included elsewhere in this Quarterly Report on Form 10</w:t>
        <w:noBreakHyphen/>
        <w:t>Q. This discussion contains forward-looking statements that involve risks and uncertainties. You should review the risks and uncertainties described in “Risk Factors” in Part I, Item 1A of our Annual Report on Form</w:t>
      </w:r>
      <w:r>
        <w:rPr>
          <w:color w:val="000000"/>
        </w:rPr>
        <w:t> </w:t>
      </w:r>
      <w:r>
        <w:rPr>
          <w:rFonts w:ascii="Times New Roman;serif" w:hAnsi="Times New Roman;serif"/>
          <w:b w:val="false"/>
          <w:i/>
          <w:color w:val="000000"/>
          <w:sz w:val="20"/>
        </w:rPr>
        <w:t>10-K for the year ended December</w:t>
      </w:r>
      <w:r>
        <w:rPr>
          <w:color w:val="000000"/>
        </w:rPr>
        <w:t> </w:t>
      </w:r>
      <w:r>
        <w:rPr>
          <w:rFonts w:ascii="Times New Roman;serif" w:hAnsi="Times New Roman;serif"/>
          <w:b w:val="false"/>
          <w:i/>
          <w:color w:val="000000"/>
          <w:sz w:val="20"/>
        </w:rPr>
        <w:t>31,</w:t>
      </w:r>
      <w:r>
        <w:rPr>
          <w:color w:val="000000"/>
        </w:rPr>
        <w:t> </w:t>
      </w:r>
      <w:r>
        <w:rPr>
          <w:rFonts w:ascii="Times New Roman;serif" w:hAnsi="Times New Roman;serif"/>
          <w:b w:val="false"/>
          <w:i/>
          <w:color w:val="000000"/>
          <w:sz w:val="20"/>
        </w:rPr>
        <w:t>2025 for a discussion of important factors that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noBreakHyphen/>
        <w:t>Q (unless another date is indicated), and we undertake no obligation to update or revise these statements in light of future developments.</w:t>
      </w:r>
    </w:p>
    <w:p>
      <w:pPr>
        <w:pStyle w:val="TextBody"/>
        <w:bidi w:val="0"/>
        <w:spacing w:lineRule="auto" w:line="288" w:before="120" w:after="283"/>
        <w:ind w:left="0" w:right="0" w:firstLine="495"/>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diseases,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continue to invest in pipeline programs that further our rare disease strategy.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lead marketed products, listed below, are approved in countries around the world to improve patient care.</w:t>
      </w:r>
    </w:p>
    <w:tbl>
      <w:tblPr>
        <w:tblW w:w="10205" w:type="dxa"/>
        <w:jc w:val="left"/>
        <w:tblInd w:w="0" w:type="dxa"/>
        <w:tblLayout w:type="fixed"/>
        <w:tblCellMar>
          <w:top w:w="28" w:type="dxa"/>
          <w:left w:w="28" w:type="dxa"/>
          <w:bottom w:w="28" w:type="dxa"/>
          <w:right w:w="28" w:type="dxa"/>
        </w:tblCellMar>
      </w:tblPr>
      <w:tblGrid>
        <w:gridCol w:w="1037"/>
        <w:gridCol w:w="755"/>
        <w:gridCol w:w="763"/>
        <w:gridCol w:w="1450"/>
        <w:gridCol w:w="1420"/>
        <w:gridCol w:w="1423"/>
        <w:gridCol w:w="471"/>
        <w:gridCol w:w="441"/>
        <w:gridCol w:w="443"/>
        <w:gridCol w:w="582"/>
        <w:gridCol w:w="582"/>
        <w:gridCol w:w="838"/>
      </w:tblGrid>
      <w:tr>
        <w:trPr/>
        <w:tc>
          <w:tcPr>
            <w:tcW w:w="103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bottom w:val="single" w:sz="8" w:space="0" w:color="B6B6B6"/>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w:t>
            </w:r>
          </w:p>
        </w:tc>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Indications</w:t>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Initial Approval Date</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Markets</w:t>
            </w:r>
          </w:p>
        </w:tc>
      </w:tr>
      <w:tr>
        <w:trPr/>
        <w:tc>
          <w:tcPr>
            <w:tcW w:w="2555" w:type="dxa"/>
            <w:gridSpan w:val="3"/>
            <w:vMerge w:val="restart"/>
            <w:tcBorders>
              <w:left w:val="single" w:sz="8" w:space="0" w:color="B6B6B6"/>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 (calcium, magnesium, potassium, and sodium oxybates)</w:t>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or EDS in patients seven years of age and older with narcolepsy.</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2020</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tcBorders>
            <w:shd w:fill="CCEEFF" w:val="clear"/>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IH in adults.</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2021</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tcBorders>
            <w:shd w:fill="CCEEFF" w:val="clear"/>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cataplexy in patients with narcolepsy.</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2555" w:type="dxa"/>
            <w:gridSpan w:val="3"/>
            <w:vMerge w:val="restart"/>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 (cannabidiol)</w:t>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seizures associated with LGS, DS, or TSC in patients 1 year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2018 and July 2020</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2555"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Adjunctive therapy of seizures associated with LGS, DS, or TSC in patients 1 year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and October 2021</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2555"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LGS, DS or TSC for patients 2 years of age and older.</w:t>
            </w:r>
          </w:p>
        </w:tc>
        <w:tc>
          <w:tcPr>
            <w:tcW w:w="135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2023</w:t>
            </w:r>
          </w:p>
        </w:tc>
        <w:tc>
          <w:tcPr>
            <w:tcW w:w="200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2555" w:type="dxa"/>
            <w:gridSpan w:val="3"/>
            <w:vMerge w:val="restart"/>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Epidyolex® (cannabidiol)</w:t>
            </w:r>
          </w:p>
        </w:tc>
        <w:tc>
          <w:tcPr>
            <w:tcW w:w="4293"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 adjunctive therapy of seizures associated with LGS or DS, in conjunction with clobazam, for patients 2 years of age and older.</w:t>
            </w:r>
            <w:r>
              <w:rPr>
                <w:rFonts w:ascii="Times New Roman;serif" w:hAnsi="Times New Roman;serif"/>
                <w:b w:val="false"/>
                <w:color w:val="000000"/>
                <w:sz w:val="13"/>
              </w:rPr>
              <w:t>1</w:t>
            </w:r>
          </w:p>
        </w:tc>
        <w:tc>
          <w:tcPr>
            <w:tcW w:w="1355"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2002"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U.K., Switzerland, Australia, and other markets</w:t>
            </w:r>
          </w:p>
        </w:tc>
      </w:tr>
      <w:tr>
        <w:trPr/>
        <w:tc>
          <w:tcPr>
            <w:tcW w:w="2555" w:type="dxa"/>
            <w:gridSpan w:val="3"/>
            <w:vMerge w:val="continue"/>
            <w:tcBorders>
              <w:top w:val="single" w:sz="8" w:space="0" w:color="B6B6B6"/>
              <w:left w:val="single" w:sz="8" w:space="0" w:color="B6B6B6"/>
            </w:tcBorders>
            <w:shd w:fill="CCEEFF" w:val="clear"/>
            <w:tcMar>
              <w:top w:w="30" w:type="dxa"/>
              <w:bottom w:w="0" w:type="dxa"/>
              <w:right w:w="0" w:type="dxa"/>
            </w:tcMar>
            <w:vAlign w:val="center"/>
          </w:tcPr>
          <w:p>
            <w:pPr>
              <w:pStyle w:val="Normal"/>
              <w:bidi w:val="0"/>
              <w:jc w:val="left"/>
              <w:rPr/>
            </w:pPr>
            <w:r>
              <w:rPr/>
            </w:r>
          </w:p>
        </w:tc>
        <w:tc>
          <w:tcPr>
            <w:tcW w:w="4293"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adjunctive therapy of seizures associated with TSC for patients 2 years of age and older.</w:t>
            </w:r>
          </w:p>
        </w:tc>
        <w:tc>
          <w:tcPr>
            <w:tcW w:w="1355" w:type="dxa"/>
            <w:gridSpan w:val="3"/>
            <w:tcBorders>
              <w:top w:val="single" w:sz="8" w:space="0" w:color="B6B6B6"/>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2021</w:t>
            </w:r>
          </w:p>
        </w:tc>
        <w:tc>
          <w:tcPr>
            <w:tcW w:w="2002" w:type="dxa"/>
            <w:gridSpan w:val="3"/>
            <w:tcBorders>
              <w:top w:val="single" w:sz="8" w:space="0" w:color="B6B6B6"/>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U.K., Switzerland, and other markets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905"/>
        <w:gridCol w:w="500"/>
        <w:gridCol w:w="504"/>
        <w:gridCol w:w="2180"/>
        <w:gridCol w:w="1783"/>
        <w:gridCol w:w="1788"/>
        <w:gridCol w:w="354"/>
        <w:gridCol w:w="342"/>
        <w:gridCol w:w="343"/>
        <w:gridCol w:w="438"/>
        <w:gridCol w:w="438"/>
        <w:gridCol w:w="630"/>
      </w:tblGrid>
      <w:tr>
        <w:trPr/>
        <w:tc>
          <w:tcPr>
            <w:tcW w:w="90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09" w:type="dxa"/>
            <w:gridSpan w:val="3"/>
            <w:vMerge w:val="restart"/>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 (zanidatamab-hrii)</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previously treated, unresectable or metastatic HER2-positive (IHC3+) BTC, as detected by an FDA-approved test.</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Zymeworks)</w:t>
            </w:r>
            <w:r>
              <w:rPr>
                <w:rFonts w:ascii="Times New Roman;serif" w:hAnsi="Times New Roman;serif"/>
                <w:b w:val="false"/>
                <w:color w:val="000000"/>
                <w:sz w:val="13"/>
              </w:rPr>
              <w:t>2</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unresectable locally advanced or metastatic HER2-positive (IHC3+) BTC previously treated with at least one prior line of systemic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EU (licensed from Zymeworks)</w:t>
            </w:r>
            <w:r>
              <w:rPr>
                <w:rFonts w:ascii="Times New Roman;serif" w:hAnsi="Times New Roman;serif"/>
                <w:b w:val="false"/>
                <w:color w:val="000000"/>
                <w:sz w:val="13"/>
              </w:rPr>
              <w:t>3</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previously treated, unresectable locally advanced or metastatic HER2-positive (IHC3+) BTC, as monotherapy.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Canada (licensed from Zymeworks)</w:t>
            </w:r>
            <w:r>
              <w:rPr>
                <w:rFonts w:ascii="Times New Roman;serif" w:hAnsi="Times New Roman;serif"/>
                <w:b w:val="false"/>
                <w:color w:val="000000"/>
                <w:sz w:val="13"/>
              </w:rPr>
              <w:t>4</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treatment as a monotherapy of adults with unresectable locally advanced or metastatic HER2-positive (IHC3+) BTC previously treated with at least one prior line of systemic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1506" w:type="dxa"/>
            <w:gridSpan w:val="3"/>
            <w:tcBorders>
              <w:top w:val="single" w:sz="8" w:space="0" w:color="929292"/>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U.K. (licensed from Zymeworks)</w:t>
            </w:r>
            <w:r>
              <w:rPr>
                <w:rFonts w:ascii="Times New Roman;serif" w:hAnsi="Times New Roman;serif"/>
                <w:b w:val="false"/>
                <w:color w:val="000000"/>
                <w:sz w:val="13"/>
              </w:rPr>
              <w:t>5</w:t>
            </w:r>
          </w:p>
        </w:tc>
      </w:tr>
      <w:tr>
        <w:trPr/>
        <w:tc>
          <w:tcPr>
            <w:tcW w:w="1909" w:type="dxa"/>
            <w:gridSpan w:val="3"/>
            <w:tcBorders>
              <w:left w:val="single" w:sz="8" w:space="0" w:color="B6B6B6"/>
              <w:bottom w:val="single" w:sz="8" w:space="0" w:color="B6B6B6"/>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 (dordaviprone)</w:t>
            </w:r>
          </w:p>
        </w:tc>
        <w:tc>
          <w:tcPr>
            <w:tcW w:w="5751"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 and pediatric patients 1 year of age and older with diffuse midline glioma harboring an H3 K27M mutation with progressive disease following prior therapy.</w:t>
            </w:r>
          </w:p>
        </w:tc>
        <w:tc>
          <w:tcPr>
            <w:tcW w:w="1039" w:type="dxa"/>
            <w:gridSpan w:val="3"/>
            <w:tcBorders>
              <w:top w:val="single" w:sz="8" w:space="0" w:color="929292"/>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1506" w:type="dxa"/>
            <w:gridSpan w:val="3"/>
            <w:tcBorders>
              <w:top w:val="single" w:sz="8" w:space="0" w:color="929292"/>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w:t>
            </w:r>
            <w:r>
              <w:rPr>
                <w:rFonts w:ascii="Times New Roman;serif" w:hAnsi="Times New Roman;serif"/>
                <w:b w:val="false"/>
                <w:color w:val="000000"/>
                <w:sz w:val="13"/>
              </w:rPr>
              <w:t>2</w:t>
            </w:r>
          </w:p>
        </w:tc>
      </w:tr>
      <w:tr>
        <w:trPr/>
        <w:tc>
          <w:tcPr>
            <w:tcW w:w="1909" w:type="dxa"/>
            <w:gridSpan w:val="3"/>
            <w:vMerge w:val="restart"/>
            <w:tcBorders>
              <w:left w:val="single" w:sz="8" w:space="0" w:color="B6B6B6"/>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 (lurbinectedin)</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 patients with metastatic SCLC, with disease progression on or after platinum-based chemotherapy.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2020</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(licensed from PharmaMar)</w:t>
            </w:r>
            <w:r>
              <w:rPr>
                <w:rFonts w:ascii="Times New Roman;serif" w:hAnsi="Times New Roman;serif"/>
                <w:b w:val="false"/>
                <w:color w:val="000000"/>
                <w:sz w:val="13"/>
              </w:rPr>
              <w:t>2</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adults with Stage III or metastatic SCLC who have progressed on or after platinum-containing therapy.</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Canada (licensed from PharmaMar)</w:t>
            </w:r>
            <w:r>
              <w:rPr>
                <w:rFonts w:ascii="Times New Roman;serif" w:hAnsi="Times New Roman;serif"/>
                <w:b w:val="false"/>
                <w:color w:val="000000"/>
                <w:sz w:val="13"/>
              </w:rPr>
              <w:t>4</w:t>
            </w:r>
          </w:p>
        </w:tc>
      </w:tr>
      <w:tr>
        <w:trPr/>
        <w:tc>
          <w:tcPr>
            <w:tcW w:w="1909" w:type="dxa"/>
            <w:gridSpan w:val="3"/>
            <w:vMerge w:val="continue"/>
            <w:tcBorders>
              <w:left w:val="single" w:sz="8" w:space="0" w:color="B6B6B6"/>
            </w:tcBorders>
            <w:tcMar>
              <w:top w:w="0" w:type="dxa"/>
              <w:bottom w:w="0" w:type="dxa"/>
              <w:right w:w="0" w:type="dxa"/>
            </w:tcMar>
            <w:vAlign w:val="center"/>
          </w:tcPr>
          <w:p>
            <w:pPr>
              <w:pStyle w:val="Normal"/>
              <w:bidi w:val="0"/>
              <w:jc w:val="left"/>
              <w:rPr/>
            </w:pPr>
            <w:r>
              <w:rPr/>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combination with atezolizumab or atezolizumab and hyaluronidase-tqjs for the maintenance treatment of adult patients with extensive-stage SCLC whose disease has not progressed after first-line induction therapy with atezolizumab or atezolizumab and hyaluronidase-tqjs, carboplatin and etoposide.</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2025</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(licensed from PharmaMar)</w:t>
            </w:r>
          </w:p>
        </w:tc>
      </w:tr>
      <w:tr>
        <w:trPr/>
        <w:tc>
          <w:tcPr>
            <w:tcW w:w="190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(asparaginase erwinia chrysanthemi (recombinant)-</w:t>
              <w:br/>
              <w:t>rywn)</w:t>
            </w:r>
          </w:p>
        </w:tc>
        <w:tc>
          <w:tcPr>
            <w:tcW w:w="5751"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or older who have developed hypersensitivity to E. coli-derived asparaginase.</w:t>
            </w:r>
          </w:p>
        </w:tc>
        <w:tc>
          <w:tcPr>
            <w:tcW w:w="1039" w:type="dxa"/>
            <w:gridSpan w:val="3"/>
            <w:tcBorders>
              <w:top w:val="single" w:sz="8" w:space="0" w:color="B6B6B6"/>
              <w:left w:val="single" w:sz="8" w:space="0" w:color="B6B6B6"/>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2021</w:t>
            </w:r>
          </w:p>
        </w:tc>
        <w:tc>
          <w:tcPr>
            <w:tcW w:w="1506" w:type="dxa"/>
            <w:gridSpan w:val="3"/>
            <w:tcBorders>
              <w:top w:val="single" w:sz="8" w:space="0" w:color="B6B6B6"/>
              <w:left w:val="single" w:sz="8" w:space="0" w:color="B6B6B6"/>
              <w:right w:val="single" w:sz="8" w:space="0" w:color="B6B6B6"/>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190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 (crisantaspase recombinant)</w:t>
            </w:r>
          </w:p>
        </w:tc>
        <w:tc>
          <w:tcPr>
            <w:tcW w:w="5751"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adults and pediatric patients 1 year or older who have developed hypersensitivity to</w:t>
              <w:br/>
              <w:t>E. coli-derived asparaginase.</w:t>
            </w:r>
          </w:p>
        </w:tc>
        <w:tc>
          <w:tcPr>
            <w:tcW w:w="1039"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1506"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1909"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Enrylaze® (recombinant crisantaspase)</w:t>
            </w:r>
          </w:p>
        </w:tc>
        <w:tc>
          <w:tcPr>
            <w:tcW w:w="5751"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component of a multi-agent chemotherapeutic regimen for the treatment of ALL and LBL in adult and pediatric patients (1 month and older) who have developed hypersensitivity or silent inactivation to E. coli-derived asparaginase.</w:t>
            </w:r>
          </w:p>
        </w:tc>
        <w:tc>
          <w:tcPr>
            <w:tcW w:w="1039" w:type="dxa"/>
            <w:gridSpan w:val="3"/>
            <w:tcBorders>
              <w:top w:val="single" w:sz="8" w:space="0" w:color="929292"/>
              <w:left w:val="single" w:sz="8" w:space="0" w:color="B6B6B6"/>
              <w:bottom w:val="single" w:sz="8" w:space="0" w:color="B6B6B6"/>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2023</w:t>
            </w:r>
          </w:p>
        </w:tc>
        <w:tc>
          <w:tcPr>
            <w:tcW w:w="1506" w:type="dxa"/>
            <w:gridSpan w:val="3"/>
            <w:tcBorders>
              <w:top w:val="single" w:sz="8" w:space="0" w:color="929292"/>
              <w:left w:val="single" w:sz="8" w:space="0" w:color="B6B6B6"/>
              <w:bottom w:val="single" w:sz="8" w:space="0" w:color="B6B6B6"/>
              <w:right w:val="single" w:sz="8" w:space="0" w:color="B6B6B6"/>
            </w:tcBorders>
            <w:shd w:fill="CCEE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 U.K., Switzerland, other markets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clobazam restriction limited to EU and U.K.</w:t>
      </w:r>
    </w:p>
    <w:p>
      <w:pPr>
        <w:pStyle w:val="TextBody"/>
        <w:bidi w:val="0"/>
        <w:spacing w:lineRule="auto" w:line="288" w:before="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Accelerated approval received from FDA</w:t>
      </w:r>
    </w:p>
    <w:p>
      <w:pPr>
        <w:pStyle w:val="TextBody"/>
        <w:bidi w:val="0"/>
        <w:spacing w:lineRule="auto" w:line="288" w:before="2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Conditional marketing authorization granted by EC</w:t>
      </w:r>
    </w:p>
    <w:p>
      <w:pPr>
        <w:pStyle w:val="TextBody"/>
        <w:bidi w:val="0"/>
        <w:spacing w:lineRule="auto" w:line="288" w:before="20" w:after="283"/>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Conditional approval received from Health Canada</w:t>
      </w:r>
    </w:p>
    <w:p>
      <w:pPr>
        <w:pStyle w:val="TextBody"/>
        <w:bidi w:val="0"/>
        <w:spacing w:lineRule="auto" w:line="288" w:before="20" w:after="283"/>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Conditional marketing authorization granted by MHRA</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Rare Sleep Disorders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the leader in the development and commercialization of oxybate therapy for patients 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there is no cure for narcolepsy and long-term disease management is needed, we believe that Xywav represents an important therapeutic option for patients with this sleep disorder. Our first medicine in sleep was Xyrem, which was approved by FDA in 2002, and contains 1640 mg of sodium per 9 g dose per night. Xyrem is indicated for the treatment of cataplexy or EDS in patients seven years of age and older with narcolepsy. Xywav contains 92% less sodium than Xyrem and is the only approved oxybate therapy that does not carry a warning and precaution related to high sodium intake.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Analysis from the Phase 4 DUET trial showed improvements across multiple polysomnography measures in both narcolepsy and IH, suggesting Xywav improves measures of sleep fragmentation in these conditions.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2021, FDA recognized seven years of ODE for Xywav in EDS and cataplexy in narcolepsy through July 2027 (which was subsequently extended to January 2028). Nevertheless, Lumryz, a fixed-dose, high-sodium oxybate, was approved by FDA on May 1, 2023, for the treatment of cataplexy or EDS in adults with narcolepsy and was launched in the U.S. market by Avadel in June 2023.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12, 2021, FDA approved Xywav for the treatment of IH in adults. Xywav remains the first and only FDA-approved therapy to treat IH. We initiated the U.S. commercial launch of Xywav for the treatment of IH in adults in November 2021. In January 2022, we announced that FDA recognized seven years of ODE for Xywav in IH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seen strong adoption of Xywav in narcolepsy since its launch in November 2020, and increasing adoption in IH since its launch in November 2021. Exiting the first quarter of 2026, there were approximately 16,600 patients taking Xywav, including approximately 11,075 patients with narcolepsy and approximately 5,525 patients with IH. </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Rare Epilepsies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acquired Epidiolex (Epidyolex in certain markets outside the U.S.) in May 2021 as part of the GW Acquisition, which added a durable and long-lived asset in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indications, LGS and DS, to patients one year of age and older. In September 2019, the EC granted marketing authorization under the trade name Epidyolex for use as adjunctive therapy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seizures associated with LGS or DS, in conjunction with clobazam, for patients two years of age and older. The clobazam restriction is limited to the EU and U.K. Epidyolex was also approved for adjunctive therapy of seizures associated with TSC for patients 2 years of age and older in the EU in April 2021 and U.K. in August 2021, and is approved for this indication in other markets. Since January 1, 2025, the approval in U.K. has been extended automatically to cover Northern Ireland (under the agreed Windsor Framework). Epidyolex is now launched and reimbursed in more than 40 countries.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Following the top-line readout of the Phase 3 trial for Epidyolex for LGS, DS and TSC patients in Japan in August 2024, we continue to generate data from the trial and work with Japanese regulatory authorities. In April 2026, we entered into an agreement with Nippon Zoki to bring Epidyolex to appropriate patients with high unmet needs in Japan. Nippon Zoki will be responsible for importation, secondary packaging, regulatory activities and commercialization, following the completion of the ongoing clinical trial and potential regulatory approval.</w:t>
      </w:r>
    </w:p>
    <w:p>
      <w:pPr>
        <w:pStyle w:val="TextBody"/>
        <w:bidi w:val="0"/>
        <w:spacing w:lineRule="auto" w:line="288" w:before="120" w:after="283"/>
        <w:ind w:left="0" w:right="0" w:firstLine="495"/>
        <w:jc w:val="left"/>
        <w:rPr/>
      </w:pPr>
      <w:r>
        <w:rPr>
          <w:rFonts w:ascii="Times New Roman;serif" w:hAnsi="Times New Roman;serif"/>
          <w:b/>
          <w:i/>
          <w:color w:val="000000"/>
          <w:sz w:val="20"/>
        </w:rPr>
        <w:t>Rare</w:t>
      </w:r>
      <w:r>
        <w:rPr>
          <w:color w:val="000000"/>
        </w:rPr>
        <w:t xml:space="preserve"> </w:t>
      </w:r>
      <w:r>
        <w:rPr>
          <w:rFonts w:ascii="Times New Roman;serif" w:hAnsi="Times New Roman;serif"/>
          <w:b/>
          <w:i/>
          <w:color w:val="000000"/>
          <w:sz w:val="20"/>
        </w:rPr>
        <w:t>Oncology</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Ziihera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acquired exclusive development and commercialization rights to Ziihera in 2022 through an exclusive 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this indication may be contingent upon verification and description of clinical benefit in the Phase 3 HERIZON-BTC-302 confirmatory trial.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 In February 2026, MHRA granted conditional marketing authorization in the U.K. for Ziihera as monotherapy for the treatment of adults with unresectable locally advanced or metastatic HER2-positive (IHC3+) BTC previously treated with at least one prior line of systemic therapy, and NICE recommended reimbursement of Ziihera.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An sBLA of Ziihera for first-line treatment of HER2-positive locally advanced or metastatic GEA, including cancers of the stomach, gastroesophageal junction and esophagus, in combination with chemotherapy, with or without tislelizumab, was accepted and granted Priority Review by FDA with a PDUFA target action date of August 25, 2026. The application has received BTD by FDA and is being reviewed under FDA’s RTOR program, which is designed to provide a more efficient review process. The sBLA filing was also chosen for Project Orbis, an FDA initiative that can facilitate approvals in participating countries around the globe. Through Project Orbis, we completed applications of Ziihera for the same indication to MHRA and Health Canada. The Phase 3 data supporting the sBLA demonstrated statistically significant and clinically meaningful prolongation of progression-free survival in both investigational arms versus the trastuzumab control arm. Ziihera plus tislelizumab and chemotherapy demonstrated a statistically significant and clinically meaningful overall survival benefit with a median overall survival of 26.4 months, representing a 28% reduction in the risk of death versus the trastuzumab control arm.</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Modeyso</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Chimerix Acquisition in April 2025 for a total cash consideration of $944.2 million, adding Modeyso, a protease activator of the ClpP that also inhibits DRD2, to our oncology portfolio. In August 2025, Modeyso was granted accelerated approval by FDA for the treatment of adult and pediatric patients 1 year of age and older with diffuse midline glioma harboring an H3 K27M mutation with progressive disease following prior therapy. Modeyso is the first and only treatment option approved by FDA for this ultra-rare and aggressive brain tumor. In connection with the approval by FDA of Modeyso in August 2025, we received a rare pediatric disease PRV, which we sold in January 2026 for total cash consideration of $200.0 million of which 50% is attributable to us. </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Zepzelca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acquired U.S. development and commercialization rights to Zepzelca in early 2020, and launched with an indication for treatment of patients with metastatic SCLC with disease progression on or after platinum-based chemotherapy. Our education and promotional efforts are focused on SCLC-treating physicians. We are continuing to market Zepzelca across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rPr>
        <w:t>academic and community cancer centers.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June</w:t>
      </w:r>
      <w:r>
        <w:rPr>
          <w:color w:val="000000"/>
        </w:rPr>
        <w:t> </w:t>
      </w:r>
      <w:r>
        <w:rPr>
          <w:rFonts w:ascii="Times New Roman;serif" w:hAnsi="Times New Roman;serif"/>
          <w:b w:val="false"/>
          <w:color w:val="000000"/>
          <w:sz w:val="20"/>
        </w:rPr>
        <w:t>2025, the sNDA submission for the combination of Zepzelca with atezolizumab or atezolizumab and hyaluronidase-tqjs was granted priority review by FDA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Rylaze</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Rylaze was approved by FDA in June 2021, and was launched in the U.S. in 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every 48 hours. In November 2022, FDA approved an sBLA, for a Monday/Wednesday/Friday 25/25/50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IM dosing schedule. In September 2023, the EC granted marketing authorization for JZP458 (Rylaze) under the trade name Enrylaze</w:t>
      </w:r>
      <w:r>
        <w:rPr>
          <w:rFonts w:ascii="null;sans-serif" w:hAnsi="null;sans-serif"/>
          <w:b w:val="false"/>
          <w:color w:val="000000"/>
          <w:sz w:val="20"/>
        </w:rPr>
        <w:t>®</w:t>
      </w:r>
      <w:r>
        <w:rPr>
          <w:rFonts w:ascii="Times New Roman;serif" w:hAnsi="Times New Roman;serif"/>
          <w:b w:val="false"/>
          <w:color w:val="000000"/>
          <w:sz w:val="20"/>
        </w:rPr>
        <w:t>. Enrylaze was approved in U.K. in January 2024 (as of January 1, 2025, this approval extends to Northern Ireland), and is also approved in Canada, Switzerland and Australia.</w:t>
      </w:r>
    </w:p>
    <w:p>
      <w:pPr>
        <w:pStyle w:val="TextBody"/>
        <w:bidi w:val="0"/>
        <w:spacing w:lineRule="auto" w:line="288" w:before="12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Progress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Within our oncology R&amp;D program, in October 2022, we announced an exclusive licensing and collaboration agreement with Zymeworks providing us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accelerated approval for this BLA in November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 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 versus the control arm.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EmpowHER-BC-303 to evaluate zanidatamab plus chemotherapy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trastuzumab plus chemotherapy in patients with HER2-positive breast cancer whose disease has progressed on previous T-DXd treatment, and a Phase 3 confirmatory trial examining zanidatamab in first-line patients with HER2-positive BTC.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April 2025, we announced the submission of an sNDA to support approval of this combination in the first-line maintenance setting. In June 2025, FDA granted priority review of the sNDA and we subsequently received FDA approval in October 2025 for the combination as a first-line maintenance treatment of adult patients with extensive-stage SCLC whose disease has not progressed after first-line induction therapy with atezolizumab or atezolizumab and hyaluronidase-tqjs, carboplatin and etoposide. In addition, our licensor PharmaMar is conducting a confirmatory trial in second-line SCLC. This ongoing three-arm trial is comparing Zepzelca as either monotherapy or in combination with irinotecan to investigator's choice of irinotecan or topotecan.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lead clinical asset acquired from Chimerix, Modeyso, is a novel first-in-class small molecule that is a protease activator of the ClpP that also inhibits DRD2. Modeyso is the first and only treatment option approved by FDA for an ultra-rare and aggressive brain tumor. Continued approval for this indication may be contingent upon verification and description of clinical benefit in the Phase 3 ACTION confirmatory trial. The ongoing Phase 3 ACTION trial is evaluating Modeyso in newly diagnosed, non-recurrent H3 K27M-mutant diffuse glioma patients following radiation treatment, potentially extending this treatment option into the front-line setting.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2022, we announced FDA had cleared our IND for JZP815 and, in October 2022, we enrolled the first patient in a Phase 1 trial and the trial has progressed to expansion cohorts. JZP815 is an investigational stage pan-RAF kinase inhibitor that targets specific components of the MAPK pathway that, when activated by oncogenic mutations, can be a frequent driver of human cancer.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2022, we announced that we had entered into a licensing and collaboration agreement with Werewolf to acquire exclusive, worldwide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provides us with an opportunity to expand into immuno-oncology. JZP898 is a differentiated, conditionally-activated IFNα INDUKINE™ molecule. In November 2023, we enrolled our first patient in a Phase 1 trial of JZP898 and the trial has progressed to cohorts in combination with pembrolizumab in renal-cell carcinoma, urothelial carcinoma and melanoma.</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we announced that we had entered into a licensing agreement with Sumitomo to acquire exclusive development and commercialization rights in the U.S., Europe and other territories for JZP441. JZP441 is a potent, highly selective oral orexin 2 receptor agonist with potential application for the treatment of narcolepsy, IH and other sleep disorders. In November 2023, we announced that we achieved initial proof-of-concept in our Phase 1 clinical trial program in healthy volunteers as demonstrated by the MWT. In 2025, we initiated a small Phase 1b trial of JZP441 in narcolepsy Type 1 patients. Based on our continued assessment of the molecule, we made the decision in February 2026 to stop the development of JZP441 and end our partnership with Sumitomo.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August 2025, we announced that we entered a global license agreement with Saniona to obtain exclusive worldwide rights to develop SAN2355, now referred to as JZP053, for epilepsy and other potential indications. JZP053 is a preclinical, selective small molecule activator of Kv7.2/Kv7.3 potassium channels, a mechanism validated for seizure suppression. Under the terms of the agreement, we made an upfront payment to Saniona of $42.5 million. Saniona is eligible to receive up to $192.5 million in development and regulatory milestones, up to $800 million in commercial milestone payments and tiered royalties ranging from mid-single digits to low-double digits on net sales of commercial products resulting from the development of JZP053. This transaction further expands our early-stage neuroscience pipeline building on our existing expertise in the treatment of epilepsy.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2025, we initiated a Phase 1b trial evaluating Epidiolex as an adjunctive treatment in reducing the frequency of focal seizures compared to the baseline as well as the effect of Epidiolex on health outcome endpoints in early line and refractory participants with focal-onset seizures.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Below is a summary of our key ongoing and planned development projects related to our products and pipeline and their corresponding current stages of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821"/>
        <w:gridCol w:w="644"/>
        <w:gridCol w:w="648"/>
        <w:gridCol w:w="2554"/>
        <w:gridCol w:w="2284"/>
        <w:gridCol w:w="3254"/>
      </w:tblGrid>
      <w:tr>
        <w:trPr/>
        <w:tc>
          <w:tcPr>
            <w:tcW w:w="82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Product Candidates</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Regulatory</w:t>
            </w:r>
          </w:p>
        </w:tc>
        <w:tc>
          <w:tcPr>
            <w:tcW w:w="8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GEA (HERIZON-GEA-01) (sBLA under FDA review)</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3</w:t>
            </w:r>
          </w:p>
        </w:tc>
        <w:tc>
          <w:tcPr>
            <w:tcW w:w="8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HER2-positive BTC (HERIZON-BTC-302) (ongoing confirmatory trial)</w:t>
            </w:r>
          </w:p>
        </w:tc>
      </w:tr>
      <w:tr>
        <w:trPr/>
        <w:tc>
          <w:tcPr>
            <w:tcW w:w="21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treated HER2-positive breast cancer in patients whose disease has progressed on previous T-DXd treatment (EmpowHER-BC-303) (ongoing trial)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Dordaviprone</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First-line H3 K27M-mutant diffuse glioma (ACTION trial) (ongoing confirmatory trial)</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Newly diagnosed adults with standard- and high-risk AML (AMLSG 30-18) (cooperative group study) (ongoing trial) </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2</w:t>
            </w:r>
          </w:p>
        </w:tc>
        <w:tc>
          <w:tcPr>
            <w:tcW w:w="8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Basket trial including HER2-positive solid tumors (DiscovHER-Pan-206) (ongoing trial)</w:t>
            </w:r>
          </w:p>
        </w:tc>
      </w:tr>
      <w:tr>
        <w:trPr/>
        <w:tc>
          <w:tcPr>
            <w:tcW w:w="21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Neoadjuvant and adjuvant breast cancer (EmpowHER-BC-208) (ongoing trial)</w:t>
            </w:r>
          </w:p>
        </w:tc>
      </w:tr>
      <w:tr>
        <w:trPr/>
        <w:tc>
          <w:tcPr>
            <w:tcW w:w="21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 advanced GEA in combination with paclitaxel and ramucirumab (Canadian Cancer Trials Group collaboration) (ongoing trial)</w:t>
            </w:r>
          </w:p>
        </w:tc>
      </w:tr>
      <w:tr>
        <w:trPr/>
        <w:tc>
          <w:tcPr>
            <w:tcW w:w="21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HER2+/PD-L1+ mGEA in combination with pembrolizumab and chemotherapy (ZANGEA) (collaboration study) (trial enrolling)</w:t>
            </w:r>
          </w:p>
        </w:tc>
      </w:tr>
      <w:tr>
        <w:trPr/>
        <w:tc>
          <w:tcPr>
            <w:tcW w:w="211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stage HER2/neu positive (HER2+) breast cancer (collaboration study) (ongoing trial)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High-risk MDS (PALOMA) (cooperative group study) (ongoing trial)</w:t>
              <w:br/>
              <w:t>Newly diagnosed untreated patients with high-risk AML (MyeloMATCH Tier SWOG) (cooperative group study) (ongoing trial)</w:t>
              <w:br/>
              <w:t>De novo intermediate or adverse risk AML stratified by genomics (ALFA2101) (collaboration study) (ongoing trial)</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 + other approved therapies</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R/R AML or post-hypomethylating agent failure high-risk MDS (MD Anderson collaboration study) (ongoing trial) </w:t>
              <w:br/>
              <w:t>De novo or R/R AML (MD Anderson collaboration study) (ongoing trial)</w:t>
              <w:br/>
              <w:t>AML or high-risk MDS that has IDH1 mutation (MD Anderson collaboration study) (ongoing trial)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JZP3507</w:t>
            </w:r>
            <w:r>
              <w:rPr>
                <w:rFonts w:ascii="Times New Roman;serif" w:hAnsi="Times New Roman;serif"/>
                <w:b w:val="false"/>
                <w:color w:val="000000"/>
                <w:sz w:val="13"/>
              </w:rPr>
              <w:t>1</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Pheochromocytoma and paraganglioma (acquired from Chimerix) (ongoing trial)</w:t>
              <w:br/>
              <w:t>Meningioma (trial initiated)</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Phase 1</w:t>
            </w:r>
          </w:p>
        </w:tc>
        <w:tc>
          <w:tcPr>
            <w:tcW w:w="8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JZP815</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Raf and Ras mutant tumors (acquired from Redx) (ongoing trial)</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JZP898</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Conditionally-activated IFNα INDUKINE™ molecule in solid tumors (ongoing trial)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 intensity dosing for higher risk MDS (MD Anderson collaboration study) (ongoing trial)</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JZP3507</w:t>
            </w:r>
            <w:r>
              <w:rPr>
                <w:rFonts w:ascii="Times New Roman;serif" w:hAnsi="Times New Roman;serif"/>
                <w:b w:val="false"/>
                <w:color w:val="000000"/>
                <w:sz w:val="13"/>
              </w:rPr>
              <w:t>1</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Newly diagnosed or recurrent diffuse midline gliomas and other recurrent primary malignant CNS tumors (UCSF collaboration) (acquired from Chimerix) (ongoing trial)</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Focal-onset seizures</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JZP047</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Absence epilepsy</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Preclinical</w:t>
            </w:r>
          </w:p>
        </w:tc>
        <w:tc>
          <w:tcPr>
            <w:tcW w:w="8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JZP3508</w:t>
            </w:r>
            <w:r>
              <w:rPr>
                <w:rFonts w:ascii="Times New Roman;serif" w:hAnsi="Times New Roman;serif"/>
                <w:b w:val="false"/>
                <w:color w:val="000000"/>
                <w:sz w:val="13"/>
              </w:rPr>
              <w:t>2</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KRAS inhibitor targets</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Pan-KRAS molecule (acquired from Redx)</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CombiPlex®</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Hematology/oncology exploratory activities</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JZP053</w:t>
            </w:r>
            <w:r>
              <w:rPr>
                <w:rFonts w:ascii="Times New Roman;serif" w:hAnsi="Times New Roman;serif"/>
                <w:b w:val="false"/>
                <w:color w:val="000000"/>
                <w:sz w:val="13"/>
              </w:rPr>
              <w:t>3</w:t>
            </w:r>
          </w:p>
        </w:tc>
        <w:tc>
          <w:tcPr>
            <w:tcW w:w="8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Undisclosed targets</w:t>
            </w:r>
          </w:p>
        </w:tc>
        <w:tc>
          <w:tcPr>
            <w:tcW w:w="8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br/>
              <w:t>Epilepsy</w:t>
              <w:br/>
              <w:t>Other Neuroscience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13"/>
        </w:rPr>
        <w:t>1</w:t>
      </w:r>
      <w:r>
        <w:rPr>
          <w:rFonts w:ascii="Times New Roman;serif" w:hAnsi="Times New Roman;serif"/>
          <w:b w:val="false"/>
          <w:color w:val="000000"/>
          <w:sz w:val="20"/>
        </w:rPr>
        <w:t>Also known as ONC206</w:t>
      </w:r>
    </w:p>
    <w:p>
      <w:pPr>
        <w:pStyle w:val="TextBody"/>
        <w:bidi w:val="0"/>
        <w:spacing w:lineRule="auto" w:line="288" w:before="120" w:after="283"/>
        <w:jc w:val="left"/>
        <w:rPr/>
      </w:pPr>
      <w:r>
        <w:rPr>
          <w:rFonts w:ascii="Times New Roman;serif" w:hAnsi="Times New Roman;serif"/>
          <w:b w:val="false"/>
          <w:color w:val="000000"/>
          <w:sz w:val="13"/>
        </w:rPr>
        <w:t>2</w:t>
      </w:r>
      <w:r>
        <w:rPr>
          <w:rFonts w:ascii="Times New Roman;serif" w:hAnsi="Times New Roman;serif"/>
          <w:b w:val="false"/>
          <w:color w:val="000000"/>
          <w:sz w:val="20"/>
        </w:rPr>
        <w:t>Also known as ONC212</w:t>
      </w:r>
    </w:p>
    <w:p>
      <w:pPr>
        <w:pStyle w:val="TextBody"/>
        <w:bidi w:val="0"/>
        <w:spacing w:lineRule="auto" w:line="288" w:before="120" w:after="283"/>
        <w:jc w:val="left"/>
        <w:rPr/>
      </w:pPr>
      <w:r>
        <w:rPr>
          <w:rFonts w:ascii="Times New Roman;serif" w:hAnsi="Times New Roman;serif"/>
          <w:b w:val="false"/>
          <w:color w:val="000000"/>
          <w:sz w:val="13"/>
        </w:rPr>
        <w:t>3</w:t>
      </w:r>
      <w:r>
        <w:rPr>
          <w:rFonts w:ascii="Times New Roman;serif" w:hAnsi="Times New Roman;serif"/>
          <w:b w:val="false"/>
          <w:color w:val="000000"/>
          <w:sz w:val="20"/>
        </w:rPr>
        <w:t>Also known as SAN2355</w:t>
      </w:r>
    </w:p>
    <w:p>
      <w:pPr>
        <w:pStyle w:val="TextBody"/>
        <w:bidi w:val="0"/>
        <w:spacing w:lineRule="auto" w:line="288" w:before="280" w:after="283"/>
        <w:ind w:left="0" w:right="0" w:firstLine="225"/>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Challenges, Risks and Trends Related to Our Business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In the first quarter of 2026, Xywav revenues meaningfully contributed to our business. Our current 2026 operating plan assumes that Xywav, with 92% lower sodium compared to high-sodium oxybates (depending on the dose), a dosing titration option and an absence of a sodium warning, will remain </w:t>
      </w:r>
      <w:r>
        <w:rPr>
          <w:rFonts w:ascii="Times New Roman;serif" w:hAnsi="Times New Roman;serif"/>
          <w:b w:val="false"/>
          <w:color w:val="000000"/>
          <w:sz w:val="20"/>
          <w:shd w:fill="FFFFFF" w:val="clear"/>
        </w:rPr>
        <w:t>the #1 branded oxybate treatment for narcolepsy; the position it held based on revenue in the first quarter of 2026</w:t>
      </w:r>
      <w:r>
        <w:rPr>
          <w:rFonts w:ascii="Times New Roman;serif" w:hAnsi="Times New Roman;serif"/>
          <w:b w:val="false"/>
          <w:color w:val="000000"/>
          <w:sz w:val="20"/>
        </w:rPr>
        <w:t xml:space="preserve">. In June 2021, FDA recognized seven years of ODE for Xywav in narcolepsy through July 21, 2027 (which was subsequently extended to January 21, 2028), stating that Xywav is clinically superior to Xyrem by means of greater safety due to reduced chronic sodium burden. Additionally, in August 2021, FDA recognized ODE for Xywav in IH through August 12, 2028. While we expect that our business will continue to meaningfully depend on oxybate revenues, there is no guarantee that oxybate revenues will remain at current levels.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Xywav and Xyrem face competition from Alkermes’ Lumryz (acquired through its acquisition of Avadel), a branded product for treatment of cataplexy and/or EDS in narcolepsy, which was launched in the U.S. market in June 2023. In addition, since January 2023, our oxybate products have faced competition from an AG version of high-sodium oxybate pursuant to a settlement agreement we entered into with an ANDA filer and, from July 2023, an additional AG version of high-sodium oxybate from a volume-limited ANDA filer. Specifically, a wholly-owned subsidiary of Hikma launched its AG version of sodium oxybate in January 2023 and Amneal launched its AG version of sodium oxybate in July 2023. In September 2023, Hikma elected to continue to sell the Hikma AG product, with royalties to be paid to us, for an additional four years beginning in January 2024.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as set forth in our agreement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The Hikma AG product is expected to continue to negatively impact Xyrem and Xywav sales for patients with narcolepsy.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Amneal had rights to sell a low-single-digit percentage of historical Xyrem sales over each 6-month sales period, which terminated at the end of 2025. Lupin and Par never elected to launch an AG product. AG products are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In November 2025, FDA approved Ascent’s generic high-sodium oxybate product. In March 2026, Amneal and Ascent began dispensing their generic high-sodium oxybate products through the generic sodium oxybate REMS. Any other company commercializing a generic version of high-sodium oxybate would need to join an existing REMS operated by another company.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In January 2026, we received notices from Tris Pharma that it had filed with FDA a Section 505(b)(2) NDA with Xyrem and Xywav as referenced listed drugs. We have filed patent infringement suits against these ANDA filers and 505(b)(2) NDA filer. In March 2026, we entered into a patent litigation settlement agreement with Granules. The specific terms of the Granules settlement agreement are confidential. On October 13, 2023, Lupin announced that it has received tentative approval for its application to market a generic version of Xywav.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Alkermes’ Lumryz, have had and may continue to have the effect of changing payor or formulary coverage of Xywav or Xyrem in favor of other products, and indirectly adversely affect sales of Xywav and Xyrem.</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any event, we expect that the approval and launch of AG products or other generic versions of Xyrem or Xywav and the approval and launch of any other sodium oxybate product, such as Alkermes’ Lumryz, or alternative product that treats narcolepsy, such as Axsome’s reboxetine or orexin 2 receptor agonists being developed by Takeda, Merck &amp; Co., Inc., Eisai Co., Ltd., Centessa Pharmaceuticals plc and Alkermes, will continue to have a negative impact on, and could have a material adverse effect on, our sales of Xywav and Xyrem and on our business, financial condition, results of operations and growth prospects.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Epidiolex/Epidyolex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CBD preparations being made available from companies through the state-enabled medical marijuana industry, which might attempt to compete with Epidiolex. Thus, significant uncertainty remains regarding the commercial potential of Epidiolex/Epidyolex.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Xywav, Xyrem and Epidiolex/Epidyolex, we are commercializing a portfolio of oncology products, including Ziihera, Modeyso, Zepzelca, Rylaze, Vyxeos and Defitelio. An inability to effectively commercialize Ziihera, Modeyso, Zepzelca, Rylaze, Vyxeos and Defitelio and to maximize their potential where possible through successful R&amp;D activities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recent Chimerix Acquisition, could have a material adverse effect on our business, results of operations and financial condition.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on May 12, 2025, the White House issued an Executive Order directing federal agencies to pursue MFN pricing for certain prescription drugs, under which U.S. prices would be indexed to the lowest prices available in select OECD countries and on September 30, 2025, the current administration announced the first of several agreements with major pharmaceutical companies that requires drug manufacturers to offer, through a direct-to-consumer platform, U.S. patients and Medicaid programs prescription drug MFN pricing equal to or lower than those paid in other developed nations, with additional mandates for direct-to-patient discounts and repatriation of foreign revenues, in exchange for tariff relief. The White House is currently seeking voluntary pricing concessions from certain manufacturers, with the potential for administrative action to follow if companies do not engage constructively, creating uncertainty around future pricing and reimbursement that could negatively impact our U.S. revenues and overall business performance, and also is in the process of implementing or considering various Center for Medicare &amp; Medicaid Innovation models that would rely on MFN reference pricing.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While certain preparations of cannabis remain Schedule I controlled substances, if such products are approved by FDA for medical use in the U.S. they are rescheduled to Schedules II-V, since approval by FDA demonstrates the existence of an “accepted medical use” for the products and thus Schedule I is inapplicable; or such products may be removed from control under the Controlled Substances Act entirely. If any of our product candidates receive FDA approval, the HHS and the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abuse potential. This generation of data could increase the cost, delay the approval and/or delay the launch of that product.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As of October 2025, we resolved the entirety of these antitrust lawsuits. For additional information on these lawsuits, as well as the settlement agreements with respect thereto and other legal matters, see Note 10, Commitments and Contingencies-Legal Proceedings of the Notes to Condensed Consolidated Financial Statements, included in Part I of this Quarterly Report on Form 10</w:t>
        <w:noBreakHyphen/>
        <w:t>Q. It is possible that additional lawsuits will be filed against us making similar or related allegations. We cannot predict the outcome of any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Moreover,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the PRC.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t>
      </w:r>
      <w:r>
        <w:rPr>
          <w:rFonts w:ascii="Times New Roman;serif" w:hAnsi="Times New Roman;serif"/>
          <w:b w:val="false"/>
          <w:color w:val="000000"/>
          <w:sz w:val="20"/>
          <w:shd w:fill="FFFFFF" w:val="clear"/>
        </w:rPr>
        <w:t xml:space="preserve">While we cannot at this time predict the ultimate impact of such tariffs, we anticipate that our margins could be adversely affected, depending on the ultimate scope and duration of tariffs imposed. </w:t>
      </w:r>
      <w:r>
        <w:rPr>
          <w:rFonts w:ascii="Times New Roman;serif" w:hAnsi="Times New Roman;serif"/>
          <w:b w:val="false"/>
          <w:color w:val="000000"/>
          <w:sz w:val="20"/>
        </w:rPr>
        <w:t xml:space="preserve">However, given the volatility and uncertainty regarding the scope and duration of such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rPr>
        <w:t>disrupt or otherwise negatively impact our supply chain, demand for our products and our ability to meet demand for our products, and increase our costs. See “</w:t>
      </w:r>
      <w:r>
        <w:rPr>
          <w:rFonts w:ascii="Times New Roman;serif" w:hAnsi="Times New Roman;serif"/>
          <w:b w:val="false"/>
          <w:i/>
          <w:color w:val="000000"/>
          <w:sz w:val="20"/>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r>
        <w:rPr>
          <w:color w:val="000000"/>
        </w:rPr>
        <w:t xml:space="preserve">” </w:t>
      </w:r>
      <w:r>
        <w:rPr>
          <w:rFonts w:ascii="Times New Roman;serif" w:hAnsi="Times New Roman;serif"/>
          <w:b w:val="false"/>
          <w:color w:val="000000"/>
          <w:sz w:val="20"/>
        </w:rPr>
        <w:t xml:space="preserve">in Part I, Item 1A of our Annual Report on Form 10-K for the year ended December 31, 2025.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risks and uncertainties are discussed in greater detail, along with other risks and uncertainties, in “Risk Factors” in Part I,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The following table presents our revenues and expenses (in millions, except percentages):</w:t>
      </w:r>
      <w:r>
        <w:rPr>
          <w:color w:val="000000"/>
        </w:rPr>
        <w:t> </w:t>
      </w:r>
    </w:p>
    <w:tbl>
      <w:tblPr>
        <w:tblW w:w="10205" w:type="dxa"/>
        <w:jc w:val="left"/>
        <w:tblInd w:w="0" w:type="dxa"/>
        <w:tblLayout w:type="fixed"/>
        <w:tblCellMar>
          <w:top w:w="28" w:type="dxa"/>
          <w:left w:w="28" w:type="dxa"/>
          <w:bottom w:w="28" w:type="dxa"/>
          <w:right w:w="28" w:type="dxa"/>
        </w:tblCellMar>
      </w:tblPr>
      <w:tblGrid>
        <w:gridCol w:w="2127"/>
        <w:gridCol w:w="1771"/>
        <w:gridCol w:w="1779"/>
        <w:gridCol w:w="109"/>
        <w:gridCol w:w="109"/>
        <w:gridCol w:w="109"/>
        <w:gridCol w:w="109"/>
        <w:gridCol w:w="128"/>
        <w:gridCol w:w="128"/>
        <w:gridCol w:w="248"/>
        <w:gridCol w:w="905"/>
        <w:gridCol w:w="128"/>
        <w:gridCol w:w="109"/>
        <w:gridCol w:w="109"/>
        <w:gridCol w:w="109"/>
        <w:gridCol w:w="211"/>
        <w:gridCol w:w="616"/>
        <w:gridCol w:w="109"/>
        <w:gridCol w:w="109"/>
        <w:gridCol w:w="109"/>
        <w:gridCol w:w="109"/>
        <w:gridCol w:w="215"/>
        <w:gridCol w:w="206"/>
        <w:gridCol w:w="544"/>
      </w:tblGrid>
      <w:tr>
        <w:trPr/>
        <w:tc>
          <w:tcPr>
            <w:tcW w:w="212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1292" w:type="dxa"/>
            <w:gridSpan w:val="6"/>
            <w:tcBorders/>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 (excluding amortization of acquired 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priority review voucher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of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N/A(1)</w:t>
            </w:r>
          </w:p>
        </w:tc>
      </w:tr>
      <w:tr>
        <w:trPr/>
        <w:tc>
          <w:tcPr>
            <w:tcW w:w="5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(1)Comparison to prior period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net product sales, royalties and contract revenues, and total revenues (in millions except percentages):</w:t>
      </w:r>
    </w:p>
    <w:tbl>
      <w:tblPr>
        <w:tblW w:w="8132" w:type="dxa"/>
        <w:jc w:val="left"/>
        <w:tblInd w:w="0" w:type="dxa"/>
        <w:tblLayout w:type="fixed"/>
        <w:tblCellMar>
          <w:top w:w="28" w:type="dxa"/>
          <w:left w:w="28" w:type="dxa"/>
          <w:bottom w:w="28" w:type="dxa"/>
          <w:right w:w="28" w:type="dxa"/>
        </w:tblCellMar>
      </w:tblPr>
      <w:tblGrid>
        <w:gridCol w:w="1273"/>
        <w:gridCol w:w="1120"/>
        <w:gridCol w:w="1131"/>
        <w:gridCol w:w="109"/>
        <w:gridCol w:w="109"/>
        <w:gridCol w:w="109"/>
        <w:gridCol w:w="109"/>
        <w:gridCol w:w="134"/>
        <w:gridCol w:w="134"/>
        <w:gridCol w:w="259"/>
        <w:gridCol w:w="943"/>
        <w:gridCol w:w="134"/>
        <w:gridCol w:w="109"/>
        <w:gridCol w:w="109"/>
        <w:gridCol w:w="109"/>
        <w:gridCol w:w="211"/>
        <w:gridCol w:w="616"/>
        <w:gridCol w:w="109"/>
        <w:gridCol w:w="109"/>
        <w:gridCol w:w="109"/>
        <w:gridCol w:w="109"/>
        <w:gridCol w:w="222"/>
        <w:gridCol w:w="213"/>
        <w:gridCol w:w="543"/>
      </w:tblGrid>
      <w:tr>
        <w:trPr/>
        <w:tc>
          <w:tcPr>
            <w:tcW w:w="127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1305" w:type="dxa"/>
            <w:gridSpan w:val="6"/>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Xywav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Xyrem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Sleep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Epidiolex/Epidyolex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Epilepsy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Rylaze/Enrylaze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Zepzelca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Defitelio/defibrotide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Modeyso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Vyxeos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Ziihera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N/A(2)</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Oncology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High-sodium oxybate AG 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royalty and contract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(1)Includes Sativex product sales, net for the three months ended March 31, 2025.</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(2)Comparison to prior period not meaningful.</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Xywav product sales increased in the three months ended March 31, 2026, compared to the same period in 2025, primarily due to increased sales volumes of 12% and, to a lesser extent, a higher selling price. We continue to see Xywav adoption in patients with narcolepsy driven by continued demand, supported by educational initiatives around efficacy and the benefit of lowering sodium intake. In addition, Xywav product sales were positively impacted by adoption in IH. Xywav is the only oxybate therapy approved to treat IH and we see continued growth of new prescribers. Exiting the quarter, there were 11,075 patients taking Xywav for narcolepsy and 5,525 taking Xywav for IH, an increase of approximately 7% and 31%, respectively,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Xyrem product sales decreased in the three months ended March 31, 2026, compared to the same period in 2025, primarily due to decreased sales volumes of 21%, due to the adoption of Xywav by existing patients and high-sodium oxybate competition, partially offset by a higher selling price. Epidiolex/Epidyolex product sales increased in the three months ended March 31, 2026, compared to the same period in 2025, primarily due to increased sales volumes of 16%, driven by increased demand, and the positive impact of foreign exchange rates, partially offset by higher gross to net deductions.</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Rylaze/Enrylaze product sales increased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three months ended March 31, 2026, compared to the same period in</w:t>
      </w:r>
      <w:r>
        <w:rPr>
          <w:color w:val="000000"/>
        </w:rPr>
        <w:t xml:space="preserve"> </w:t>
      </w:r>
      <w:r>
        <w:rPr>
          <w:rFonts w:ascii="Times New Roman;serif" w:hAnsi="Times New Roman;serif"/>
          <w:b w:val="false"/>
          <w:color w:val="000000"/>
          <w:sz w:val="20"/>
        </w:rPr>
        <w:t>2025, primarily due to increased sales volumes of 14% and a higher average selling price, partially offset by higher gross to net d</w:t>
      </w:r>
      <w:r>
        <w:rPr>
          <w:rFonts w:ascii="Times New Roman;serif" w:hAnsi="Times New Roman;serif"/>
          <w:b w:val="false"/>
          <w:color w:val="000000"/>
          <w:sz w:val="20"/>
          <w:shd w:fill="FFFFFF" w:val="clear"/>
        </w:rPr>
        <w:t xml:space="preserve">eductions. Zepzelca product sales increased in the three months ended March 31, 2026, compared to the same period in 2025, primarily due to increased sales volumes, reflecting continued adoption in the first-line maintenance ES-SCLC setting following FDA approval of Zepzelca in combination with atezolizumab or atezolizumab and hyaluronidase-tqjs in October 2025, partially offset by a decline in second line use. Defitelio/defibrotide product sales increased in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 xml:space="preserve">, compared to the same period in 2025, primarily due to increased sales volumes, and </w:t>
      </w:r>
      <w:r>
        <w:rPr>
          <w:rFonts w:ascii="Times New Roman;serif" w:hAnsi="Times New Roman;serif"/>
          <w:b w:val="false"/>
          <w:color w:val="000000"/>
          <w:sz w:val="20"/>
        </w:rPr>
        <w:t>the positive impact of foreign exchange rates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Modeyso product sales were </w:t>
      </w:r>
      <w:r>
        <w:rPr>
          <w:rFonts w:ascii="Times New Roman;serif" w:hAnsi="Times New Roman;serif"/>
          <w:b w:val="false"/>
          <w:color w:val="000000"/>
          <w:sz w:val="20"/>
          <w:shd w:fill="FFFFFF" w:val="clear"/>
        </w:rPr>
        <w:t>$41.4 million</w:t>
      </w:r>
      <w:r>
        <w:rPr>
          <w:color w:val="000000"/>
        </w:rPr>
        <w:t xml:space="preserve">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three months ended March 31, 2026</w:t>
      </w:r>
      <w:r>
        <w:rPr>
          <w:rFonts w:ascii="Times New Roman;serif" w:hAnsi="Times New Roman;serif"/>
          <w:b w:val="false"/>
          <w:color w:val="000000"/>
          <w:sz w:val="20"/>
        </w:rPr>
        <w:t xml:space="preserve">, following its product launch in August 2025. </w:t>
      </w:r>
      <w:r>
        <w:rPr>
          <w:rFonts w:ascii="Times New Roman;serif" w:hAnsi="Times New Roman;serif"/>
          <w:b w:val="false"/>
          <w:color w:val="000000"/>
          <w:sz w:val="20"/>
          <w:shd w:fill="FFFFFF" w:val="clear"/>
        </w:rPr>
        <w:t xml:space="preserve">Vyxeos product sales decreased in the three months ended March 31, 2026, compared to the same period in 2025, due to a decrease in sales volumes, partially offset by lower gross to net deductions and the positive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impact of foreign exchange rates. </w:t>
      </w:r>
      <w:r>
        <w:rPr>
          <w:rFonts w:ascii="Times New Roman;serif" w:hAnsi="Times New Roman;serif"/>
          <w:b w:val="false"/>
          <w:color w:val="000000"/>
          <w:sz w:val="20"/>
        </w:rPr>
        <w:t xml:space="preserve">Ziihera product sales were </w:t>
      </w:r>
      <w:r>
        <w:rPr>
          <w:rFonts w:ascii="Times New Roman;serif" w:hAnsi="Times New Roman;serif"/>
          <w:b w:val="false"/>
          <w:color w:val="000000"/>
          <w:sz w:val="20"/>
          <w:shd w:fill="FFFFFF" w:val="clear"/>
        </w:rPr>
        <w:t>$13.3 million</w:t>
      </w:r>
      <w:r>
        <w:rPr>
          <w:color w:val="000000"/>
        </w:rPr>
        <w:t xml:space="preserve">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 xml:space="preserve">three months ended March 31, 2026, </w:t>
      </w:r>
      <w:r>
        <w:rPr>
          <w:rFonts w:ascii="Times New Roman;serif" w:hAnsi="Times New Roman;serif"/>
          <w:b w:val="false"/>
          <w:color w:val="000000"/>
          <w:sz w:val="20"/>
        </w:rPr>
        <w:t xml:space="preserve">following its product launch in December 2024. </w:t>
      </w:r>
    </w:p>
    <w:p>
      <w:pPr>
        <w:pStyle w:val="TextBody"/>
        <w:bidi w:val="0"/>
        <w:spacing w:lineRule="auto" w:line="288" w:before="120" w:after="283"/>
        <w:ind w:left="0" w:right="0" w:firstLine="495"/>
        <w:jc w:val="left"/>
        <w:rPr/>
      </w:pPr>
      <w:r>
        <w:rPr>
          <w:rFonts w:ascii="Times New Roman;serif" w:hAnsi="Times New Roman;serif"/>
          <w:b w:val="false"/>
          <w:color w:val="000000"/>
          <w:sz w:val="20"/>
        </w:rPr>
        <w:t>Royalties</w:t>
      </w:r>
      <w:r>
        <w:rPr>
          <w:color w:val="000000"/>
          <w:shd w:fill="FFFFFF" w:val="clear"/>
        </w:rPr>
        <w:t xml:space="preserve"> </w:t>
      </w:r>
      <w:r>
        <w:rPr>
          <w:rFonts w:ascii="Times New Roman;serif" w:hAnsi="Times New Roman;serif"/>
          <w:b w:val="false"/>
          <w:color w:val="000000"/>
          <w:sz w:val="20"/>
          <w:shd w:fill="FFFFFF" w:val="clear"/>
        </w:rPr>
        <w:t xml:space="preserve">and contract revenues decreased in the </w:t>
      </w:r>
      <w:r>
        <w:rPr>
          <w:rFonts w:ascii="Times New Roman;serif" w:hAnsi="Times New Roman;serif"/>
          <w:b w:val="false"/>
          <w:color w:val="000000"/>
          <w:sz w:val="20"/>
        </w:rPr>
        <w:t xml:space="preserve">three months ended March 31, 2026, </w:t>
      </w:r>
      <w:r>
        <w:rPr>
          <w:rFonts w:ascii="Times New Roman;serif" w:hAnsi="Times New Roman;serif"/>
          <w:b w:val="false"/>
          <w:color w:val="000000"/>
          <w:sz w:val="20"/>
          <w:shd w:fill="FFFFFF" w:val="clear"/>
        </w:rPr>
        <w:t xml:space="preserve">compared to the same period in 2025, </w:t>
      </w:r>
      <w:r>
        <w:rPr>
          <w:rFonts w:ascii="Times New Roman;serif" w:hAnsi="Times New Roman;serif"/>
          <w:b w:val="false"/>
          <w:color w:val="000000"/>
          <w:sz w:val="20"/>
        </w:rPr>
        <w:t>primarily due to a decrease in royalty revenue from Hikma,</w:t>
      </w:r>
      <w:r>
        <w:rPr>
          <w:color w:val="000000"/>
          <w:shd w:fill="FFFFFF" w:val="clear"/>
        </w:rPr>
        <w:t xml:space="preserve"> </w:t>
      </w:r>
      <w:r>
        <w:rPr>
          <w:rFonts w:ascii="Times New Roman;serif" w:hAnsi="Times New Roman;serif"/>
          <w:b w:val="false"/>
          <w:color w:val="000000"/>
          <w:sz w:val="20"/>
          <w:shd w:fill="FFFFFF" w:val="clear"/>
        </w:rPr>
        <w:t>resulting from a reduction in the applicable royalty rate on net sales of their high sodium oxybate AG</w:t>
      </w:r>
      <w:r>
        <w:rPr>
          <w:rFonts w:ascii="Times New Roman;serif" w:hAnsi="Times New Roman;serif"/>
          <w:b w:val="false"/>
          <w:color w:val="000000"/>
          <w:sz w:val="2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total revenues in 2026 to increase compared to 2025, primarily driven by continued growth in our oncology and epilepsy products including Epidiolex/Epidyolex, Modeyso and Ziihera, offset by a reduction in oxybate revenues due to decreased high-sodium AG royalties and Xyrem revenues following the launch of multiple generic high-sodium products.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Sales </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Cost of product sales increased in the three months ended March 31, 2026, compared to the same period in 2025, primarily due to higher royalty expenses, driven by higher revenues, increased inventory provisions, and a higher fair value step-up expense of $7.6 million. Gross margin as a percentage of total revenues was 87.5% for the three months ended March 31, 2026, compared to 88.3% for the same period in 2025. </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We expect our cost of product sales in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 xml:space="preserve">to be broadly in line with </w:t>
      </w:r>
      <w:r>
        <w:rPr>
          <w:rFonts w:ascii="Times New Roman;serif" w:hAnsi="Times New Roman;serif"/>
          <w:b w:val="false"/>
          <w:color w:val="000000"/>
          <w:sz w:val="20"/>
        </w:rPr>
        <w:t>2025, due to higher costs, including royalties, driven by higher revenues, offset by a reduction in the fair value step-up expense.</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decreased in the three months ended March 31, 2026, compared to the same period in 2025, primarily due to Xyrem antitrust litigation settlements of $172.0 million incurred in the three months ended March 31, 2025, partially offset by an increase in compensation-related expenses of $17.5 million, primarily driven by higher headcount in support of our commercial portfolio.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selling, general and administrative expenses in 2026 to decrease compared to 2025, primarily due to the impact of litigation settlement expenses incurred in 2025.</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Research and Development Expenses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consist primarily of costs related to clinical studies and outside services, personnel expenses, and other R&amp;D costs. Clinical study and outside services costs relate primarily to services performed by clinical research organizations, materials and supplies, and other third party fees. Personnel expenses relate primarily to salaries, benefits and share-based compensation. Other R&amp;D expenses primarily include overhead allocations consisting of various support and facilities-related costs. We do not track fully-burdened R&amp;D expenses on a project-by-project basis. We manage our R&amp;D expenses by identifying the R&amp;D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R&amp;D expenses by major categories of expense (in millions):</w:t>
      </w:r>
    </w:p>
    <w:tbl>
      <w:tblPr>
        <w:tblW w:w="6203" w:type="dxa"/>
        <w:jc w:val="left"/>
        <w:tblInd w:w="0" w:type="dxa"/>
        <w:tblLayout w:type="fixed"/>
        <w:tblCellMar>
          <w:top w:w="28" w:type="dxa"/>
          <w:left w:w="28" w:type="dxa"/>
          <w:bottom w:w="28" w:type="dxa"/>
          <w:right w:w="28" w:type="dxa"/>
        </w:tblCellMar>
      </w:tblPr>
      <w:tblGrid>
        <w:gridCol w:w="1114"/>
        <w:gridCol w:w="976"/>
        <w:gridCol w:w="984"/>
        <w:gridCol w:w="109"/>
        <w:gridCol w:w="109"/>
        <w:gridCol w:w="151"/>
        <w:gridCol w:w="151"/>
        <w:gridCol w:w="293"/>
        <w:gridCol w:w="857"/>
        <w:gridCol w:w="151"/>
        <w:gridCol w:w="109"/>
        <w:gridCol w:w="109"/>
        <w:gridCol w:w="109"/>
        <w:gridCol w:w="211"/>
        <w:gridCol w:w="61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studies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increased by $15.3 million in the three months ended March 31, 2026, compared to the same period in 2025, primarily due to an increase in personnel expenses of $12.5 million.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2026, we expect that our R&amp;D expenses will increase compared to 2025, primarily driven by an increase in clinical studies and outside service costs relating to zanidatamab, for both ongoing and new studies, dordaviprone, due to the inclusion of a full year’s expenses, and preclinical and early clinical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Intangible Asset Amortization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increased in the three months ended March 31, 2026, compared with the same period in 2025, primarily due to the impact of foreign currency translation on our sterling and euro denominated assets.</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sale of Priority Review Voucher</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recognized a pre-tax gain on disposal of the PRV in January 2026 of $122.8 million, representing the total cash consideration received of $200.0 million, less the post-tax proceeds paid to the former stockholders of Oncoceutics, Inc.</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expense, net decreased by $13.8 million in the three months ended March 31, 2026, compared to the same period in 2025, primarily due to lower interest expense on the Tranche B-2 Dollar Term Loans.</w:t>
      </w:r>
    </w:p>
    <w:p>
      <w:pPr>
        <w:pStyle w:val="TextBody"/>
        <w:bidi w:val="0"/>
        <w:spacing w:lineRule="auto" w:line="288" w:before="28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 Expense (Benefit)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income tax expense was $6.1 million for the three months ended March 31, 2026, compared to an income tax benefit of $17.8 million for the three months ended March 31, 2025, related to tax arising on income or losses in Ireland, the U.K., the U.S. and certain other foreign jurisdictions and Pillar Two top-up taxes, offset by deductions on subsidiary equity, patent box and foreign-derived deduction eligible income benefits and tax credits. The income tax expense for the three months ended March 31, 2026 included tax arising on the gain on sale of the PRV, partially offset by excess tax benefits from share-based compensation. The income tax benefit for the three months ended March 31, 2025 was primarily due to the tax impact of certain Xyrem antitrust litigation settlements.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investments of $2.9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aggregate principal amount of the 2026 Notes, and $1.0 billion aggregate principal amount of the 2030 Notes. We generated cash flow from operations of $408.2 million during the three months ended March 31, 2026, and we expect to continue to generate positive cash flow from operations which will enable us to operate our business and de-lever our balance sheet over time.</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Since the closing of the GW Acquisition in May 2021, we have fully repaid our Euro Term Loan. With respect to our Tranche B-2 Dollar Term Loans, we have made voluntary repayments of $1.1 billion</w:t>
      </w:r>
      <w:r>
        <w:rPr>
          <w:rFonts w:ascii="Times New Roman;serif" w:hAnsi="Times New Roman;serif"/>
          <w:b w:val="false"/>
          <w:color w:val="000000"/>
          <w:sz w:val="20"/>
          <w:shd w:fill="FFFFFF" w:val="clear"/>
        </w:rPr>
        <w:t xml:space="preserve">, $300.0 million in September 2022 and $750.0 million in January 2025, along with mandatory repayments </w:t>
      </w:r>
      <w:r>
        <w:rPr>
          <w:rFonts w:ascii="Times New Roman;serif" w:hAnsi="Times New Roman;serif"/>
          <w:b w:val="false"/>
          <w:color w:val="000000"/>
          <w:sz w:val="20"/>
        </w:rPr>
        <w:t>$147.3 million</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have a significant amount of debt outstanding on a consolidated basis. For further information, including details relating to our scheduled maturities with respect to our long-term debt, see Note 9, Debt, of the Notes to Condensed Consolidated Financial Statements, included in Part I, Item 1 of this Quarterly Report on Form 10</w:t>
        <w:noBreakHyphen/>
        <w:t>Q. This substantial level of debt could have important consequences to our business, including, but not limited to the factors set forth in “Risk Factors” of our Annual Report on Form 10-K for the year ended December 31, 2025, under the heading “</w:t>
      </w:r>
      <w:r>
        <w:rPr>
          <w:rFonts w:ascii="Times New Roman;serif" w:hAnsi="Times New Roman;serif"/>
          <w:b w:val="false"/>
          <w:i/>
          <w:color w:val="000000"/>
          <w:sz w:val="20"/>
        </w:rPr>
        <w:t>We have incurred substantial debt, which could impair our flexibility and access to capital and adversely affect our financial position, and our business would be adversely affected if we are unable to service our debt obligations.</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We believe that our existing cash, cash equivalents and investments balances, cash we expect to generate from operations and funds available under our Amended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under the heading "Risks Related to our Lead Products and Product Candidates” in Part I, Item 1A of our Annual Report on Form 10-K for the year ended December 31, 2025, as well as the factor set forth in "Risk Factors" under the heading “</w:t>
      </w:r>
      <w:r>
        <w:rPr>
          <w:rFonts w:ascii="Times New Roman;serif" w:hAnsi="Times New Roman;serif"/>
          <w:b w:val="false"/>
          <w:i/>
          <w:color w:val="000000"/>
          <w:sz w:val="20"/>
        </w:rPr>
        <w:t>To continue to grow our business, we will need to commit substantial resources, which could result in future losses or otherwise limit our opportunities or affect our ability to operate and grow our business</w:t>
      </w:r>
      <w:r>
        <w:rPr>
          <w:color w:val="000000"/>
        </w:rPr>
        <w:t xml:space="preserve">” </w:t>
      </w:r>
      <w:r>
        <w:rPr>
          <w:rFonts w:ascii="Times New Roman;serif" w:hAnsi="Times New Roman;serif"/>
          <w:b w:val="false"/>
          <w:color w:val="000000"/>
          <w:sz w:val="20"/>
        </w:rPr>
        <w:t>in Part I, Item 1A of our Annual Report on Form 10-K for the year ended December 31,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continue to grow our business over the longer term, we plan to commit substantial resources to product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extreme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our current share issuance authority is due to expire in July 2026.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share issuance and pre-emption authorities from our shareholders in the future, or otherwise continue to be limited by the terms of new share issuance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2024, our board of directors authorized the Repurchase Program, to repurchase ordinary shares having an aggregate purchase price of $500.0 million, exclusive of any brokerage commissions. The Repurchase Program, which has no expiration date, allows us to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Repurchase Program may be modified, suspended or discontinued at any time without our prior notice. During the three months ended March 31, 2026 and 2025, no shares were repurchased. As of March 31, 2026, the remaining amount authorized for repurchases under the Repurchase Program was $225.0 million, exclusive of any brokerage commissions.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summary of our cash flows for the periods indicated (in millions): </w:t>
      </w:r>
    </w:p>
    <w:tbl>
      <w:tblPr>
        <w:tblW w:w="6773" w:type="dxa"/>
        <w:jc w:val="left"/>
        <w:tblInd w:w="0" w:type="dxa"/>
        <w:tblLayout w:type="fixed"/>
        <w:tblCellMar>
          <w:top w:w="28" w:type="dxa"/>
          <w:left w:w="28" w:type="dxa"/>
          <w:bottom w:w="28" w:type="dxa"/>
          <w:right w:w="28" w:type="dxa"/>
        </w:tblCellMar>
      </w:tblPr>
      <w:tblGrid>
        <w:gridCol w:w="1612"/>
        <w:gridCol w:w="1419"/>
        <w:gridCol w:w="1423"/>
        <w:gridCol w:w="211"/>
        <w:gridCol w:w="616"/>
        <w:gridCol w:w="109"/>
        <w:gridCol w:w="109"/>
        <w:gridCol w:w="109"/>
        <w:gridCol w:w="109"/>
        <w:gridCol w:w="211"/>
        <w:gridCol w:w="691"/>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280" w:after="283"/>
        <w:jc w:val="left"/>
        <w:rPr/>
      </w:pPr>
      <w:r>
        <w:rPr>
          <w:rFonts w:ascii="Times New Roman;serif" w:hAnsi="Times New Roman;serif"/>
          <w:b w:val="false"/>
          <w:i/>
          <w:color w:val="000000"/>
          <w:sz w:val="20"/>
        </w:rPr>
        <w:t>Operating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the three months ended March 31, 2026 was broadly in line with the same period in 2025.</w:t>
      </w:r>
    </w:p>
    <w:p>
      <w:pPr>
        <w:pStyle w:val="TextBody"/>
        <w:bidi w:val="0"/>
        <w:spacing w:lineRule="auto" w:line="288" w:before="280" w:after="283"/>
        <w:jc w:val="left"/>
        <w:rPr/>
      </w:pPr>
      <w:r>
        <w:rPr>
          <w:rFonts w:ascii="Times New Roman;serif" w:hAnsi="Times New Roman;serif"/>
          <w:b w:val="false"/>
          <w:i/>
          <w:color w:val="000000"/>
          <w:sz w:val="20"/>
        </w:rPr>
        <w:t>Investing</w:t>
      </w:r>
      <w:r>
        <w:rPr>
          <w:color w:val="000000"/>
        </w:rPr>
        <w:t xml:space="preserve"> </w:t>
      </w:r>
      <w:r>
        <w:rPr>
          <w:rFonts w:ascii="Times New Roman;serif" w:hAnsi="Times New Roman;serif"/>
          <w:b w:val="false"/>
          <w:i/>
          <w:color w:val="000000"/>
          <w:sz w:val="20"/>
        </w:rPr>
        <w:t>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 increased by $292.1 million in the three months ended March 31, 2026, compared to the same period in 2025,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$150.1 million net increase in the proceeds from maturity of investments, driven by time deposits;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$122.8 million related to the net proceeds from the sale of PRV.</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by $735.0 million in the three months ended March 31, 2026, compared to the same period in 2025, primarily due to the $750.0 million voluntary repayment on the Tranche B-2 Dollar Term Loan in January 2025.</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summary of our outstanding indebtedness and scheduled maturities with respect to our long-term debt principal balances is included in Note 9, Debt, of the Notes to Condensed Consolidated Financial Statements included in Part I, Item 1 of this Quarterly Report on Form 10-Q.</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changes to our financing arrangements, as set forth in Note 11, Debt, of the Notes to Consolidated Financial Statements included in our Annual Report on Form 10-K for the year ended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Contractual Obligations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material changes to our contractual obligations as set forth in Part II, Item 7 “Management’s Discussion and Analysis of Financial Condition and Results of Operations” in our Annual Report on Form 10-K for the year ended December 31, 2025.</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To understand our financial statements, it is important to understand our critical accounting estimates. The preparation of our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significant estimates are detailed in our Annual Report on Form 10</w:t>
        <w:noBreakHyphen/>
        <w:t>K for the year ended December 31, 2025. Our critical accounting policies and significant estimates have not changed substantially from those previously disclosed in our Annual Report on Form 10</w:t>
        <w:noBreakHyphen/>
        <w:t>K for the year ended December 31, 2025.</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 xml:space="preserve">Q contains forward-looking statements within the meaning of Section 27A of the Securities Act, and Section 21E of the Exchange Act, which are subject to the “safe harbor” created by those sections. Forward-looking statements are based on our management’s current beliefs and assumptions and on information currently available to our management. In some cases, you can identify forward-looking statements by terms such as “may,” “will,” “should,” “could,” “would,” “expect,” “plan,” “anticipate,” “believe,” “estimate,” “opportunity,” “project,” “predict,” “propose,” “intend,” “continue,” “potential,” “possible,” “strive,” “seek,” “designed,” “goal,” “foreseeable,” “likely” or the negative of these words or other similar expressions intended to identify forward-looking statements. These statements involve known and unknown risks, uncertainties and other factors which may cause our actual results, performance, time frames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achievements to be materially different from any future results, performance, time frames or achievements expressed or implied by the forward-looking statements. </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known and unknown risks, uncertainties and other factors include, without limitation: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inability to maintain revenues from our oxybate franchise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introduction of new products in the U.S. market that compete with, or otherwise disrupt the market for, our oxybate products has adversely affected and may continue to adversely affect sales of our oxybate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maintain or increase sales of Epidiolex/Epidyolex would have a material adverse effect on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While we expect Xywav and Epidiolex/Epidyolex to remain our largest products, our success also depends on our ability to effectively commercialize our other existing products and potential future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face substantial competition from other companies, including companies with larger sales organizations and more experience working with large and diverse product portfolios, and competition from generic drugs.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addition to access, coverage and reimbursement, the commercial success of our products depends upon their market acceptance by physicians, patients, third party payors and the medical community.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Delays or problems in, or increased costs with respect to,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may not realize the anticipated benefits from our acquisition of Chimerix.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success depends on our ability to successfully obtain and maintain regulatory approvals for our late-stage product candidates and, if approved, to successfully launch and commercialize those product candidates.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able to successfully identify and acquire or in-license additional products or product candidates to grow our business, and, even if we are able to do so, we may otherwise fail to realize the anticipated benefits of these transactions.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It is difficult and costly to protect our proprietary rights, and we may not be able to ensure their protection.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disruptions of information technology systems or data security incidents could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subject to significant ongoing regulatory obligations and oversight, which may subject us to civil or criminal proceedings, investigations, or penalties and may result in significant additional expense and limit our ability to commercialize our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substantial debt, which could impair our flexibility and access to capital and adversely affect our financial position, and our business would be adversely affected if we are unable to service our debt obligations.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continue to grow our business, we will need to commit substantial resources, which could result in future losses or otherwise limit our opportunities or affect our ability to operate and grow our business.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If we fail to attract, retain and motivate members of our executive management team and key personnel, our operations and our future growth may be adversely affected.</w:t>
      </w:r>
    </w:p>
    <w:p>
      <w:pPr>
        <w:pStyle w:val="TextBody"/>
        <w:bidi w:val="0"/>
        <w:spacing w:lineRule="auto" w:line="288" w:before="120" w:after="283"/>
        <w:ind w:left="0" w:right="0" w:firstLine="49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discussion of the risks, uncertainties and other factors described above, as well as other risks material to our business, can be found under “Risk Factors” in Part I, Item 1A of our Annual Report on Form 10-K for the year ended December 31, 2025.</w:t>
      </w:r>
    </w:p>
    <w:p>
      <w:pPr>
        <w:pStyle w:val="TextBody"/>
        <w:bidi w:val="0"/>
        <w:spacing w:lineRule="auto" w:line="288" w:before="120" w:after="283"/>
        <w:ind w:left="0" w:right="0" w:firstLine="495"/>
        <w:jc w:val="left"/>
        <w:rPr/>
      </w:pPr>
      <w:r>
        <w:rPr>
          <w:rFonts w:ascii="Times New Roman;serif" w:hAnsi="Times New Roman;serif"/>
          <w:b w:val="false"/>
          <w:color w:val="000000"/>
          <w:sz w:val="20"/>
          <w:shd w:fill="FFFFFF" w:val="clear"/>
        </w:rPr>
        <w:t xml:space="preserve">Given these risks, uncertainties and other factors, you should not place undue reliance on these forward-looking statements. </w:t>
      </w:r>
      <w:r>
        <w:rPr>
          <w:rFonts w:ascii="Times New Roman;serif" w:hAnsi="Times New Roman;serif"/>
          <w:b w:val="false"/>
          <w:color w:val="000000"/>
          <w:sz w:val="20"/>
        </w:rPr>
        <w:t xml:space="preserve">In addition, our goals and objectives are aspirational and are not guarantees or promises that such goals and objectives will be met. </w:t>
      </w:r>
      <w:r>
        <w:rPr>
          <w:rFonts w:ascii="Times New Roman;serif" w:hAnsi="Times New Roman;serif"/>
          <w:b w:val="false"/>
          <w:color w:val="000000"/>
          <w:sz w:val="20"/>
          <w:shd w:fill="FFFFFF" w:val="clear"/>
        </w:rPr>
        <w:t>Also, these forward-looking statements represent our estimates and assumptions only as of the date of this filing. You should read this Quarterly Report on Form 10</w:t>
        <w:noBreakHyphen/>
        <w:t>Q completely a</w:t>
      </w:r>
      <w:r>
        <w:rPr>
          <w:rFonts w:ascii="Times New Roman;serif" w:hAnsi="Times New Roman;serif"/>
          <w:b w:val="false"/>
          <w:color w:val="000000"/>
          <w:sz w:val="20"/>
        </w:rPr>
        <w:t xml:space="preserve">nd the documents that we file with the SEC </w:t>
      </w:r>
      <w:r>
        <w:rPr>
          <w:rFonts w:ascii="Times New Roman;serif" w:hAnsi="Times New Roman;serif"/>
          <w:b w:val="false"/>
          <w:color w:val="000000"/>
          <w:sz w:val="20"/>
          <w:shd w:fill="FFFFFF" w:val="clear"/>
        </w:rPr>
        <w:t>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 xml:space="preserve">Item 3.Quantitative and Qualitative Disclosures About Market Risk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there were no material changes to our market risk disclosures as set forth in Part II, Item 7A “Quantitative and Qualitative Disclosures About Market Risk” in our Annual Report on Form 10-K for the year ended December 31, 2025.</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We have carried out an evaluation under the supervision and with the participation of management, including our principal executive officer and principal financial officer, of our disclosure controls and procedures (as defined in Rule 13a-15(e) and 15d-15(e) of the Exchange Act) as of the end of the period covered by this Quarterly Report on Form 10</w:t>
        <w:noBreakHyphen/>
        <w:t>Q. Based on their evaluation, our principal executive officer and principal financial officer concluded that our disclosure controls and procedures were effective as of March 31, 2026.</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Limitations on the Effectiveness of Controls</w:t>
      </w:r>
      <w:r>
        <w:rPr>
          <w:rFonts w:ascii="Times New Roman;serif" w:hAnsi="Times New Roman;serif"/>
          <w:b w:val="false"/>
          <w:color w:val="000000"/>
          <w:sz w:val="20"/>
        </w:rPr>
        <w:t>.  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During the quarter ended March 31, 2026, there were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set forth under this Item 1 is incorporated by reference to Note 10, Commitments and Contingencies—Legal Proceedings of the Notes to Condensed Consolidated Financial Statements included in Part I, Item 1 of this Quarterly Report on Form 10</w:t>
        <w:noBreakHyphen/>
        <w:t>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material risk factors are disclosed in Part I, Item 1A of our Annual Report on Form 10-K for the year ended December 31, 2025. There have been no material changes from the risk factors previously disclosed in our Annual Report on Form 10-K for the year ended December 31, 2025. We encourage you to read and carefully consider all of the risk factors disclosed in Part I, Item 1A of our Annual Report on Form 10-K for the year ended December 31, 2025 for a more complete understanding of the risks and uncertainties material to our business.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2024, we announced that our board of directors had authorized the Repurchase Program pursuant to which our board of directors authorized us to repurchase our ordinary shares for up to an aggregate purchase price of $500.0 million, exclusive of any brokerage commissions. Under the Repurchase Program, which has no expiration date, we may repurchase our ordinary shares from time to time by any methods and/or structures permitted by applicable law. During the three months ended March 31, 2026, we did not repurchase any of our ordinary shares. As of March 31, 2026, the remaining amount authorized under the Repurchase Program was $225.0 million.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Repurchase Program may be modified, suspended or discontinued at any time without our prior notice.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color w:val="000000"/>
          <w:sz w:val="20"/>
        </w:rPr>
      </w:pPr>
      <w:r>
        <w:rPr>
          <w:rFonts w:ascii="Times New Roman;serif" w:hAnsi="Times New Roman;serif"/>
          <w:b/>
          <w:color w:val="000000"/>
          <w:sz w:val="20"/>
        </w:rPr>
        <w:t xml:space="preserve">Item 5.Other Information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terms of the contracts, instructions or written plans for the purchase or sale of the Company’s securities adopted or terminated by our officers (as defined in Rule 16a-1(f) under the Exchange Act) and directors during the quarter ended March 31, 2026:</w:t>
      </w:r>
    </w:p>
    <w:p>
      <w:pPr>
        <w:pStyle w:val="TextBody"/>
        <w:bidi w:val="0"/>
        <w:spacing w:lineRule="auto" w:line="288" w:before="120" w:after="283"/>
        <w:ind w:left="0" w:right="0" w:firstLine="495"/>
        <w:jc w:val="center"/>
        <w:rPr>
          <w:rFonts w:ascii="Times New Roman;serif" w:hAnsi="Times New Roman;serif"/>
          <w:b/>
          <w:color w:val="000000"/>
          <w:sz w:val="20"/>
        </w:rPr>
      </w:pPr>
      <w:r>
        <w:rPr>
          <w:rFonts w:ascii="Times New Roman;serif" w:hAnsi="Times New Roman;serif"/>
          <w:b/>
          <w:color w:val="000000"/>
          <w:sz w:val="20"/>
        </w:rPr>
        <w:t>Type of Trading Arrangement</w:t>
      </w:r>
    </w:p>
    <w:tbl>
      <w:tblPr>
        <w:tblW w:w="10205" w:type="dxa"/>
        <w:jc w:val="center"/>
        <w:tblInd w:w="0" w:type="dxa"/>
        <w:tblLayout w:type="fixed"/>
        <w:tblCellMar>
          <w:top w:w="28" w:type="dxa"/>
          <w:left w:w="28" w:type="dxa"/>
          <w:bottom w:w="28" w:type="dxa"/>
          <w:right w:w="28" w:type="dxa"/>
        </w:tblCellMar>
      </w:tblPr>
      <w:tblGrid>
        <w:gridCol w:w="1147"/>
        <w:gridCol w:w="924"/>
        <w:gridCol w:w="921"/>
        <w:gridCol w:w="109"/>
        <w:gridCol w:w="109"/>
        <w:gridCol w:w="109"/>
        <w:gridCol w:w="262"/>
        <w:gridCol w:w="262"/>
        <w:gridCol w:w="268"/>
        <w:gridCol w:w="109"/>
        <w:gridCol w:w="109"/>
        <w:gridCol w:w="109"/>
        <w:gridCol w:w="294"/>
        <w:gridCol w:w="294"/>
        <w:gridCol w:w="298"/>
        <w:gridCol w:w="109"/>
        <w:gridCol w:w="109"/>
        <w:gridCol w:w="109"/>
        <w:gridCol w:w="288"/>
        <w:gridCol w:w="288"/>
        <w:gridCol w:w="290"/>
        <w:gridCol w:w="109"/>
        <w:gridCol w:w="109"/>
        <w:gridCol w:w="109"/>
        <w:gridCol w:w="374"/>
        <w:gridCol w:w="374"/>
        <w:gridCol w:w="376"/>
        <w:gridCol w:w="109"/>
        <w:gridCol w:w="109"/>
        <w:gridCol w:w="109"/>
        <w:gridCol w:w="556"/>
        <w:gridCol w:w="556"/>
        <w:gridCol w:w="798"/>
      </w:tblGrid>
      <w:tr>
        <w:trPr/>
        <w:tc>
          <w:tcPr>
            <w:tcW w:w="114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Rule 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Total Ordinary Shares to be Sold</w:t>
            </w:r>
          </w:p>
        </w:tc>
      </w:tr>
      <w:tr>
        <w:trPr/>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Neena M. Patil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Legal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20"/>
              </w:rPr>
              <w:t>Up to 6,000</w:t>
            </w:r>
          </w:p>
        </w:tc>
      </w:tr>
      <w:tr>
        <w:trPr/>
        <w:tc>
          <w:tcPr>
            <w:tcW w:w="299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Mark D. Smith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1,157</w:t>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ind w:left="0" w:right="0" w:hanging="900"/>
        <w:jc w:val="left"/>
        <w:rPr/>
      </w:pPr>
      <w:r>
        <w:rPr/>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1489"/>
        <w:gridCol w:w="1286"/>
        <w:gridCol w:w="1216"/>
        <w:gridCol w:w="109"/>
        <w:gridCol w:w="109"/>
        <w:gridCol w:w="109"/>
        <w:gridCol w:w="175"/>
        <w:gridCol w:w="175"/>
        <w:gridCol w:w="176"/>
        <w:gridCol w:w="109"/>
        <w:gridCol w:w="109"/>
        <w:gridCol w:w="109"/>
        <w:gridCol w:w="249"/>
        <w:gridCol w:w="249"/>
        <w:gridCol w:w="205"/>
        <w:gridCol w:w="109"/>
        <w:gridCol w:w="109"/>
        <w:gridCol w:w="109"/>
        <w:gridCol w:w="225"/>
        <w:gridCol w:w="225"/>
        <w:gridCol w:w="226"/>
        <w:gridCol w:w="109"/>
        <w:gridCol w:w="109"/>
        <w:gridCol w:w="109"/>
        <w:gridCol w:w="206"/>
        <w:gridCol w:w="206"/>
        <w:gridCol w:w="207"/>
        <w:gridCol w:w="109"/>
        <w:gridCol w:w="109"/>
        <w:gridCol w:w="109"/>
        <w:gridCol w:w="274"/>
        <w:gridCol w:w="274"/>
        <w:gridCol w:w="398"/>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18"/>
                <w:u w:val="single"/>
              </w:rPr>
            </w:pPr>
            <w:r>
              <w:rPr>
                <w:rFonts w:ascii="Times New Roman;serif" w:hAnsi="Times New Roman;serif"/>
                <w:b/>
                <w:color w:val="000000"/>
                <w:sz w:val="18"/>
                <w:u w:val="single"/>
              </w:rPr>
              <w:t>Exhibit</w:t>
            </w:r>
          </w:p>
          <w:p>
            <w:pPr>
              <w:pStyle w:val="TableContents"/>
              <w:bidi w:val="0"/>
              <w:spacing w:lineRule="auto" w:line="240" w:before="0" w:after="40"/>
              <w:jc w:val="left"/>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 of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18"/>
                <w:u w:val="single"/>
              </w:rPr>
            </w:pPr>
            <w:r>
              <w:rPr>
                <w:rFonts w:ascii="Times New Roman;serif" w:hAnsi="Times New Roman;serif"/>
                <w:b/>
                <w:color w:val="000000"/>
                <w:sz w:val="18"/>
                <w:u w:val="single"/>
              </w:rPr>
              <w:t>Form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File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Filed Herewith</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r:id="rId2">
              <w:r>
                <w:rPr>
                  <w:rStyle w:val="InternetLink"/>
                  <w:rFonts w:ascii="Times New Roman;serif" w:hAnsi="Times New Roman;serif"/>
                  <w:b w:val="false"/>
                  <w:color w:val="0000FF"/>
                  <w:sz w:val="20"/>
                  <w:u w:val="single"/>
                </w:rPr>
                <w:t xml:space="preserve">Amended and Restated Memorandum and Articles of Association of Jazz Pharmaceuticals Public Limited Company, as amended on August 4, 2016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001-33500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8/9/2016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w:anchor="jazzq12026ex311.htm">
              <w:r>
                <w:rPr>
                  <w:rStyle w:val="InternetLink"/>
                  <w:rFonts w:ascii="Times New Roman;serif" w:hAnsi="Times New Roman;serif"/>
                  <w:b w:val="false"/>
                  <w:color w:val="0000FF"/>
                  <w:sz w:val="20"/>
                  <w:u w:val="single"/>
                </w:rPr>
                <w:t>Certification of Chief Executive Officer pursuant to Rules 13a-14(a) and 15d-14(a) promulgated under the Securities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w:anchor="jazzq12026ex312.htm">
              <w:r>
                <w:rPr>
                  <w:rStyle w:val="InternetLink"/>
                  <w:rFonts w:ascii="Times New Roman;serif" w:hAnsi="Times New Roman;serif"/>
                  <w:b w:val="false"/>
                  <w:color w:val="0000FF"/>
                  <w:sz w:val="20"/>
                  <w:u w:val="single"/>
                </w:rPr>
                <w:t>Certification of Chief Financial Officer pursuant to Rules 13a-14(a) and 15d-14(a) promulgated under the Securities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w:anchor="jazzq12026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The certification attached as Exhibit 32.1 accompanies this Quarterly Report on Form 10</w:t>
        <w:noBreakHyphen/>
        <w:t>Q pursuant to 18 U.S.C. Section 1350, as adopted pursuant to Section 906 of the Sarbanes-Oxley Act of 2002, and shall not be deemed “filed” by the Registrant for purposes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e02b45c17d94446af9859f47876435c_7">
        <w:r>
          <w:rPr>
            <w:rStyle w:val="InternetLink"/>
            <w:rFonts w:ascii="Times New Roman;serif" w:hAnsi="Times New Roman;serif"/>
            <w:b w:val="false"/>
            <w:color w:val="000080"/>
            <w:sz w:val="20"/>
            <w:u w:val="single"/>
          </w:rPr>
          <w:t xml:space="preserve">Table of </w:t>
        </w:r>
      </w:hyperlink>
      <w:hyperlink w:anchor="i1e02b45c17d94446af9859f47876435c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5429" w:type="dxa"/>
        <w:jc w:val="right"/>
        <w:tblInd w:w="0" w:type="dxa"/>
        <w:tblLayout w:type="fixed"/>
        <w:tblCellMar>
          <w:top w:w="28" w:type="dxa"/>
          <w:left w:w="28" w:type="dxa"/>
          <w:bottom w:w="28" w:type="dxa"/>
          <w:right w:w="28" w:type="dxa"/>
        </w:tblCellMar>
      </w:tblPr>
      <w:tblGrid>
        <w:gridCol w:w="1738"/>
        <w:gridCol w:w="1528"/>
        <w:gridCol w:w="2163"/>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JAZZ PHARMACEUTICALS PUBLIC LIMITED COMPANY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Renee D. Gala</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President and Chief Executive Officer and Director</w:t>
              <w:br/>
              <w:t>(Principal Executive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L. Johnson</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br/>
              <w:t>(Principal Financial Officer)</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Carr</w:t>
            </w:r>
          </w:p>
        </w:tc>
      </w:tr>
      <w:tr>
        <w:trPr/>
        <w:tc>
          <w:tcPr>
            <w:tcW w:w="5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Carr</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Renee D. Gala, certify that: </w:t>
      </w:r>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0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133"/>
        <w:gridCol w:w="1133"/>
        <w:gridCol w:w="160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Renee D. Gala</w:t>
              <w:br/>
              <w:t>President and Chief Executive Officer and Director</w:t>
              <w:br/>
              <w:t>(Principal Executive Officer)</w:t>
              <w:b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Philip L. Johnson,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Jazz Pharmaceuticals public limited company;</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color w:val="000000"/>
        </w:rPr>
        <w: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013"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165"/>
        <w:gridCol w:w="1165"/>
        <w:gridCol w:w="164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br/>
              <w:t>Executive Vice President and Chief Financial Officer</w:t>
              <w:br/>
              <w:t xml:space="preserve">       (Principal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pPr>
      <w:r>
        <w:rPr>
          <w:rFonts w:ascii="Times New Roman;serif" w:hAnsi="Times New Roman;serif"/>
          <w:b/>
          <w:color w:val="000000"/>
          <w:sz w:val="20"/>
        </w:rPr>
        <w:t>CERTIFICATION</w:t>
      </w:r>
      <w:r>
        <w:rPr>
          <w:rFonts w:ascii="Times New Roman;serif" w:hAnsi="Times New Roman;serif"/>
          <w:b/>
          <w:color w:val="000000"/>
          <w:sz w:val="13"/>
        </w:rPr>
        <w:t>(1)</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Section 1350), Renee D. Gala, President and Chief Executive Officer of Jazz Pharmaceuticals public limited company (the “Company”), and Philip L. Johnson, Executive Vice President and Chief Financial Officer of the Company, each hereby certifies that, to the best of her/his knowledge: </w:t>
      </w:r>
    </w:p>
    <w:p>
      <w:pPr>
        <w:pStyle w:val="TextBody"/>
        <w:bidi w:val="0"/>
        <w:spacing w:lineRule="auto" w:line="288" w:before="0" w:after="0"/>
        <w:jc w:val="left"/>
        <w:rPr>
          <w:color w:val="000000"/>
        </w:rPr>
      </w:pPr>
      <w:r>
        <w:rPr>
          <w:color w:val="000000"/>
        </w:rPr>
        <w:t> </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 ended March 31, 2026,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3990" w:type="dxa"/>
        <w:jc w:val="left"/>
        <w:tblInd w:w="0" w:type="dxa"/>
        <w:tblLayout w:type="fixed"/>
        <w:tblCellMar>
          <w:top w:w="28" w:type="dxa"/>
          <w:left w:w="28" w:type="dxa"/>
          <w:bottom w:w="28" w:type="dxa"/>
          <w:right w:w="28" w:type="dxa"/>
        </w:tblCellMar>
      </w:tblPr>
      <w:tblGrid>
        <w:gridCol w:w="1546"/>
        <w:gridCol w:w="1008"/>
        <w:gridCol w:w="1436"/>
      </w:tblGrid>
      <w:tr>
        <w:trPr/>
        <w:tc>
          <w:tcPr>
            <w:tcW w:w="15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Renee D. Gala</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Renee D. Gala</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 and Director</w:t>
              <w:br/>
              <w:t> (Principal Executive Officer)</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 L. Johnson</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br/>
              <w:t>(Principal Financial Officer)</w:t>
            </w:r>
          </w:p>
        </w:tc>
      </w:tr>
    </w:tbl>
    <w:p>
      <w:pPr>
        <w:pStyle w:val="TextBody"/>
        <w:bidi w:val="0"/>
        <w:spacing w:lineRule="auto" w:line="240" w:before="0" w:after="4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certification accompanies the Quarterly Report on Form 10-Q to which it relates, is not deemed filed with the Securities and Exchange Commission and is not to be incorporated by reference into any filing of the Company under the Securities Act of 1933, as amended, or the Exchange Act (whether made before or after the date of the Quarterly Report on Form 10-Q), irrespective of any general incorporation language contained in such filing. 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2524/000123252416000303/jazzq22016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25916</Words>
  <Characters>144261</Characters>
  <CharactersWithSpaces>168761</CharactersWithSpaces>
  <Paragraphs>2517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