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Mark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 WATERLOO EXCHANGE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WATERLOO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4</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Jazz Pharmaceuticals plc</w:t>
              </w:r>
            </w:hyperlink>
            <w:r>
              <w:rPr/>
              <w:t xml:space="preserve"> [ </w:t>
            </w:r>
            <w:r>
              <w:rPr>
                <w:rFonts w:ascii="Times;serif" w:hAnsi="Times;serif"/>
                <w:color w:val="0000FF"/>
                <w:sz w:val="24"/>
                <w:shd w:fill="FFFFFF" w:val="clear"/>
              </w:rPr>
              <w:t>JAZZ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11,285</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are granted pursuant to the Issuer's 2007 Amended and Restated Non-Employee Directors Stock Award Plan. Each restricted stock unit represents a contingent right to receive one ordinary share upon the vesting of the unit. Subject to the Reporting Person's continuous service and certain additional conditions, these units will vest in full on July 23,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/s/Paz Dizon, as attorney in fact For: Mark D.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6253" TargetMode="External"/><Relationship Id="rId5" Type="http://schemas.openxmlformats.org/officeDocument/2006/relationships/hyperlink" Target="http://www.sec.gov/cgi-bin/browse-edgar?action=getcompany&amp;CIK=0001232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3424</Characters>
  <CharactersWithSpaces>3988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