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333-179080</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30"/>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30"/>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56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16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to Be</w:t>
            </w:r>
          </w:p>
        </w:tc>
        <w:tc>
          <w:tcPr>
            <w:tcW w:w="1600" w:type="dxa"/>
            <w:vAlign w:val="bottom"/>
            <w:tcBorders>
              <w:right w:val="single" w:sz="8" w:color="auto"/>
            </w:tcBorders>
          </w:tcPr>
          <w:p>
            <w:pPr>
              <w:jc w:val="center"/>
              <w:ind w:left="10"/>
              <w:spacing w:after="0" w:line="152"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600" w:type="dxa"/>
            <w:vAlign w:val="bottom"/>
            <w:tcBorders>
              <w:right w:val="single" w:sz="8" w:color="auto"/>
            </w:tcBorders>
          </w:tcPr>
          <w:p>
            <w:pPr>
              <w:jc w:val="center"/>
              <w:ind w:left="1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560" w:type="dxa"/>
            <w:vAlign w:val="bottom"/>
          </w:tcPr>
          <w:p>
            <w:pPr>
              <w:jc w:val="center"/>
              <w:ind w:left="26"/>
              <w:spacing w:after="0" w:line="152"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4"/>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6"/>
              </w:rPr>
              <w:t>Offering Price (1)</w:t>
            </w:r>
          </w:p>
        </w:tc>
        <w:tc>
          <w:tcPr>
            <w:tcW w:w="156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6"/>
              </w:rPr>
              <w:t>Registration Fee (2)</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5,375,000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$58.50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$314,437,500</w:t>
            </w:r>
          </w:p>
        </w:tc>
        <w:tc>
          <w:tcPr>
            <w:tcW w:w="156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w w:val="98"/>
              </w:rPr>
              <w:t>$42,889.28</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right="120" w:hanging="452"/>
        <w:spacing w:after="0" w:line="25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457(a) promulgated under the Securities Act of 1933, as amended.</w:t>
      </w:r>
    </w:p>
    <w:p>
      <w:pPr>
        <w:ind w:left="460" w:right="50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and being paid pursuant to Rule 457(r) under the Securities Act of 1933, as amended, and relates to the Registration Statement on Form S-3 (File No. 333-179080) filed by the Registrant on January 19, 2012.</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PROSPECTUS SUPPLEMENT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(To Prospectus dated January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118110</wp:posOffset>
            </wp:positionV>
            <wp:extent cx="334454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Jazz Pharmaceuticals Public Limited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5,375,000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both"/>
        <w:ind w:right="60"/>
        <w:spacing w:after="0" w:line="249" w:lineRule="auto"/>
        <w:rPr>
          <w:sz w:val="20"/>
          <w:szCs w:val="20"/>
          <w:color w:val="auto"/>
        </w:rPr>
      </w:pPr>
      <w:r>
        <w:rPr>
          <w:rFonts w:ascii="Arial" w:cs="Arial" w:eastAsia="Arial" w:hAnsi="Arial"/>
          <w:sz w:val="22"/>
          <w:szCs w:val="22"/>
          <w:color w:val="auto"/>
        </w:rPr>
        <w:t>The selling shareholders identified in this prospectus supplement, which include members of our board of directors and their affiliates, are selling all of the ordinary shares offered by this prospectus supplement and will receive all of the net proceeds from this offering. We will not receive any proceeds from the sale of ordinary shares in this offering.</w:t>
      </w:r>
    </w:p>
    <w:p>
      <w:pPr>
        <w:spacing w:after="0" w:line="77"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color w:val="auto"/>
        </w:rPr>
        <w:t>Our ordinary shares are listed on The NASDAQ Global Select Market under the symbol “JAZZ.” On March 4, 2013, the last reported sale price of our ordinary shares on The NASDAQ Global Select Market was $60.00 per share.</w:t>
      </w:r>
    </w:p>
    <w:p>
      <w:pPr>
        <w:spacing w:after="0" w:line="112" w:lineRule="exact"/>
        <w:rPr>
          <w:sz w:val="20"/>
          <w:szCs w:val="20"/>
          <w:color w:val="auto"/>
        </w:rPr>
      </w:pPr>
    </w:p>
    <w:p>
      <w:pPr>
        <w:ind w:right="240"/>
        <w:spacing w:after="0" w:line="265" w:lineRule="auto"/>
        <w:rPr>
          <w:sz w:val="20"/>
          <w:szCs w:val="20"/>
          <w:color w:val="auto"/>
        </w:rPr>
      </w:pPr>
      <w:r>
        <w:rPr>
          <w:rFonts w:ascii="Arial" w:cs="Arial" w:eastAsia="Arial" w:hAnsi="Arial"/>
          <w:sz w:val="22"/>
          <w:szCs w:val="22"/>
          <w:i w:val="1"/>
          <w:iCs w:val="1"/>
          <w:color w:val="auto"/>
        </w:rPr>
        <w:t>Investing in our ordinary shares involves a high degree of risk. You should carefully review the risks and uncertainties incorporated by reference herein under the heading “Risk Factors” in this prospectus supplement.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5"/>
              </w:rPr>
              <w:t>Per Share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Price to the public</w:t>
            </w:r>
          </w:p>
        </w:tc>
        <w:tc>
          <w:tcPr>
            <w:tcW w:w="18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58.50</w:t>
            </w:r>
          </w:p>
        </w:tc>
        <w:tc>
          <w:tcPr>
            <w:tcW w:w="5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6"/>
              </w:rPr>
              <w:t>314,437,500</w:t>
            </w: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6720" w:type="dxa"/>
            <w:vAlign w:val="bottom"/>
            <w:gridSpan w:val="2"/>
          </w:tcPr>
          <w:p>
            <w:pPr>
              <w:spacing w:after="0"/>
              <w:rPr>
                <w:sz w:val="20"/>
                <w:szCs w:val="20"/>
                <w:color w:val="auto"/>
              </w:rPr>
            </w:pPr>
            <w:r>
              <w:rPr>
                <w:rFonts w:ascii="Arial" w:cs="Arial" w:eastAsia="Arial" w:hAnsi="Arial"/>
                <w:sz w:val="22"/>
                <w:szCs w:val="22"/>
                <w:color w:val="auto"/>
              </w:rPr>
              <w:t>Underwriting discounts and commissions</w:t>
            </w:r>
          </w:p>
        </w:tc>
        <w:tc>
          <w:tcPr>
            <w:tcW w:w="2060" w:type="dxa"/>
            <w:vAlign w:val="bottom"/>
            <w:gridSpan w:val="2"/>
          </w:tcPr>
          <w:p>
            <w:pPr>
              <w:ind w:left="1860"/>
              <w:spacing w:after="0"/>
              <w:rPr>
                <w:sz w:val="20"/>
                <w:szCs w:val="20"/>
                <w:color w:val="auto"/>
              </w:rPr>
            </w:pPr>
            <w:r>
              <w:rPr>
                <w:rFonts w:ascii="Arial" w:cs="Arial" w:eastAsia="Arial" w:hAnsi="Arial"/>
                <w:sz w:val="22"/>
                <w:szCs w:val="22"/>
                <w:color w:val="auto"/>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0.22</w:t>
            </w: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1,182,500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7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Proceeds to selling shareholders, before expenses</w:t>
            </w:r>
          </w:p>
        </w:tc>
        <w:tc>
          <w:tcPr>
            <w:tcW w:w="2060" w:type="dxa"/>
            <w:vAlign w:val="bottom"/>
            <w:gridSpan w:val="2"/>
            <w:shd w:val="clear" w:color="auto" w:fill="CCEEFF"/>
          </w:tcPr>
          <w:p>
            <w:pPr>
              <w:ind w:left="186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58.28</w:t>
            </w:r>
          </w:p>
        </w:tc>
        <w:tc>
          <w:tcPr>
            <w:tcW w:w="7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6"/>
              </w:rPr>
              <w:t>313,255,000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Delivery of the ordinary shares is expected to be made on or about March 8,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Barclays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Prospectus Supplement dated March 4, 2013</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09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40" w:type="dxa"/>
            <w:vAlign w:val="bottom"/>
            <w:gridSpan w:val="20"/>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0500" w:type="dxa"/>
            <w:vAlign w:val="bottom"/>
            <w:gridSpan w:val="19"/>
          </w:tcPr>
          <w:p>
            <w:pPr>
              <w:spacing w:after="0" w:line="19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About this Prospectus Supplement</w:t>
              </w:r>
            </w:hyperlink>
          </w:p>
        </w:tc>
        <w:tc>
          <w:tcPr>
            <w:tcW w:w="3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S-i</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Prospectus Supplement Summary</w:t>
              </w:r>
            </w:hyperlink>
          </w:p>
        </w:tc>
        <w:tc>
          <w:tcPr>
            <w:tcW w:w="40" w:type="dxa"/>
            <w:vAlign w:val="bottom"/>
            <w:tcBorders>
              <w:top w:val="single" w:sz="8" w:color="0000EE"/>
            </w:tcBorders>
          </w:tcPr>
          <w:p>
            <w:pPr>
              <w:spacing w:after="0"/>
              <w:rPr>
                <w:sz w:val="17"/>
                <w:szCs w:val="17"/>
                <w:color w:val="auto"/>
              </w:rPr>
            </w:pPr>
          </w:p>
        </w:tc>
        <w:tc>
          <w:tcPr>
            <w:tcW w:w="8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Special Note Regarding Forward-Looking Statements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Use of Proceeds</w:t>
              </w:r>
            </w:hyperlink>
          </w:p>
        </w:tc>
        <w:tc>
          <w:tcPr>
            <w:tcW w:w="67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Selling Shareholders</w:t>
              </w:r>
            </w:hyperlink>
          </w:p>
        </w:tc>
        <w:tc>
          <w:tcPr>
            <w:tcW w:w="90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Material Tax Considerations</w:t>
              </w:r>
            </w:hyperlink>
          </w:p>
        </w:tc>
        <w:tc>
          <w:tcPr>
            <w:tcW w:w="850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Underwriting</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31">
              <w:r>
                <w:rPr>
                  <w:rFonts w:ascii="Times New Roman" w:cs="Times New Roman" w:eastAsia="Times New Roman" w:hAnsi="Times New Roman"/>
                  <w:sz w:val="18"/>
                  <w:szCs w:val="18"/>
                  <w:color w:val="0000EE"/>
                  <w:w w:val="94"/>
                </w:rPr>
                <w:t>Experts</w:t>
              </w:r>
            </w:hyperlink>
          </w:p>
        </w:tc>
        <w:tc>
          <w:tcPr>
            <w:tcW w:w="440" w:type="dxa"/>
            <w:vAlign w:val="bottom"/>
            <w:tcBorders>
              <w:top w:val="single" w:sz="8" w:color="0000EE"/>
            </w:tcBorders>
            <w:gridSpan w:val="3"/>
          </w:tcPr>
          <w:p>
            <w:pPr>
              <w:spacing w:after="0"/>
              <w:rPr>
                <w:sz w:val="17"/>
                <w:szCs w:val="17"/>
                <w:color w:val="auto"/>
              </w:rPr>
            </w:pPr>
          </w:p>
        </w:tc>
        <w:tc>
          <w:tcPr>
            <w:tcW w:w="95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Where You Can Find Additional Information</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0500" w:type="dxa"/>
            <w:vAlign w:val="bottom"/>
            <w:gridSpan w:val="19"/>
          </w:tcPr>
          <w:p>
            <w:pPr>
              <w:spacing w:after="0" w:line="190"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About this Prospectus</w:t>
              </w:r>
            </w:hyperlink>
          </w:p>
        </w:tc>
        <w:tc>
          <w:tcPr>
            <w:tcW w:w="3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About Jazz Pharmaceuticals plc</w:t>
              </w:r>
            </w:hyperlink>
          </w:p>
        </w:tc>
        <w:tc>
          <w:tcPr>
            <w:tcW w:w="82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Special Note Regarding Forward-Looking Statements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Use of Proceeds</w:t>
              </w:r>
            </w:hyperlink>
          </w:p>
        </w:tc>
        <w:tc>
          <w:tcPr>
            <w:tcW w:w="67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Selling Shareholders</w:t>
              </w:r>
            </w:hyperlink>
          </w:p>
        </w:tc>
        <w:tc>
          <w:tcPr>
            <w:tcW w:w="90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Validity of Share Capital</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0">
              <w:r>
                <w:rPr>
                  <w:rFonts w:ascii="Times New Roman" w:cs="Times New Roman" w:eastAsia="Times New Roman" w:hAnsi="Times New Roman"/>
                  <w:sz w:val="18"/>
                  <w:szCs w:val="18"/>
                  <w:color w:val="0000EE"/>
                  <w:w w:val="94"/>
                </w:rPr>
                <w:t>Experts</w:t>
              </w:r>
            </w:hyperlink>
          </w:p>
        </w:tc>
        <w:tc>
          <w:tcPr>
            <w:tcW w:w="1200" w:type="dxa"/>
            <w:vAlign w:val="bottom"/>
            <w:tcBorders>
              <w:top w:val="single" w:sz="8" w:color="0000EE"/>
            </w:tcBorders>
            <w:gridSpan w:val="7"/>
          </w:tcPr>
          <w:p>
            <w:pPr>
              <w:spacing w:after="0"/>
              <w:rPr>
                <w:sz w:val="17"/>
                <w:szCs w:val="17"/>
                <w:color w:val="auto"/>
              </w:rPr>
            </w:pPr>
          </w:p>
        </w:tc>
        <w:tc>
          <w:tcPr>
            <w:tcW w:w="87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9"/>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Enforcement of Civil Liabilities Under United States Federal Securities Laws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Where You Can Find More Information</w:t>
              </w:r>
            </w:hyperlink>
          </w:p>
        </w:tc>
        <w:tc>
          <w:tcPr>
            <w:tcW w:w="50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terms of this offering and also adds to and updates information contained in the accompanying prospectus and the documents incorporated by reference into this prospectus supplement and the accompanying prospectus. The accompanying prospectus, dated January 19, 2012, including the documents incorporated by reference, provides more general information, some of which may not apply to this offering of ordinary shares. Generally, when we refer to this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You should read this prospectus supplement and the accompanying prospectus, including the information incorporated by reference, along with any free writing prospectus that we have authorized for use in connection with this offering, in their entirety before making an investment decision.</w:t>
      </w:r>
    </w:p>
    <w:p>
      <w:pPr>
        <w:spacing w:after="0" w:line="137"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Neither we nor the underwriter have authorized anyone to provide you with information different from that contained in or incorporated by reference into this prospectus supplement, the accompanying prospectus and in any free writing prospectus that we have authorized for use in connection with this offering. We take no responsibility for, and can provide no assurance as to the reliability of, any information that others may give you. This document may only be used where it is legal to sell these securities. We are not, and the underwriter is not, making an offer to sell these securities in 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jurisdiction where the offer or sale is not permitted. You should not assume that the information contained in this prospectus supplement, the accompanying prospectus, the documents incorporated by reference in this prospectus supplement and the accompanying prospectus, and in any free writing prospectus that we have authorized for use in connection with this offering, is accurate as of any date other than its respective date, regardless of when this prospectus supplement and the accompanying prospectus is delivered, or when any sale of our ordinary shares occurs.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 to “Jazz Pharmaceuticals,” “the registrant,” “we,” “us,” and “our” are meant to refer to Jazz Pharmaceuticals plc and its consolidated subsidiaries, including its predecessor Jazz Pharmaceuticals, Inc., except when the context makes clear that the time period being referenced is prior to January 18, 2012, in which case such terms are references to Jazz Pharmaceuticals, Inc. and its consolidated subsidiaries. All references in this prospectus supplement and the accompanying prospectus to “Azur Pharma” are references to Jazz Pharmaceuticals plc (f/k/a Azur Pharma Public Limited Company) and its consolidated subsidiaries prior to January 18, 2012.</w:t>
      </w:r>
    </w:p>
    <w:p>
      <w:pPr>
        <w:spacing w:after="0" w:line="139" w:lineRule="exact"/>
        <w:rPr>
          <w:sz w:val="20"/>
          <w:szCs w:val="20"/>
          <w:color w:val="auto"/>
        </w:rPr>
      </w:pPr>
    </w:p>
    <w:p>
      <w:pPr>
        <w:ind w:right="100" w:firstLine="456"/>
        <w:spacing w:after="0" w:line="225" w:lineRule="auto"/>
        <w:rPr>
          <w:sz w:val="20"/>
          <w:szCs w:val="20"/>
          <w:color w:val="auto"/>
        </w:rPr>
      </w:pPr>
      <w:r>
        <w:rPr>
          <w:rFonts w:ascii="Times New Roman" w:cs="Times New Roman" w:eastAsia="Times New Roman" w:hAnsi="Times New Roman"/>
          <w:sz w:val="17"/>
          <w:szCs w:val="17"/>
          <w:color w:val="auto"/>
        </w:rPr>
        <w:t>We own or have rights to various copyrights, trademarks, and trade names used in our business in the United States and/or non-U.S. countries, including the following: Jazz Pharmaceuticals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Xyrem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(sodium oxybate) oral solution, Xyrem Success Program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FazaClo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(clozapine, USP), Luvox CR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(fluvoxamine maleate) Extended-Release Capsules, Luvox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(fluvoxamine maleate), VersaclozTM (clozapine, USP) oral suspension, Prialt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(ziconotide) intrathecal infusion, Niravam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(orally disintegrating tablet presentation of alprazolam), Parcopa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(orally disintegrating tablet presentation of carbidopa/levodopa), Erwinaze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(asparaginase Erwinia chrysanthemi), Erwinase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Asparec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(mPEG-r-crisantaspase), Leukotac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(inolimomab), ProstaScint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(capromab pendetide), Quadramet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(samarium sm 153 lexidronam injection), Caphosol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(supersaturated calcium phosphate rinse), Collatamp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(lyophilized collagen implant impregnated with the aminoglycoside antibiotic gentamicin), Fomepizole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Kidrolase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(Escherichia coli L-asparaginase), Xenazine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(tetrabenazine), Custodiol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(solution HTK) and NAVIGATOR Reimbursement and Access Program</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All other service marks, trademarks and trade names appearing or incorporated by reference in this prospectus supplement or the accompanying prospectus are the property of their respective owners.</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or incorporated by reference in this prospectus supplement and the accompanying prospectus, and may not contain all of the information that is important to you. This prospectus supplement and the accompanying prospectus include information about the offering as well as information regarding our business. You should read this prospectus supplement and the accompanying prospectus, including the information incorporated by reference and in any free writing prospectus that we have authorized for use in connection with this offering, in their entirety. If you invest in our ordinary shares, you are assuming a high degree of risk. See “Risk Factors” on page S-4 of this prospectus supplement.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are a specialty biopharmaceutical company focused on improving patients’ lives by identifying, developing and commercializing products that address unmet medical needs. Our marketed products address medical needs in the following therapeutic areas and include the following products:</w:t>
      </w:r>
    </w:p>
    <w:p>
      <w:pPr>
        <w:spacing w:after="0" w:line="116" w:lineRule="exact"/>
        <w:rPr>
          <w:sz w:val="20"/>
          <w:szCs w:val="20"/>
          <w:color w:val="auto"/>
        </w:rPr>
      </w:pPr>
    </w:p>
    <w:p>
      <w:pPr>
        <w:ind w:right="4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Narcolepsy</w:t>
      </w:r>
      <w:r>
        <w:rPr>
          <w:rFonts w:ascii="Times New Roman" w:cs="Times New Roman" w:eastAsia="Times New Roman" w:hAnsi="Times New Roman"/>
          <w:sz w:val="18"/>
          <w:szCs w:val="18"/>
          <w:color w:val="auto"/>
        </w:rPr>
        <w:t>: Xyrem</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(sodium oxybate) oral solution, the only product approved by the United States Food and Drug Administration, or FDA,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both cataplexy and excessive daytime sleepiness in patients with narcolepsy;</w:t>
      </w:r>
    </w:p>
    <w:p>
      <w:pPr>
        <w:spacing w:after="0" w:line="111"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Oncology: </w:t>
      </w:r>
      <w:r>
        <w:rPr>
          <w:rFonts w:ascii="Times New Roman" w:cs="Times New Roman" w:eastAsia="Times New Roman" w:hAnsi="Times New Roman"/>
          <w:sz w:val="18"/>
          <w:szCs w:val="18"/>
          <w:color w:val="auto"/>
        </w:rPr>
        <w:t>Erwinaze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(asparaginase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Erwinia chrysanthemi</w:t>
      </w:r>
      <w:r>
        <w:rPr>
          <w:rFonts w:ascii="Times New Roman" w:cs="Times New Roman" w:eastAsia="Times New Roman" w:hAnsi="Times New Roman"/>
          <w:sz w:val="18"/>
          <w:szCs w:val="18"/>
          <w:color w:val="auto"/>
        </w:rPr>
        <w:t>), called Erwinase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markets outside of the United States, a treatment for patients with acute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lymphoblastic leukemia, or ALL, who have developed sensitivity to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-derived asparaginase, and other products, including products for oncology supportive care;</w:t>
      </w:r>
    </w:p>
    <w:p>
      <w:pPr>
        <w:spacing w:after="0" w:line="125"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Pain: </w:t>
      </w:r>
      <w:r>
        <w:rPr>
          <w:rFonts w:ascii="Times New Roman" w:cs="Times New Roman" w:eastAsia="Times New Roman" w:hAnsi="Times New Roman"/>
          <w:sz w:val="18"/>
          <w:szCs w:val="18"/>
          <w:color w:val="auto"/>
        </w:rPr>
        <w:t>Prialt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(ziconotide) intrathecal infusion, the only non-opioid intrathecal analgesic indicated for the management of severe chronic pain for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are intolerant of or refractory to other treatments; and</w:t>
      </w:r>
    </w:p>
    <w:p>
      <w:pPr>
        <w:spacing w:after="0" w:line="111" w:lineRule="exact"/>
        <w:rPr>
          <w:sz w:val="20"/>
          <w:szCs w:val="20"/>
          <w:color w:val="auto"/>
        </w:rPr>
      </w:pPr>
    </w:p>
    <w:p>
      <w:pPr>
        <w:ind w:right="2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Psychiatry &amp; Other</w:t>
      </w:r>
      <w:r>
        <w:rPr>
          <w:rFonts w:ascii="Times New Roman" w:cs="Times New Roman" w:eastAsia="Times New Roman" w:hAnsi="Times New Roman"/>
          <w:sz w:val="18"/>
          <w:szCs w:val="18"/>
          <w:color w:val="auto"/>
        </w:rPr>
        <w:t>: A portfolio of products, including FazaClo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(clozapine, USP) LD and FazaClo HD, orally disintegrating clozapine tablets indicated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treatment-resistant schizophrenia, and Luvox CR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(fluvoxamine maleate) Extended-Release Capsules marketed for the treatment of obsessive compulsive disorder. In addition, in February 2013 the FDA approved a new drug application for Versacloz</w:t>
      </w:r>
      <w:r>
        <w:rPr>
          <w:rFonts w:ascii="Times New Roman" w:cs="Times New Roman" w:eastAsia="Times New Roman" w:hAnsi="Times New Roman"/>
          <w:sz w:val="11"/>
          <w:szCs w:val="11"/>
          <w:color w:val="auto"/>
        </w:rPr>
        <w:t>TM</w:t>
      </w:r>
      <w:r>
        <w:rPr>
          <w:rFonts w:ascii="Times New Roman" w:cs="Times New Roman" w:eastAsia="Times New Roman" w:hAnsi="Times New Roman"/>
          <w:sz w:val="18"/>
          <w:szCs w:val="18"/>
          <w:color w:val="auto"/>
        </w:rPr>
        <w:t xml:space="preserve"> (clozapine, USP) oral suspension for treatment-resistant schizophrenia, which we have exclusive rights to market in the United States.</w:t>
      </w:r>
    </w:p>
    <w:p>
      <w:pPr>
        <w:spacing w:after="0" w:line="13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international division, based in Europe, commercializes Erwinase as well as a portfolio of other products outside of the United States. These products are primarily in the oncology, critical care and oncology supportive care therapeutic areas and include Caphosol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(supersaturated calcium phosphate rinse), Collatamp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(lyophilized collagen implant impregnated with the aminoglycoside antibiotic gentamicin), Fomepizole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Kidrolase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(Escherichia coli L-asparaginase) and Xenazine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(tetrabenazine).</w:t>
      </w:r>
    </w:p>
    <w:p>
      <w:pPr>
        <w:spacing w:after="0" w:line="136" w:lineRule="exact"/>
        <w:rPr>
          <w:sz w:val="20"/>
          <w:szCs w:val="20"/>
          <w:color w:val="auto"/>
        </w:rPr>
      </w:pPr>
    </w:p>
    <w:p>
      <w:pPr>
        <w:jc w:val="both"/>
        <w:ind w:right="280" w:firstLine="456"/>
        <w:spacing w:after="0" w:line="301" w:lineRule="auto"/>
        <w:rPr>
          <w:sz w:val="20"/>
          <w:szCs w:val="20"/>
          <w:color w:val="auto"/>
        </w:rPr>
      </w:pPr>
      <w:r>
        <w:rPr>
          <w:rFonts w:ascii="Times New Roman" w:cs="Times New Roman" w:eastAsia="Times New Roman" w:hAnsi="Times New Roman"/>
          <w:sz w:val="16"/>
          <w:szCs w:val="16"/>
          <w:color w:val="auto"/>
        </w:rPr>
        <w:t>Our development pipeline projects currently include line extensions for existing products, the generation of additional clinical data for existing products and clinical development of new product candidates. These projects include two clinical trials involving Erwinaze, as well as the development of two product candidates: Asparec</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(mPEG-r-crisantaspase), a pegylated recombinant </w:t>
      </w:r>
      <w:r>
        <w:rPr>
          <w:rFonts w:ascii="Times New Roman" w:cs="Times New Roman" w:eastAsia="Times New Roman" w:hAnsi="Times New Roman"/>
          <w:sz w:val="16"/>
          <w:szCs w:val="16"/>
          <w:i w:val="1"/>
          <w:iCs w:val="1"/>
          <w:color w:val="auto"/>
        </w:rPr>
        <w:t>Erwinia</w:t>
      </w:r>
      <w:r>
        <w:rPr>
          <w:rFonts w:ascii="Times New Roman" w:cs="Times New Roman" w:eastAsia="Times New Roman" w:hAnsi="Times New Roman"/>
          <w:sz w:val="16"/>
          <w:szCs w:val="16"/>
          <w:color w:val="auto"/>
        </w:rPr>
        <w:t xml:space="preserve"> asparaginase for the treatment of patients with ALL with </w:t>
      </w:r>
      <w:r>
        <w:rPr>
          <w:rFonts w:ascii="Times New Roman" w:cs="Times New Roman" w:eastAsia="Times New Roman" w:hAnsi="Times New Roman"/>
          <w:sz w:val="16"/>
          <w:szCs w:val="16"/>
          <w:i w:val="1"/>
          <w:iCs w:val="1"/>
          <w:color w:val="auto"/>
        </w:rPr>
        <w:t>E. coli</w:t>
      </w:r>
      <w:r>
        <w:rPr>
          <w:rFonts w:ascii="Times New Roman" w:cs="Times New Roman" w:eastAsia="Times New Roman" w:hAnsi="Times New Roman"/>
          <w:sz w:val="16"/>
          <w:szCs w:val="16"/>
          <w:color w:val="auto"/>
        </w:rPr>
        <w:t xml:space="preserve"> asparaginase hypersensitivity, and Leukotac</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(inolimomab), an anti-CD25 monoclonal antibody for the treatment of steroid-refractory acute graft vs. host disease.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is to continue to create shareholder value by:</w:t>
      </w:r>
    </w:p>
    <w:p>
      <w:pPr>
        <w:spacing w:after="0" w:line="90" w:lineRule="exact"/>
        <w:rPr>
          <w:sz w:val="20"/>
          <w:szCs w:val="20"/>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sales of the existing products in our portfolio, including by identifying new growth opportunities;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marketed specialty products or products close to regulatory approval to leverage our existing expertise and infrastructure;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targeted development of a pipeline of post-discovery specialty product candidates.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Jazz Pharmaceuticals plc is a public limited company formed under the laws of Ireland (registered number 399192) and is the ultimate parent company to the Jazz Pharmaceuticals group of companies. The Jazz Pharmaceuticals plc corporate entity was originally formed as a private limited liability company in March 2005 under the name Azur Pharma Limited, and was subsequently re-registered as a public limited company under the name Azur Pharma Public Limited Company in October 2011. On January 18, 2012, the business of Jazz Pharmaceuticals, Inc. and Azur Pharma were combined in a merger transaction, which we refer to in this prospectus supplement as the merger, in connection with which Azur Pharma was re-named Jazz Pharmaceuticals plc and we became the parent company of and successor to Jazz Pharmaceuticals, Inc. Jazz Pharmaceuticals, Inc. was treated as the acquiring company in the merger for accounting purposes and the transaction was accounted for as a reverse acquisition under the acquisition method of accounting for business combinations. Our predecessor, Jazz Pharmaceuticals, Inc., was originally incorporated in California in March 2003 and was reincorporated in Delaware in January 2004. In the merger, all outstanding shares of Jazz Pharmaceuticals, Inc.’s common stock were canceled and converted into the right to receive, on a one-for-one basis, our ordinary shares. Our ordinary shares trade on the same exchange, The NASDAQ Global Select Market, and under the same trading symbol, “JAZZ,” as the Jazz Pharmaceuticals, Inc. common stock prior to the merger.</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principal offices are located at One Burlington Road, Dublin, 4 Ireland, and our telephone number is 353-1-634-7800. Our U.S. operations are located in Palo Alto, California and Philadelphia and Langhorne, Pennsylvania. Our international division is headquartered in Oxford, United Kingdom, with offices in Lyon, France and elsewhere in Europe. Our website address is </w:t>
      </w:r>
      <w:r>
        <w:rPr>
          <w:rFonts w:ascii="Times New Roman" w:cs="Times New Roman" w:eastAsia="Times New Roman" w:hAnsi="Times New Roman"/>
          <w:sz w:val="18"/>
          <w:szCs w:val="18"/>
          <w:i w:val="1"/>
          <w:iCs w:val="1"/>
          <w:color w:val="auto"/>
        </w:rPr>
        <w:t>www.jazzpharmaceuticals.com</w:t>
      </w:r>
      <w:r>
        <w:rPr>
          <w:rFonts w:ascii="Times New Roman" w:cs="Times New Roman" w:eastAsia="Times New Roman" w:hAnsi="Times New Roman"/>
          <w:sz w:val="18"/>
          <w:szCs w:val="18"/>
          <w:color w:val="auto"/>
        </w:rPr>
        <w:t>. Information contained in, or accessible through, our website does not constitute a part of this prospectus supplement or the accompanying prospectus.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340"/>
          </w:cols>
          <w:pgMar w:left="240" w:top="455" w:right="3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Offering</w:t>
      </w:r>
    </w:p>
    <w:p>
      <w:pPr>
        <w:sectPr>
          <w:pgSz w:w="11900" w:h="16838" w:orient="portrait"/>
          <w:cols w:equalWidth="0" w:num="1">
            <w:col w:w="11380"/>
          </w:cols>
          <w:pgMar w:left="240" w:top="455" w:right="27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offered by selling shareholders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5,375,000 shares</w:t>
      </w:r>
    </w:p>
    <w:p>
      <w:pPr>
        <w:spacing w:after="0" w:line="200"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line="48" w:lineRule="exact"/>
        <w:rPr>
          <w:sz w:val="20"/>
          <w:szCs w:val="20"/>
          <w:color w:val="auto"/>
        </w:rPr>
      </w:pPr>
    </w:p>
    <w:p>
      <w:pPr>
        <w:ind w:left="100" w:hanging="84"/>
        <w:spacing w:after="0" w:line="275" w:lineRule="auto"/>
        <w:rPr>
          <w:sz w:val="20"/>
          <w:szCs w:val="20"/>
          <w:color w:val="auto"/>
        </w:rPr>
      </w:pPr>
      <w:r>
        <w:rPr>
          <w:rFonts w:ascii="Times New Roman" w:cs="Times New Roman" w:eastAsia="Times New Roman" w:hAnsi="Times New Roman"/>
          <w:sz w:val="18"/>
          <w:szCs w:val="18"/>
          <w:color w:val="auto"/>
        </w:rPr>
        <w:t>Ordinary shares to be outstanding immediately after the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58,035,395 shares</w:t>
      </w:r>
    </w:p>
    <w:p>
      <w:pPr>
        <w:spacing w:after="0" w:line="464" w:lineRule="exact"/>
        <w:rPr>
          <w:sz w:val="20"/>
          <w:szCs w:val="20"/>
          <w:color w:val="auto"/>
        </w:rPr>
      </w:pPr>
    </w:p>
    <w:p>
      <w:pPr>
        <w:sectPr>
          <w:pgSz w:w="11900" w:h="16838" w:orient="portrait"/>
          <w:cols w:equalWidth="0" w:num="2">
            <w:col w:w="3920" w:space="4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See the information incorporated by reference herein under the heading “Risk Factors” on page S-4 of this prospectus supplement.</w:t>
      </w:r>
    </w:p>
    <w:p>
      <w:pPr>
        <w:spacing w:after="0" w:line="160"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selling shareholders are selling all of the ordinary shares offered by this prospectus supplement.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by the selling shareholders.</w:t>
      </w:r>
    </w:p>
    <w:p>
      <w:pPr>
        <w:spacing w:after="0" w:line="199"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JAZZ</w:t>
      </w:r>
    </w:p>
    <w:p>
      <w:pPr>
        <w:spacing w:after="0" w:line="185"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number of ordinary shares to be outstanding immediately after this offering is based on 58,035,395 ordinary shares outstanding as of February 15, 2013, and excludes, as of that date:</w:t>
      </w:r>
    </w:p>
    <w:p>
      <w:pPr>
        <w:spacing w:after="0" w:line="39"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4,164,711 ordinary shares issuable upon the exercise of outstanding options, having a weighted average exercise price of $14.35 per share;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944,184 ordinary shares issuable upon the vesting of restricted stock units;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2,023,200 ordinary shares issuable upon the exercise of outstanding warrants, having a weighted average exercise price of $6.25 per share;</w:t>
      </w:r>
    </w:p>
    <w:p>
      <w:pPr>
        <w:spacing w:after="0" w:line="90" w:lineRule="exact"/>
        <w:rPr>
          <w:rFonts w:ascii="Times New Roman" w:cs="Times New Roman" w:eastAsia="Times New Roman" w:hAnsi="Times New Roman"/>
          <w:sz w:val="18"/>
          <w:szCs w:val="18"/>
          <w:color w:val="auto"/>
        </w:rPr>
      </w:pPr>
    </w:p>
    <w:p>
      <w:pPr>
        <w:ind w:left="780" w:right="9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54,376 ordinary shares credited to individual non-employee director stock accounts under our Amended and Restated Directors Deferred Compensation Plan; and</w:t>
      </w:r>
    </w:p>
    <w:p>
      <w:pPr>
        <w:spacing w:after="0" w:line="38"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up to 9,731,116 ordinary shares reserved for future issuance under our equity incentive and employee stock purchase plans and our Amended and Restated Directors Deferred Compensation Plan.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380"/>
          </w:cols>
          <w:pgMar w:left="240" w:top="455" w:right="27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 investment in our ordinary shares involves a high degree of risk. Before deciding whether to invest in our ordinary shares, you should consider carefully the risks discussed under the heading “Risk Factors” contained in our Annual Report on Form 10-K for the fiscal year ended December 31, 2012 filed with the SEC on February 26, 2013 which are incorporated by reference in this prospectus supplement and the accompanying prospectus in their entirety, together with the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ordinary shares to decline, resulting in a loss of all or part of your investment. Additional risks and uncertainties not presently known to us, or that we currently believe are immaterial, may also harm our business operations.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within the meaning of Section 27A of the Securities Act of 1933, as amended, or the Securities Act, and Section 21E of the Securities Exchange Act of 1934, or the Exchange Act. These statements are based on our current expectations, assumptions, estimates and projections about our business and our industry, and involve known and unknown risks, uncertainties and other factors that may cause our results, levels of activity, performance or achievements to be materially different from any future results, levels of activity, performance or achievements expressed or implied by the forward-looking statements. Forward-looking statements include, but are not limited to, statements about:</w:t>
      </w:r>
    </w:p>
    <w:p>
      <w:pPr>
        <w:spacing w:after="0" w:line="58"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and revenue from Xyrem and our other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defend our patents;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requirements, obligations and restrictions on our business;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financial coverage and reimbursement from third party payors for our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acquire, in-license and/or develop additional products or product candidates to grow our business;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anticipated financial and other benefits from our strategic acquisition and business combination transactions;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 and the risks attendant to our substantially expanded international operations;</w:t>
      </w:r>
    </w:p>
    <w:p>
      <w:pPr>
        <w:spacing w:after="0" w:line="9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clinical and commercial supplies of our product candidates and products from current and new sole source suppliers and manufacturers;</w:t>
      </w:r>
    </w:p>
    <w:p>
      <w:pPr>
        <w:spacing w:after="0" w:line="38" w:lineRule="exact"/>
        <w:rPr>
          <w:rFonts w:ascii="Times New Roman" w:cs="Times New Roman" w:eastAsia="Times New Roman" w:hAnsi="Times New Roman"/>
          <w:sz w:val="18"/>
          <w:szCs w:val="18"/>
          <w:color w:val="auto"/>
        </w:rPr>
      </w:pPr>
    </w:p>
    <w:p>
      <w:pPr>
        <w:ind w:left="780" w:right="96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and our expectations regarding our future cash flow, expenses, revenues, financial results and capital requirements;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 and industry, and other characterizations of future events or circumstances.</w:t>
      </w:r>
    </w:p>
    <w:p>
      <w:pPr>
        <w:spacing w:after="0" w:line="171"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“could,” “estimate,” “expect,” “intend,” “may,” “plan,” “potential,” “predict,” “project,” “should,” “will,” “would” and similar expressions intended to identify forward-looking statements. These statements involve known and unknown risks, uncertainties and other factors that may cause our actual results, levels of activity,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performance, time frames or achievements to be materially different from the information expressed or implied by these forward-looking statements. While we believe that we have a reasonable basis for each forward-looking statement, we caution you that these statements are based on a combination of facts and factors currently known by us and our projections of the future, about which we cannot be certain. We discuss many of these risks, uncertainties and other factors in greater detail under the heading “Risk Factors” contained in our Annual Report on Form 10-K for the fiscal year ended December 31, 2012 filed with the SEC on February 26, 2013, which is incorporated by reference in this prospectus supplement and the accompanying prospectus, as well as in the other information in this prospectus supplement, the accompanying prospectus, the information and documents incorporated by reference herein and therein, and in any free writing prospectus that we have authorized for use in connection with this offering. Given these risks, uncertainties and other factors, you should not place undue reliance on these forward-looking statements. Also, these forward-looking statements represent our estimates and assumptions only as of the date such forward-looking statements are made. You should read carefully this prospectus supplement, the accompanying prospectus and the information incorporated herein and therein by reference as described under the heading “Where You Can Find Additional Information” in this prospectus supplement and with the understanding that our actual future results may be materially different from what we expect. We hereby qualify all of our forward-looking statements by these cautionary statements.</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shareholders are offering all of the ordinary shares offered by this prospectus supplement and will receive all of the proceeds from this offering.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selling shareholders, see “Selling Shareholders” in this prospectus supplement.</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will not receive any of the proceeds from this offering. We are obligated to pay all expenses we incur in connection with this offering, including all registration and filing fees, printing expenses, fees and expenses of our counsel, custodian and paying agent fees and state Blue Sky fees and expenses. We are also obligated to pay up to an aggregate of $50,000 for certain fees incurred by the selling shareholders in connection with this offering as well as any applicable transfer taxes. The selling shareholders will pay all other fees and expenses that they incur in connection with this offering, including all underwriting discounts and commissions.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7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number of our ordinary shares beneficially owned by the selling shareholders as of February 15, 2013, and the number of ordinary shares that the selling shareholders are selling in this offering pursuant to this prospectus supplement and the accompanying prospectus.</w:t>
      </w:r>
    </w:p>
    <w:p>
      <w:pPr>
        <w:spacing w:after="0" w:line="120"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The number of ordinary shares beneficially owned includes ordinary shares issuable pursuant to the exercise of options and warrants that are exercisable within 60 days of February 15, 2013, as well as shares credited to individual non-employee director phantom stock accounts under our Amended and Restated Directors Deferred Compensation Plan as of February 15, 2013. Amounts credited to individual non-employee director phantom stock accounts under our Amended and Restated Directors Deferred Compensation Plan are payable solely in our ordinary shares, but such shares do not have current voting power. Ordinary shares issuable pursuant to our Amended and Restated Directors Deferred Compensation Plan and ordinary shares issuable pursuant to the exercise of stock options and warrants that are exercisable within 60 days of February 15, 2013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112"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percentage of beneficial ownership is based on 58,035,395 ordinary shares outstanding as of February 15, 2013. Unless otherwise indicated in the footnotes to this table and subject to community property laws where applicable, we believe that each of the selling shareholders named in this table has sole voting and investment power with respect to the ordinary shares indicated as beneficially owned.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25"/>
        </w:trPr>
        <w:tc>
          <w:tcPr>
            <w:tcW w:w="11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62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6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ind w:right="624"/>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5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4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02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ind w:right="6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5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4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0" w:type="dxa"/>
            <w:vAlign w:val="bottom"/>
          </w:tcPr>
          <w:p>
            <w:pPr>
              <w:spacing w:after="0"/>
              <w:rPr>
                <w:sz w:val="1"/>
                <w:szCs w:val="1"/>
                <w:color w:val="auto"/>
              </w:rPr>
            </w:pPr>
          </w:p>
        </w:tc>
      </w:tr>
      <w:tr>
        <w:trPr>
          <w:trHeight w:val="172"/>
        </w:trPr>
        <w:tc>
          <w:tcPr>
            <w:tcW w:w="1140" w:type="dxa"/>
            <w:vAlign w:val="bottom"/>
            <w:tcBorders>
              <w:bottom w:val="single" w:sz="8" w:color="auto"/>
            </w:tcBorders>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624"/>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500" w:type="dxa"/>
            <w:vAlign w:val="bottom"/>
            <w:gridSpan w:val="2"/>
          </w:tcPr>
          <w:p>
            <w:pPr>
              <w:jc w:val="center"/>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360" w:type="dxa"/>
            <w:vAlign w:val="bottom"/>
            <w:gridSpan w:val="2"/>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46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98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0" w:type="dxa"/>
            <w:vAlign w:val="bottom"/>
          </w:tcPr>
          <w:p>
            <w:pPr>
              <w:spacing w:after="0"/>
              <w:rPr>
                <w:sz w:val="1"/>
                <w:szCs w:val="1"/>
                <w:color w:val="auto"/>
              </w:rPr>
            </w:pPr>
          </w:p>
        </w:tc>
      </w:tr>
      <w:tr>
        <w:trPr>
          <w:trHeight w:val="175"/>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Entities affiliated with Kohlberg Kravis Roberts &amp; Co.</w:t>
            </w:r>
          </w:p>
        </w:tc>
        <w:tc>
          <w:tcPr>
            <w:tcW w:w="5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L.P.</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 West 57th Street, Suite 4200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 NY 10019</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KKR JP LLC</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7,517,030</w:t>
            </w:r>
          </w:p>
        </w:tc>
        <w:tc>
          <w:tcPr>
            <w:tcW w:w="70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93"/>
              </w:rPr>
              <w:t>(1)</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3,734,135</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3,782,895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KKR JP III LLC</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70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93"/>
              </w:rPr>
              <w:t>(1)</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15,865</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7,888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Longitude Capital Partners, LLC</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800 El Camino Real, Suite 220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Menlo Park, CA 94025</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Longitude Venture Partners, L.P.</w:t>
            </w:r>
          </w:p>
        </w:tc>
        <w:tc>
          <w:tcPr>
            <w:tcW w:w="19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2,531,217</w:t>
            </w:r>
            <w:r>
              <w:rPr>
                <w:rFonts w:ascii="Times New Roman" w:cs="Times New Roman" w:eastAsia="Times New Roman" w:hAnsi="Times New Roman"/>
                <w:sz w:val="11"/>
                <w:szCs w:val="11"/>
                <w:color w:val="auto"/>
              </w:rPr>
              <w:t>(2)</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784,280</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1,700,486</w:t>
            </w:r>
            <w:r>
              <w:rPr>
                <w:rFonts w:ascii="Times New Roman" w:cs="Times New Roman" w:eastAsia="Times New Roman" w:hAnsi="Times New Roman"/>
                <w:sz w:val="11"/>
                <w:szCs w:val="11"/>
                <w:color w:val="auto"/>
              </w:rPr>
              <w:t>(2)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8"/>
        </w:trPr>
        <w:tc>
          <w:tcPr>
            <w:tcW w:w="4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Longitude Capital Associates, L.P.</w:t>
            </w:r>
          </w:p>
        </w:tc>
        <w:tc>
          <w:tcPr>
            <w:tcW w:w="19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50,739</w:t>
            </w:r>
            <w:r>
              <w:rPr>
                <w:rFonts w:ascii="Times New Roman" w:cs="Times New Roman" w:eastAsia="Times New Roman" w:hAnsi="Times New Roman"/>
                <w:sz w:val="11"/>
                <w:szCs w:val="11"/>
                <w:color w:val="auto"/>
              </w:rPr>
              <w:t>(2)</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15,720</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34,098</w:t>
            </w:r>
            <w:r>
              <w:rPr>
                <w:rFonts w:ascii="Times New Roman" w:cs="Times New Roman" w:eastAsia="Times New Roman" w:hAnsi="Times New Roman"/>
                <w:sz w:val="11"/>
                <w:szCs w:val="11"/>
                <w:color w:val="auto"/>
              </w:rPr>
              <w:t>(2)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Seamus Mulligan</w:t>
            </w:r>
          </w:p>
        </w:tc>
        <w:tc>
          <w:tcPr>
            <w:tcW w:w="19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2,426,055</w:t>
            </w:r>
            <w:r>
              <w:rPr>
                <w:rFonts w:ascii="Times New Roman" w:cs="Times New Roman" w:eastAsia="Times New Roman" w:hAnsi="Times New Roman"/>
                <w:sz w:val="11"/>
                <w:szCs w:val="11"/>
                <w:color w:val="auto"/>
              </w:rPr>
              <w:t>(3)</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425,000</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2,001,055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Beecken Petty O’Keefe &amp;</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Company, LLC</w:t>
            </w:r>
          </w:p>
        </w:tc>
        <w:tc>
          <w:tcPr>
            <w:tcW w:w="19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686,461</w:t>
            </w:r>
            <w:r>
              <w:rPr>
                <w:rFonts w:ascii="Times New Roman" w:cs="Times New Roman" w:eastAsia="Times New Roman" w:hAnsi="Times New Roman"/>
                <w:sz w:val="11"/>
                <w:szCs w:val="11"/>
                <w:color w:val="auto"/>
              </w:rPr>
              <w:t>(4)</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400,000</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286,461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131 South Dearborn Street, Suite 2800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Chicago, Il 60603</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460" w:right="40" w:hanging="452"/>
        <w:spacing w:after="0" w:line="25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JP LLC (“KKR JP”) directly holds 6,919,193 of our ordinary shares and warrants to purchase 597,837 of our ordinary shares. KKR Millennium Fund L.P. (“KKR Millennium Fund”) is the sole member of KKR JP. KKR Associates Millennium L.P. (“KKR Associates Millennium”) is the sole general partner of KKR Millennium Fund. KKR Millennium GP LLC (“KKR Millennium GP”) is the sole general partner of KKR Associates Millennium. KKR Fund Holdings L.P. (“KKR Fund Holdings”) is the designated member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60"/>
        <w:spacing w:after="0" w:line="255" w:lineRule="auto"/>
        <w:rPr>
          <w:sz w:val="20"/>
          <w:szCs w:val="20"/>
          <w:color w:val="auto"/>
        </w:rPr>
      </w:pPr>
      <w:r>
        <w:rPr>
          <w:rFonts w:ascii="Times New Roman" w:cs="Times New Roman" w:eastAsia="Times New Roman" w:hAnsi="Times New Roman"/>
          <w:sz w:val="18"/>
          <w:szCs w:val="18"/>
          <w:color w:val="auto"/>
        </w:rPr>
        <w:t>KKR Millennium GP. KKR Fund Holdings GP Limited (“KKR Fund Holdings GP”) is a general partner of KKR Fund Holdings. KKR Millennium Fund, KKR Associates Millennium, KKR Millennium GP, KKR Fund Holdings and KKR Fund Holdings GP disclaim beneficial ownership of the securities held by KKR JP.</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KKR JP III LLC (“KKR JP III”) directly holds 23,753 of our ordinary shares. KKR Partners III, L.P. (“KKR Partners III”) is the sole member of KKR JP</w:t>
      </w:r>
    </w:p>
    <w:p>
      <w:pPr>
        <w:spacing w:after="0" w:line="32" w:lineRule="exact"/>
        <w:rPr>
          <w:sz w:val="20"/>
          <w:szCs w:val="20"/>
          <w:color w:val="auto"/>
        </w:rPr>
      </w:pPr>
    </w:p>
    <w:p>
      <w:pPr>
        <w:ind w:left="460" w:right="140" w:firstLine="4"/>
        <w:spacing w:after="0" w:line="250" w:lineRule="auto"/>
        <w:tabs>
          <w:tab w:leader="none" w:pos="72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III GP LLC (“KKR III GP”) is the sole general partner of KKR Partners III. KKR Partners III and KKR III GP disclaim beneficial ownership of the securities held by KKR JP III.</w:t>
      </w:r>
    </w:p>
    <w:p>
      <w:pPr>
        <w:ind w:left="460" w:right="2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of KKR Group Holdings L.P. (“KKR Group Holdings”) (as the sole shareholder of KKR Fund Holdings GP and a general partner of KKR Fund Holdings L.P.); KKR Group Limited (“KKR Group”) (as the general partner of KKR Group Holdings); KKR &amp; Co. L.P. (“KKR &amp; Co.”) (as the sole shareholder of KKR Group); and KKR Management LLC (as the general partner of KKR &amp; Co.) disclaim beneficial ownership of the securities held by</w:t>
      </w:r>
    </w:p>
    <w:p>
      <w:pPr>
        <w:spacing w:after="0" w:line="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JP.</w:t>
      </w:r>
    </w:p>
    <w:p>
      <w:pPr>
        <w:spacing w:after="0" w:line="9" w:lineRule="exact"/>
        <w:rPr>
          <w:rFonts w:ascii="Times New Roman" w:cs="Times New Roman" w:eastAsia="Times New Roman" w:hAnsi="Times New Roman"/>
          <w:sz w:val="18"/>
          <w:szCs w:val="18"/>
          <w:color w:val="auto"/>
        </w:rPr>
      </w:pPr>
    </w:p>
    <w:p>
      <w:pPr>
        <w:jc w:val="both"/>
        <w:ind w:left="46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designated members of KKR Management LLC and the managing members of KKR III GP LLC, Messrs. Henry R. Kravis and George R. Roberts may be deemed to be the beneficial owner of the securities held by KKR JP and KKR JP III but disclaim beneficial ownership of such securities. Messrs. Kravis and Roberts have also been designated as managers of KKR Millennium GP by KKR Fund Holdings.</w:t>
      </w:r>
    </w:p>
    <w:p>
      <w:pPr>
        <w:spacing w:after="0" w:line="1" w:lineRule="exact"/>
        <w:rPr>
          <w:rFonts w:ascii="Times New Roman" w:cs="Times New Roman" w:eastAsia="Times New Roman" w:hAnsi="Times New Roman"/>
          <w:sz w:val="18"/>
          <w:szCs w:val="18"/>
          <w:color w:val="auto"/>
        </w:rPr>
      </w:pPr>
    </w:p>
    <w:p>
      <w:pPr>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KKR JP and KKR JP III is owned by one or more entities that are affiliated with KKR Capital Markets LLC, a registered broker-dealer. Each of KKR JP and KKR JP III has represented that it acquired the ordinary shares offered hereby in the ordinary course of business and at the time of the purchase of those ordinary shares, did not have any agreements or understandings, directly or indirectly, with any person to distribute those ordinary shares. The entities named in this footnote (1) are sometimes referred to herein as the KKR Entities. Michael W. Michelson and James C. Momtazee are executives of Kohlberg Kravis Roberts &amp; Co. L.P. and/or one or more of its affiliates. Mr. Momtazee is a member of our board of directors and was a member of the board of directors of Jazz Pharmaceuticals, Inc., or JPI. Mr. Michelson served as a member of the board of directors of JPI. Each of Messrs. Michelson and Momtazee disclaim beneficial ownership of any securities beneficially owned by the KKR Entities. The address of the KKR Entities and Mr. Kravis is c/o Kohlberg Kravis Roberts &amp; Co. L.P., 9 West 57th Street, New York, NY 10019. The address of Messrs. Roberts and Momtazee is c/o Kohlberg Kravis Roberts &amp; Co. L.P., 2800 Sand Hill Road, Suite 200, Menlo Park, CA 94025.</w:t>
      </w:r>
    </w:p>
    <w:p>
      <w:pPr>
        <w:spacing w:after="0" w:line="4"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Longitude Venture Partners, L.P. (“LVP”) holds 1,599,401 of our ordinary shares and a warrant to acquire 929,243 of our ordinary shares. The number of ordinary shares beneficially owned by LVP includes 2,573 ordinary shares over which it has the right to acquire voting and/or investment power within 60 days of February 15, 2013. The number of ordinary shares beneficially owned by LVP after the offering gives effect to the sale of 46,451 ordinary shares in open market transactions on February 19, 2013. Longitude Capital Associates, L.P. (“LCA”) holds 32,063 of our ordinary shares and a warrant to acquire 18,624 of our ordinary shares. The number of ordinary shares beneficially owned by LCA includes 52 ordinary shares over which it has the right to acquire voting and/or investment power within 60 days of February 15, 2013. The number of ordinary shares beneficially owned by LCA after the offering gives effect to the sale of 921 ordinary shares in open market transactions on February 19, 2013. The funds named in this footnote (2) are sometimes referred to herein as the Longitude Funds. Each of Patrick G. Enright and Juliet Tammenoms Bakker are managing members of Longitude Capital Partners, LLC, which is the general partner of each of the Longitude Funds, and may be deemed to have shared voting and dispositive power with respect to the ordinary shares held by or issuable to the Longitude Funds. Each of Mr. Enright and Ms. Bakker disclaims beneficial ownership of all such ordinary shares except to the extent of such person’s proportionate pecuniary interest therein. Mr. Enright is a member of our board of directors and served as a member of JPI’s board of directors prior to the merger.</w:t>
      </w:r>
    </w:p>
    <w:p>
      <w:pPr>
        <w:spacing w:after="0" w:line="5"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Mulligan is a member of our board of directors and served as our Chief Business Officer, International Business Development from the closing of the merger until February 2013. Prior to the merger, Mr. Mulligan served as the Chairman and Chief Executive Officer of Azur Pharma, which he founded in March 2005. The number of ordinary shares beneficially owned by Mr. Mulligan includes 2,426,055 ordinary shares held by him. Of these ordinary shares, 569,160 ordinary shares are held by Deutsche Bank National Trust Company,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20"/>
        <w:spacing w:after="0" w:line="255" w:lineRule="auto"/>
        <w:rPr>
          <w:sz w:val="20"/>
          <w:szCs w:val="20"/>
          <w:color w:val="auto"/>
        </w:rPr>
      </w:pPr>
      <w:r>
        <w:rPr>
          <w:rFonts w:ascii="Times New Roman" w:cs="Times New Roman" w:eastAsia="Times New Roman" w:hAnsi="Times New Roman"/>
          <w:sz w:val="18"/>
          <w:szCs w:val="18"/>
          <w:color w:val="auto"/>
        </w:rPr>
        <w:t>Deutsche Bank, as escrow agent, as security for the indemnification obligations of the historic Azur Pharma shareholders in connection with the merger to an escrow agreement among us, JPI, Seamus Mulligan, as representative of the indemnitors, and Deutsche Bank. The address for Mr. Mulligan is 45 Fitzwilliam Square, Dublin 2, Ireland.</w:t>
      </w:r>
    </w:p>
    <w:p>
      <w:pPr>
        <w:spacing w:after="0" w:line="1" w:lineRule="exact"/>
        <w:rPr>
          <w:sz w:val="20"/>
          <w:szCs w:val="20"/>
          <w:color w:val="auto"/>
        </w:rPr>
      </w:pPr>
    </w:p>
    <w:p>
      <w:pPr>
        <w:ind w:left="460" w:hanging="452"/>
        <w:spacing w:after="0" w:line="25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622,865 of our ordinary shares held by Beecken Petty O’Keefe Fund II L.P., Beecken Petty O’Keefe QP Fund II, L.P. and Beecken Petty O’Keefe Executive Fund II, L.P. as tenants in common (collectively, “BPO Fund II”), (ii) 38,347 ordinary shares held by Beecken Petty O’Keefe &amp; Company II, L.P., (iii) 22,249 ordinary shares issuable to Kenneth W. O’Keefe pursuant to our Amended and Restated Directors Deferred Compensation Plan which, upon issuance, will be held for the benefit of Beecken Petty O’Keefe &amp; Company II, L.P, and (iv) 3,000 ordinary shares issuable to Kenneth W. O’Keefe upon exercise of options at a strike price of $46.83 per share pursuant to our 2007 Equity Incentive Plan which, upon exercise, will be held for the benefit of Beecken Petty O’Keefe &amp; Company II, L.P. BPO Fund II is selling 400,000 ordinary shares in this offering. Beecken Petty O’Keefe &amp; Company II, L.P., is the general partner of BPO Fund II and Beecken Petty O’Keefe &amp; Company, LLC is the general partner of Beecken Petty O’Keefe &amp; Company, II, L.P. Mr. O’Keefe, David K. Beecken and William G. Petty, Jr. are member managers of Beecken Petty O’Keefe &amp; Company, LLC, and as such may be deemed to have shared voting and dispositive power with respect to the ordinary shares beneficially owned by BPO Fund II and Beecken Petty O’Keefe &amp; Company II, L.P. Each of Messrs. O’Keefe, Beecken and Petty disclaims beneficial ownership of the ordinary shares beneficially owned by BPO Fund II and Beecken Petty O’Keefe &amp; Company II, L.P., except to the extent of each of their pecuniary interest therein. Mr. O’Keefe is a member of our board of directors and previously served as a member of JPI’s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Below is a description of certain material relationships that certain selling shareholders have or had with us, JPI or Azur Pharma during the past three years. Information with respect to the positions or offices the selling shareholders or their affiliates or associates have or have had with us, JPI or Azur Pharma is included in the footnotes to the table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2007 Investor Rights Agreement. </w:t>
      </w:r>
      <w:r>
        <w:rPr>
          <w:rFonts w:ascii="Times New Roman" w:cs="Times New Roman" w:eastAsia="Times New Roman" w:hAnsi="Times New Roman"/>
          <w:sz w:val="18"/>
          <w:szCs w:val="18"/>
          <w:color w:val="auto"/>
        </w:rPr>
        <w:t>Pursuant to the terms of a third amended and restated investor rights agreement dated June 6, 2007, as amended,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JPI and the other parties named therein, or the 2007 Investor Rights Agreement, which 2007 Investor Rights Agreement was assumed by us in the merger, the holders of up to approximately 6,549,000 ordinary shares, based on shares outstanding on February 20, 2013, or their transferees, are entitled to certain rights with respect to the registration of such shares under the Securities Act. If we propose to register any of our securities under the Securities Act, either for our own account or for the account of others, the holders of these shares are entitled to notice of the registration and are entitled to include, at our expense, their ordinary shares in the registration and any related underwriting, provided, among other conditions, that any such underwriters may limit the number of ordinary shares to be included in the registration. In addition, the holders of these ordinary shares have the right require us, at our expense and subject to certain limitations, to file one or more registration statements under the Securities Act with respect to their ordinary shares and, if any such demand is for an underwritten public offering, to enter into an underwriting agreement and related agreements, in usual and customary form, with the underwriters of such offering, subject to our right to defer such a registration and underwriting under certain circumstances. Each of KKR JP, KKR JP III and BPO Fund II are parties to or otherwise are entitled to registration rights under the 2007 Investor Rights Agreement.</w:t>
      </w:r>
    </w:p>
    <w:p>
      <w:pPr>
        <w:spacing w:after="0" w:line="13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2009 Investor Rights Agreement. </w:t>
      </w:r>
      <w:r>
        <w:rPr>
          <w:rFonts w:ascii="Times New Roman" w:cs="Times New Roman" w:eastAsia="Times New Roman" w:hAnsi="Times New Roman"/>
          <w:sz w:val="18"/>
          <w:szCs w:val="18"/>
          <w:color w:val="auto"/>
        </w:rPr>
        <w:t>Pursuant to the terms of an investor rights agreement dated July 7, 2009, as amended, by and between JPI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Longitude Funds, or the 2009 Investor Rights Agreement, which 2009 Investor Rights Agreement was assumed by us in the merger, we agreed to file a registration statement under the Securities Act registering (or to otherwise effect the registration of) the resale of the ordinary shares held by the Longitude Funds, which total 1,631,464 ordinary shares of February 15, 2013, as well as the 947,867 of our ordinary shares underlying the warrants held by the Longitude Funds and to keep such registration continuously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effective. In addition, if we propose to register any of our securities under the Securities Act, either for our own account or for the account of others, the Longitude Funds are entitled to notice of the registration and are entitled to include, at our expense, their ordinary shares in the registration and any related underwriting, provided, among other conditions, that the underwriters may limit the number of shares to be included in the registration.</w:t>
      </w:r>
    </w:p>
    <w:p>
      <w:pPr>
        <w:spacing w:after="0" w:line="13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In connection with the merger, Azur Pharma entered into a registration rights agreement on January 13, 2012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Azur Pharma’s ordinary shares as of that date, including Seamus Mulligan, which holders are referred to herein as the Azur Pharma rights parties. Pursuant to the registration rights agreement, Azur Pharma agreed to register for resale under the Securities Act, 12,020,616 ordinary shares held by the Azur Pharma rights parties (or their permitted transferees) on the date of the closing of the merger (immediately after giving effect to such closing), which shares are referred to herein as the Azur Resale Shares. We registered for resale all of the Azur Resale Shares on January 19, 2012 and we are obligated under the registration rights agreement to keep such registration statement continuously effective under the Securities Act until the earlier of such time as all of the Azur Resale Shares are publicly resold or the registration rights of the Azur Pharma rights parties expire under the registration rights agreement. Under the registration rights agreement, holders of Azur Resale Shares are entitled to sell Azur Resale Shares in underwritten public offerings provided that the aggregate amount of Azur Resale Shares to be offered and sold in any underwritten public offering represent not less than 5% of our ordinary shares outstanding at such time or are reasonably expected to result in aggregate gross proceeds of not less than $50 million, subject to our ability to defer effecting such an underwritten public offering under certain circumstances.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and Related Warrants</w:t>
      </w:r>
    </w:p>
    <w:p>
      <w:pPr>
        <w:spacing w:after="0" w:line="94"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From March 2008 to June 2010, JPI Commercial, LLC, or JPIC, our wholly-owned subsidiary, had outstanding senior secured notes originally issued by JPIC in 2008, or the JPIC Notes, originally in the aggregate principal amount of $120.0 million, of which $7.1 million in principal amount was held by KKR Financial Holdings III, LLC, or KFN, an entity affiliated with Kohlberg Kravis Roberts &amp; Co. L.P. In November 2009, JPI and JPIC entered into an amendment and waiver agreement pursuant to which the holders of the JPIC Notes waived certain prior events of default under the agreement governing the JPIC Notes in connection with which warrants to purchase JPI’s common stock that JPI issued in connection with the issuance of senior secured notes by Orphan Medical, Inc., our wholly-owned subsidiary, in 2005, and the JPIC Notes were amended to reduce the respective exercise prices of such warrants to $9.34 per share. This included warrants to purchase 70,156 shares of JPI’s common stock held by KFN, the exercise price of which was reduced from $20.36 to $9.34 per share.</w:t>
      </w:r>
    </w:p>
    <w:p>
      <w:pPr>
        <w:spacing w:after="0" w:line="11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2010, JPI repaid in full all of the then outstanding JPIC Notes by repaying $119.5 million in aggregate principal amount, of which $6.8 million in principal amount was paid to KFN. In addition, in 2010, JPI paid prepayment penalties and a fee to the holders of the JPIC Notes totaling $8.5 million, of which $0.5 million was paid to KFN. Cash paid for interest with respect to then outstanding JPIC Notes held by the KFN was $0.5 million and $1.3 million in 2010 and 2009, respectively. All payments to KFN were in proportion to its ownership of the JPIC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Relationships</w:t>
      </w:r>
    </w:p>
    <w:p>
      <w:pPr>
        <w:spacing w:after="0" w:line="94"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On October 20, 2008, Azur Pharma entered into a lease agreement with Seamus Mulligan, pursuant to which Mr. Mulligan, as landlord, leased to Azur Pharma, as tenant, an aggregate of 4,128 square feet for office space located at 45 Fitzwilliam Square, Dublin 2, Ireland. Rentals paid on this lease amounted to $0.3 million in 2012. In November 2012, we terminated this lease at a cost of $1.2 million, which was the carrying value of our above market lease liability.</w:t>
      </w:r>
    </w:p>
    <w:p>
      <w:pPr>
        <w:spacing w:after="0" w:line="9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May 30, 2011, Azur Pharma entered into a Development Agreement with Circ Pharma Limited and Circ Pharma Research and Development Limited, or the development agreement, providing for the purchase of an option to license certain rights and assets in relation to a chronotherapeutic formulation of Tramadol for $250,000, together with the sum of $50,000 as a contribution to the patent expenses incurred by Circ Pharma prior to the effective date of the option. Mr. Mulligan is Chairman and owner of the Circ Pharma Group. In 2012, we terminated the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7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information presented under the caption “U.S. Federal Income Tax Consequences to U.S. Holders” below is a discussion of the material U.S. federal income tax consequences to U.S. Holders (as defined below) of investing in the ordinary shares. The information presented under the caption “Irish Tax Consequences” is a discussion of the material Irish tax consequences of investing in the ordinary shares.</w:t>
      </w:r>
    </w:p>
    <w:p>
      <w:pPr>
        <w:spacing w:after="0" w:line="13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You should consult your tax adviser regarding the applicable tax consequences to you of investing in ordinary shares under the laws of the United States (federal, state and local), Ireland and any other applicable foreign jurisdiction.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to U.S. Holders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to U.S. Holders (as defined below) of owning and disposing of ordinary shares acquired in this offering. This discussion does not address any aspects of U.S. taxation other than U.S. federal income taxation, does not address any U.S. state, local or non-U.S. tax considerations, and does not purport to be a comprehensive description of all tax considerations that may be relevant to a particular person’s decision to acquire ordinary shares. This discussion applies only to U.S. Holders that hold their ordinary shares as capital assets for U.S. federal income tax purposes. In addition, it does not describe all of the tax consequences that may be relevant in light of a U.S. Holder’s particular circumstances, and does not address the tax consequences applicable to U.S. Holders subject to special rules, such as:</w:t>
      </w:r>
    </w:p>
    <w:p>
      <w:pPr>
        <w:spacing w:after="0" w:line="58" w:lineRule="exact"/>
        <w:rPr>
          <w:sz w:val="20"/>
          <w:szCs w:val="20"/>
          <w:color w:val="auto"/>
        </w:rPr>
      </w:pPr>
    </w:p>
    <w:p>
      <w:pPr>
        <w:ind w:left="780" w:right="10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ordinary shares who actually or constructively owns or is deemed to own 10% or more of the total combined voting power of all classes of our shares entitled to vote;</w:t>
      </w:r>
    </w:p>
    <w:p>
      <w:pPr>
        <w:spacing w:after="0" w:line="38"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is also resident or ordinarily resident in Ireland for Irish tax purposes or who is otherwise subject to Irish income tax or capital gains tax with respect to our ordinary shares;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who uses a mark-to-market method of tax accounting;</w:t>
      </w:r>
    </w:p>
    <w:p>
      <w:pPr>
        <w:spacing w:after="0" w:line="90"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ordinary shares as part of a hedging transaction, straddle, wash sale, conversion transaction or integrated transaction or a person entering into a constructive sale with respect to ordinary shares;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for U.S. federal income tax purposes is not the U.S. dollar;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classified as a partnership or other pass-through entity for U.S. federal income tax purposes;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including an “individual retirement account” or “Roth IRA” or retirement plan;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liable for the alternative minimum tax or the Medicare contribution tax;</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acquired our ordinary shares pursuant to the exercise of an employee stock option or otherwise as compensation;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our ordinary shares in connection with a trade or business conducted outside of the United States; or</w:t>
      </w:r>
    </w:p>
    <w:p>
      <w:pPr>
        <w:spacing w:after="0" w:line="90"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holds ordinary shares through a financial account at a foreign financial institution that does not meet the requirements for avoiding future withholding with respect to certain payments under Sections 1471 through 1474 of the Internal Revenue Code of 1986, as amended, or the Code.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advisers as to the particular U.S. federal income tax consequences of owning and disposing of ordinary shares.</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and final, temporary and proposed U.S. Treasury regulations all as of the date hereof, any of which is subject to change, possibly with retroactive effect.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Holder” is a holder who is a beneficial owner of ordinary shares and for U.S. federal income tax purposes is:</w:t>
      </w:r>
    </w:p>
    <w:p>
      <w:pPr>
        <w:spacing w:after="0" w:line="90"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individual resident of the United States;</w:t>
      </w:r>
    </w:p>
    <w:p>
      <w:pPr>
        <w:spacing w:after="0" w:line="90" w:lineRule="exact"/>
        <w:rPr>
          <w:rFonts w:ascii="Times New Roman" w:cs="Times New Roman" w:eastAsia="Times New Roman" w:hAnsi="Times New Roman"/>
          <w:sz w:val="18"/>
          <w:szCs w:val="18"/>
          <w:color w:val="auto"/>
        </w:rPr>
      </w:pPr>
    </w:p>
    <w:p>
      <w:pPr>
        <w:ind w:left="780" w:right="54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or any political subdivision thereof;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foreign tax consequences of owning and disposing of ordinary shares in their particular circumstances.</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this discussion assumes that we are a foreign corporation that is not, and will not become, a passive foreign investment company, or PFIC, as described below.</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9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Although we do not currently plan to pay dividends, any future distributions paid on ordinary shares will be treated as taxable dividends to a U.S. Holder to the extent of such U.S. Holder’s pro rata share of our current and/or accumulated earnings and profits (as determined under U.S. federal income tax principles). To the extent that a distribution paid to a U.S. Holder with respect to our ordinary shares exceeds such U.S. Holder’s pro rata share of our current and accumulated earnings and profits (as determined under U.S. federal income tax principles), it will be treated as a non-taxable return of capital to the extent of the U.S. Holder’s basis in the ordinary shares (determined on a share-by-share basis), will reduce (but not below zero) such basis, and thereafter will be treated as a capital gain. Please see “—Sale or Other Disposition of Ordinary Shares.” We may not maintain calculations of our earnings and profits under U.S. federal income tax principles. If this is the case, distributions, if any, generally will be reported to U.S. Holders as dividends. The amount of any dividend income paid in euros will be the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Dividends received by a non-corporate U.S. Holder are eligible to be taxed at reduced rates, up to a maximum of 20%, if the U.S. Holder meets certain holding period and other applicable requirements. The reduced rate applicable to dividends paid to non-corporate U.S. Holders is not available for dividends paid by a PFIC (described below) or in certain other situations.</w:t>
      </w:r>
    </w:p>
    <w:p>
      <w:pPr>
        <w:spacing w:after="0" w:line="14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For foreign tax credit limitation purposes, distributions paid on the ordinary shares that are treated as dividends will be treated as income from sources outside the United States and will generally constitute passive category income.</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Dividends received by a corporate U.S. Holder will not be eligible for the dividends-received deduction generally available to U.S. corporate shareholders under the Code for dividends received from certain U.S. and non-U.S. corporations.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94" w:lineRule="exact"/>
        <w:rPr>
          <w:sz w:val="20"/>
          <w:szCs w:val="20"/>
          <w:color w:val="auto"/>
        </w:rPr>
      </w:pPr>
    </w:p>
    <w:p>
      <w:pPr>
        <w:jc w:val="both"/>
        <w:ind w:right="180" w:firstLine="456"/>
        <w:spacing w:after="0" w:line="287" w:lineRule="auto"/>
        <w:rPr>
          <w:sz w:val="20"/>
          <w:szCs w:val="20"/>
          <w:color w:val="auto"/>
        </w:rPr>
      </w:pPr>
      <w:r>
        <w:rPr>
          <w:rFonts w:ascii="Times New Roman" w:cs="Times New Roman" w:eastAsia="Times New Roman" w:hAnsi="Times New Roman"/>
          <w:sz w:val="16"/>
          <w:szCs w:val="16"/>
          <w:color w:val="auto"/>
        </w:rPr>
        <w:t>For U.S. federal income tax purposes, gain or loss recognized on the sale or other disposition of ordinary shares generally will be capital gain or loss, and will be long-term capital gain or loss if the U.S. Holder held the shares for more than one year. The amount of the gain or loss will equal the difference between the U.S. Holder’s adjusted tax basis in the ordinary shares disposed of and the amount realized on the disposition, in each case as determined in U.S. dollars.</w:t>
      </w:r>
    </w:p>
    <w:p>
      <w:pPr>
        <w:spacing w:after="0" w:line="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Long-term capital gains recognized by non-corporate U.S. Holders are taxable at reduced rates up to a maximum rate of 20%. There are limitations on the deductibility of capital losses. Any gain or loss will generally be U.S.-source gain or loss for foreign tax credit limitation purposes.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PFIC in any taxable year in which either (i) at least 75% of its gross income is “passive income” or (ii) on average at least 50% of the value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value of a corporation’s assets for this purpose, in the case of a corporation whose shares are publicly traded for the taxable year, generally is the average of their fair market value at the end of each quarter. In determining whether a non-U.S. corporation is a PFIC, a proportionate share of the income and assets of each corporation in which it owns, directly or indirectly, at least a 25% interest (by value) is taken into account.</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Based on our application of the test described above to the projected composition of our income and the projected composition and estimated values of our assets, we do not believe that we will be a PFIC in 2013 or subsequent years. Nevertheless, because we hold and expect to continue to hold following this offering a substantial amount of cash or cash equivalents, and because the calculation of the value of our assets may be based in part on the value of our ordinary shares, which may fluctuate considerably given that market prices of biopharmaceutical companies historically often have been volatile, it is difficult to predict for any tax year whether we may be a PFIC. Therefore, there can be no assurance that we will not be a PFIC in 2013 or any subsequent taxable year or that the U.S. Internal Revenue Service, or IRS, will agree with our conclusion regarding our PFIC status for any taxable year.</w:t>
      </w:r>
    </w:p>
    <w:p>
      <w:pPr>
        <w:spacing w:after="0" w:line="13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If we are a PFIC in any taxable year during which a U.S. Holder owns ordinary shares, such U.S. Holder could be liable for additional taxes and interest charges upon certain distributions by us and on any gain recognized on a sale, exchange or other disposition, including a pledge, of the ordinary shares, whether or not we continue to be a PFIC. In addition, certain annual tax reporting would be required. You should consult your tax advisor concerning the tax consequences to you if we are a PFIC and certain tax elections you may wish to make to mitigate any adverse tax consequences that might arise in the event we are a PFIC.</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Reporting Obligations for Specified Foreign Financial Assets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certain new reporting obligations, U.S. Holders who are individuals are required to report on Form 8938 specified foreign financial assets that they own if the aggregate value of those assets exceeds certain threshold amounts. Specified foreign financial assets may include stock of a foreign issuer such as our ordinary shares if not held through a financial account maintained at a U.S. “financial institution,” as defined in the applicable rules. Individual U.S. Holders should consult their own tax advisors as to the possible application of this reporting obligation under their particular circumstances.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Irish Tax Consequences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following is a general summary of the material Irish tax considerations applicable to certain investors who are the beneficial owners of our ordinary shares. It is based on existing Irish law and practices in effect on the date of this prospectus supplement and on discussions and correspondence with the Irish Revenue Commissioners. Legislative, administrative or judicial changes may modify the tax consequences described below.</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ordinary shares held as capital assets and does not apply to all categories of shareholders, such as dealers in securities, trustees, insurance companies, collective investment schemes and shareholders who have, or who are deemed to have, acquired their ordinary shares by virtue of an office or employment. This summary is not exhaustive and you should consult your own tax advisers as to the tax consequences in Ireland, or other relevant jurisdictions, of the acquisition, ownership and disposition of our ordinary shares.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Although we do not currently plan to pay dividends, distributions made by us would generally be subject to Irish dividend withholding tax, or DWT, at the standard rate of income tax (currently 20%), unless one of the exemptions described below applies, which we believe should be the case for the majority of our shareholders. For DWT purposes, a dividend includes any distribution made by us to our shareholders, including cash dividends, non-cash dividends and additional stock or units taken in lieu of a cash dividend. We are responsible for withholding DWT at source and forwarding the relevant payment to the Irish Revenue Commissioners.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Certain shareholders (both individual and corporate) are entitled to an exemption from DWT. In particular, a non-Irish resident shareholder is not subject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on dividends received from us if such shareholder is:</w:t>
      </w:r>
    </w:p>
    <w:p>
      <w:pPr>
        <w:spacing w:after="0" w:line="78" w:lineRule="exact"/>
        <w:rPr>
          <w:sz w:val="20"/>
          <w:szCs w:val="20"/>
          <w:color w:val="auto"/>
        </w:rPr>
      </w:pPr>
    </w:p>
    <w:p>
      <w:pPr>
        <w:ind w:left="780" w:right="20" w:hanging="326"/>
        <w:spacing w:after="0" w:line="291" w:lineRule="auto"/>
        <w:tabs>
          <w:tab w:leader="none" w:pos="7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shareholder resident for tax purposes in a “relevant territory,” and the individual is neither resident nor ordinarily resident in Ireland. “Relevant territory” for the purposes of DWT is defined to include those countries with which Ireland has a double tax treaty, which countries include: Albania; Armenia; Australia; Austria; Bahrain; Belarus; Belgium; Bosnia &amp; Herzegovina; Bulgaria; Canada; Chile; China; Croatia; Cyprus; Czech Republic; Denmark; Egypt; Estonia; Finland; France; Georgia; Germany; Greece; Hong Kong; Hungary; Iceland; India; Israel; Italy; Japan; Korea; Kuwait; Latvia; Lithuania; Luxembourg; Macedonia; Malaysia; Malta; Mexico; Moldova; Montenegro; Morocco; The Netherlands; New Zealand; Norway; Pakistan; Panama; Poland; Portugal; Qatar; Romania; Russia; Saudi Arabia; Serbia; Singapore; Slovak Republic; Slovenia; South Africa; Spain; Sweden; Switzerland; Turkey; United Arab Emirates; United Kingdom; the United States; Uzbekistan; Vietnam; and Zambia;</w:t>
      </w:r>
    </w:p>
    <w:p>
      <w:pPr>
        <w:spacing w:after="0" w:line="32" w:lineRule="exact"/>
        <w:rPr>
          <w:rFonts w:ascii="Times New Roman" w:cs="Times New Roman" w:eastAsia="Times New Roman" w:hAnsi="Times New Roman"/>
          <w:sz w:val="16"/>
          <w:szCs w:val="16"/>
          <w:color w:val="auto"/>
        </w:rPr>
      </w:pPr>
    </w:p>
    <w:p>
      <w:pPr>
        <w:ind w:left="780" w:right="2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which is ultimately controlled, directly or indirectly, by persons resident in a “relevant territory”;</w:t>
      </w:r>
    </w:p>
    <w:p>
      <w:pPr>
        <w:spacing w:after="0" w:line="38"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resident for tax purposes in a “relevant territory” provided that such corporate shareholder is not under the control, whether directly or indirectly, of a person or persons who is or are resident in Ireland;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40" w:hanging="326"/>
        <w:spacing w:after="0" w:line="26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whose principal class of shares (or those of its 75% parent) is substantially and regularly traded on a stock exchange in Ireland, on a recognized stock exchange in a “relevant territory” or on such other stock exchange approved by the Irish Minister for Finance; or</w:t>
      </w:r>
    </w:p>
    <w:p>
      <w:pPr>
        <w:spacing w:after="0" w:line="51" w:lineRule="exact"/>
        <w:rPr>
          <w:rFonts w:ascii="Times New Roman" w:cs="Times New Roman" w:eastAsia="Times New Roman" w:hAnsi="Times New Roman"/>
          <w:sz w:val="18"/>
          <w:szCs w:val="18"/>
          <w:color w:val="auto"/>
        </w:rPr>
      </w:pPr>
    </w:p>
    <w:p>
      <w:pPr>
        <w:jc w:val="both"/>
        <w:ind w:left="780" w:hanging="326"/>
        <w:spacing w:after="0" w:line="26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is wholly-owned,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and provided that, in all cases noted above but subject to the matters described below, the shareholder has provided the appropriate Irish DWT form to his or her broker (in the case of ordinary shares held through DTC), or to our transfer agent (in the case of ordinary shares held directly i.e. outside of DTC), at least seven business days before the record date for the first dividend payment to which they are entitled.</w:t>
      </w:r>
    </w:p>
    <w:p>
      <w:pPr>
        <w:spacing w:after="0" w:line="13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Should we decide to pay a dividend, we will enter into an agreement with an institution which will be recognized by the Irish Revenue Commissioners as a “qualifying intermediary” prior to paying any dividends or making any distributions. This will satisfy one of the Irish requirements for dividends to be paid free of DWT to certain shareholders who hold their ordinary shares through the Depositary Trust Company, or DTC, as described below. The agreement will generally provide for certain arrangements relating to cash distributions in respect of those ordinary shares that are held through DTC. The agreement will also provide that the qualifying intermediary will distribute or otherwise make available to Cede &amp; Co., as nominee for DTC, any cash dividend or other cash distribution to be made to holders of the deposited securities, after we deliver or cause to be delivered to the qualifying intermediary the cash to be distributed.</w:t>
      </w:r>
    </w:p>
    <w:p>
      <w:pPr>
        <w:spacing w:after="0" w:line="1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will rely on information received directly or indirectly from brokers and our transfer agent in determining where shareholders reside, whether they have provided the required U.S. forms and whether they have provided the required Irish DWT forms, as described below. Shareholders who are required to file Irish DWT forms in order to receive their dividends free of DWT should note that such forms are valid for five years and new forms must be filed before the expiration of that period in order to continue to enable them to receive dividends without DWT.</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most cases, individual shareholders resident in a relevant territory should complete a non-resident Form V2A and corporate (company) shareholders resident in a relevant territory should complete a non-resident Form V2B. Where a shareholder is neither an individual nor a company but is resident in a relevant territory, it should complete a non-resident Form V2C. Please contact your broker or your tax adviser if you have any questions regarding Irish dividend withholding tax.</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U.S. Resident Shareholders</w:t>
      </w:r>
    </w:p>
    <w:p>
      <w:pPr>
        <w:spacing w:after="0" w:line="94"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United States and held beneficially through DTC will not be subject to DWT provided that the address of the beneficial owner of the ordinary shares in the records of the broker is in the United States. We strongly recommend that such shareholders ensure that their information has been properly recorded by their brokers (so that such brokers can further transmit the relevant information to the our qualifying intermediary) by filing a Form W-9 with their broker.</w:t>
      </w:r>
    </w:p>
    <w:p>
      <w:pPr>
        <w:spacing w:after="0" w:line="13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United States and held directly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3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any shareholder who is resident in the United States receives a dividend subject to DWT, he or she should generally be able to make an application for a refund from the Irish Revenue Commissioners on the prescribed form.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80" w:firstLine="456"/>
        <w:spacing w:after="0" w:line="339" w:lineRule="auto"/>
        <w:rPr>
          <w:sz w:val="20"/>
          <w:szCs w:val="20"/>
          <w:color w:val="auto"/>
        </w:rPr>
      </w:pPr>
      <w:r>
        <w:rPr>
          <w:rFonts w:ascii="Times New Roman" w:cs="Times New Roman" w:eastAsia="Times New Roman" w:hAnsi="Times New Roman"/>
          <w:sz w:val="16"/>
          <w:szCs w:val="16"/>
          <w:color w:val="auto"/>
        </w:rPr>
        <w:t>While the United States/Ireland Double Tax Treaty contains provisions regarding withholding, due to the wide scope of the exemptions from DWT available under Irish domestic law, it would generally be unnecessary for a United States resident shareholder to have to rely on the treaty provisions.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Residents of “Relevant Territories” Other than the United States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“relevant territories” other than the United States will not be subject to DWT provided that the shareholder has completed the appropriate Irish DWT form and this form remains valid. Such shareholders must provide the appropriate Irish DWT form to his or her broker (in the case of ordinary shares held through DTC), or to our transfer agent (in the case of ordinary shares held directly), at least seven business days before the record date for the first dividend payment to which they are entitled.</w:t>
      </w:r>
    </w:p>
    <w:p>
      <w:pPr>
        <w:spacing w:after="0" w:line="13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If any shareholder resident in a “relevant territory” receives a dividend subject to DWT, he or she should generally be able to make an application for a refund from the Irish Revenue Commissioners on the prescribed form.</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Residents of Ireland</w:t>
      </w:r>
    </w:p>
    <w:p>
      <w:pPr>
        <w:spacing w:after="0" w:line="9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Most shareholders who are resident or ordinarily resident in Ireland (other than Irish resident companies) will be subject to DWT in respect of dividend payments on their ordinary shares.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Shareholders that are residents of Ireland but are entitled to receive dividends without DWT must provide the appropriate Irish DWT form to his or her broker (in the case of ordinary shares held through DTC), or to our transfer agent (in the case of ordinary shares held directly), at least seven business days before the record date for the first dividend payment to which they are entitled.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who are resident or ordinarily resident in Ireland or are otherwise subject to Irish tax should consult their own tax advisers.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Other Persons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Shareholders who do not reside in “relevant territories” or in Ireland should be subject to DWT, but there are a number of other exemptions that could apply on a case-by-case basis. Dividends paid to such shareholders will be paid subject to DWT unless the relevant shareholder has provided the appropriate Irish DWT form to his or her broker (in the case of ordinary shares held through DTC), or to our transfer agent (in the case of ordinary shares held directly), at least seven business days before the record date for the first dividend payment to which they are entitled.</w:t>
      </w:r>
    </w:p>
    <w:p>
      <w:pPr>
        <w:spacing w:after="0" w:line="13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any shareholder who is not a resident of a “relevant territory” or Ireland but is exempt from withholding receives a dividend subject to DWT, he or she may make an application for a refund from the Irish Revenue Commissioners on the prescribed form.</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on Dividends Paid on Ordinary Shares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Shareholders who are neither resident nor ordinarily resident in Ireland and who are entitled to an exemption from DWT generally have no additional liability to Irish income tax or to the universal social charge on a dividend from us unless a shareholder holds his or her ordinary shares in connection with a trade or business carried on by such shareholder in Ireland through a branch or agency in Ireland.</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Shareholders who are neither resident nor ordinarily resident in Ireland and who are not entitled to an exemption from DWT generally have no additional liability to Irish income tax or to the universal social charge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on a dividend from us. The DWT deducted by us discharges the liability to Irish income tax and to the universal social charge. This however is not the case where a shareholder holds his or her ordinary shares in connection with a trade or business carried on by such shareholder in Ireland through a branch or agency in Ireland.</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Shareholders who are resident or ordinarily resident in Ireland may be subject to Irish tax and/or levies on dividends received from us. Such shareholders should consult their own tax advisers.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Irish Tax on Capital Gains</w:t>
      </w:r>
    </w:p>
    <w:p>
      <w:pPr>
        <w:spacing w:after="0" w:line="94"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Shareholders who are neither resident nor ordinarily resident in Ireland and who do not hold their shares in connection with a trade or business carried on by such shareholders in Ireland through a branch or agency should not be within the charge to Irish tax on capital gains on a disposal of our ordinary shares.</w:t>
      </w:r>
    </w:p>
    <w:p>
      <w:pPr>
        <w:spacing w:after="0" w:line="7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Shareholders who are resident or ordinarily resident in Ireland or shareholders that hold their shares in connection with a trade or business carried on by such shareholders in Ireland through a branch or agency may be subject to Irish tax on capital gains on a disposal of our ordinary shares. Such shareholders should consult their own tax advisers.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Acquisitions Tax</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Irish capital acquisitions tax, or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should consult their own tax advisers as to whether CAT is creditable or deductible in computing any domestic tax liabilities.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Irish stamp duty may be payable in respect of transfers of our ordinary shares (currently at the rate of 1% of the price paid or the market value of the shares acquired, if greater).</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Shares held through DTC</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 transfer of our ordinary shares from a seller who holds those shares through DTC, to a buyer who holds the acquired ordinary shares through DTC will not be subject to Irish stamp duty.</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Shares held outside of DTC or transferred into or out of DTC</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 transfer of our ordinary shares (i) by a seller who holds those shares outside of DTC to any buyer, or (ii) by a seller who holds those shares through DTC to a buyer who holds the acquired ordinary shares outside of DTC, may be subject to Irish stamp duty. The person accountable for payment of stamp duty is the buyer or, in the case of a transfer by way of a gift or for less than market value, all parties to the transfer.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shares into DTC without giving rise to Irish stamp duty provided that the shareholder would be the beneficial owner of the related book-entry interest in those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shares out of DTC without giving rise to Irish stamp duty provided that the shareholder would be the beneficial owner of the ordinary shares (and in exactly the same proportions) as a result of the transfer, and at the time of the transfer out of DTC there is no sale of those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41"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In order for DTC, Cede &amp; Co. and National Securities Clearing Corporation, or NSCC, which provides clearing services for securities that are eligible for the depository and book-entry transfer services provided by DTC and registered in the name of Cede &amp; Co., which entities are referred to collectively as the DTC Parties, to agree to provide services with respect to our ordinary shares, we concluded with the Revenue Commissioners of Ireland a composition agreement under which we have assumed any obligation of paying the liability for any Irish stamp duty or similar Irish transfer or documentary tax with respect to our ordinary shares, on transfers to which any of the DTC Parties is a party or which may be processed through the services of any of the DTC Parties, and the DTC Parties have received confirmation from the Revenue Commissioners of Ireland that while such composition agreement remains in force, the DTC Parties shall not be liable for any Irish stamp duty with respect to our ordinary shares. In addition, to assure the DTC Parties that they will not be liable for any Irish stamp duty or similar Irish transfer or documentary tax with respect to our ordinary shares under any circumstances (including as a result of a change in applicable law), and to make other provisions with respect to our ordinary shares required by the DTC Parties, we and Computershare Trust Company, NA., a U.S. national banking association acting as our transfer agent, or Computershare, entered into a Special Eligibility Agreement for Securities, dated as of January 13, 2012, with DTC, Cede &amp; Co. and NSCC, or the DTC Eligibility Agreement. The DTC Eligibility Agreement provides for certain indemnities of the DTC Parties by us and Computershare (as to which we have agreed to indemnify Computershare) and also provides that DTC may impose a global lock on our ordinary shares or otherwise limit transactions in the shares, or cause the shares to be withdrawn, and NSCC may, in its sole discretion, exclude our ordinary shares from its Continuous Net Settlement service or any other service, and any of the DTC Parties may take other restrictive measures with respect to our ordinary shares as it may deem necessary and appropriate, without any liability on the part of any the DTC Parties, (i) at any time that it may appear to any of the DTC Parties, in its sole discretion, that to continue to hold or process transactions in our ordinary shares will give rise to any Irish stamp duty or similar Irish transfer or documentary tax liability with respect to our ordinary shares on the part of any of the DTC Parties or (ii) otherwise as the DTC’s rules or the NSCC’s rules provide.</w:t>
      </w: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 of Stamp Duty</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official share register must be maintained in Ireland. Registration in this share register is determinative of shareholding. Only shareholders will be entitled to receive dividends, if any when declared.</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in order for a transfer of the legal ownership of ordinary shares to be registered on our official share register. Such instruments of transfer may be subject to Irish stamp duty, which must be paid prior to the official share register being updated.</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A holder of ordinary shares who holds ordinary shares through DTC will not be the legal owner of such ordinary shares (instead, the depository (for example, Cede &amp; Co., as nominee for DTC) will be the holder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auto"/>
        </w:rPr>
        <w:t>record of such ordinary shares). Accordingly, a transfer of ordinary shares from a person who holds such ordinary shares through DTC to a person who also holds such ordinary shares through DTC will not be registered in our official share register, i.e., the depository will remain the record holder of such ordinary shares.</w:t>
      </w:r>
    </w:p>
    <w:p>
      <w:pPr>
        <w:spacing w:after="0" w:line="7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memorandum and articles of association delegate to our secretary the authority to execute an instrument of transfer on behalf of a transferring party, which the secretary may do if for any reason such instrument is required and has not already been lodged with us.</w:t>
      </w:r>
    </w:p>
    <w:p>
      <w:pPr>
        <w:spacing w:after="0" w:line="120"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To the extent that stamp duty is due but has not been paid, we, in our absolute discretion and insofar as the Companies Acts or any other applicable law permit, may, or may provide that a subsidiary of ours will, pay Irish stamp duty arising on a transfer of ordinary shares on behalf of the transferee of such ordinary shares. If stamp duty resulting from the transfer of ordinary shares which would otherwise be payable by the transferee is paid by us or any subsidiary of ours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w:t>
      </w:r>
    </w:p>
    <w:p>
      <w:pPr>
        <w:ind w:right="140" w:firstLine="8"/>
        <w:spacing w:after="0" w:line="261" w:lineRule="auto"/>
        <w:tabs>
          <w:tab w:leader="none" w:pos="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 first and permanent lien on the ordinary shares on which stamp duty has been paid by us or our subsidiary for the amount of stamp duty paid. Our lien shall extend to all dividends paid on those ordinary shares.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selling shareholders are offering the ordinary shares described in this prospectus supplement through an underwriter. Barclays Capital Inc. is acting as sole book-running manager of the offering. We and the selling shareholders have entered into an underwriting agreement with the underwriter. Subject to the terms and conditions of the underwriting agreement, the selling shareholders have agreed to sell to the underwriter, and the underwriter has agreed to purchase, at a price of $58.28 per share, the number of ordinary shares indicated in the table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8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52"/>
        </w:trPr>
        <w:tc>
          <w:tcPr>
            <w:tcW w:w="8820" w:type="dxa"/>
            <w:vAlign w:val="bottom"/>
            <w:gridSpan w:val="3"/>
            <w:vMerge w:val="continue"/>
          </w:tcPr>
          <w:p>
            <w:pPr>
              <w:spacing w:after="0"/>
              <w:rPr>
                <w:sz w:val="13"/>
                <w:szCs w:val="13"/>
                <w:color w:val="auto"/>
              </w:rPr>
            </w:pPr>
          </w:p>
        </w:tc>
        <w:tc>
          <w:tcPr>
            <w:tcW w:w="880" w:type="dxa"/>
            <w:vAlign w:val="bottom"/>
            <w:gridSpan w:val="2"/>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780" w:type="dxa"/>
            <w:vAlign w:val="bottom"/>
            <w:tcBorders>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4"/>
              </w:rPr>
              <w:t>5,375,000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4"/>
              </w:rPr>
              <w:t>5,375,000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underwriter is committed to purchase all of the ordinary shares offered by the selling shareholders if it purchases any shares. The underwriting agreement also provides that if the underwriter defaults, the offering may be terminated.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of shares made outside of the United States may be made by affiliates of the underwriter.</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underwriter proposes to offer the ordinary shares directly to the public at the public offering price set forth on the cover page of this prospectus supplement and to certain dealers at that price less a concession not in excess of $0.10 per share. After the initial public offering of the shares, the offering price and other selling terms may be changed by the underwriter.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 and Commissions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underwriting discounts and commissions are equal to the public offering price per ordinary share less the amount paid by the underwriter to the selling shareholders per ordinary share. The underwriting discounts and commissions are $0.22 per share. The following table shows the per share and total underwriting discounts and commissions to be paid to the underwriter by the selling shareholders.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1,182,500</w:t>
            </w:r>
          </w:p>
        </w:tc>
      </w:tr>
    </w:tbl>
    <w:p>
      <w:pPr>
        <w:spacing w:after="0" w:line="135"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estimate that our total expenses of this offering, including registration, filing and listing fees, printing fees and legal and accounting expenses will be approximately $540,000.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our directors, our executive officers and the selling shareholders have agreed that, subject to certain exceptions, without the prior written consent of the underwriter, we and they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in accordance with the rules and regulations of the SEC and ordinary shares that may be issued upon exercise of any options or warrants) or securities convertible into or exercisable or exchangeable for ordinary shares (other than the shares, if any, sold by the selling shareholders to the underwriter in this offering) (and with respect to us, sell or grant options, rights or warrants with respect to any ordinary shares or securities convertible into or exchangeable for ordinary shares), (2) enter into any swap or other derivatives transaction that transfers to another, in whole or in part, any of the economic consequences of ownership of the ordinary shares, (3) make any demand for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exercise any right or file or cause to be filed a registration statement, including any amendments thereto, with respect to the registration of any ordinary shares or securities convertible, exercisable or exchangeable into ordinary shares or any of our other securities, or (4) publicly disclose the intention to do any of the foregoing for a period of 60 days after the date of this prospectus supplement, or the Lock-Up Period.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the foregoing, the underwriter has agreed that the transfer restrictions shall not apply to:</w:t>
      </w:r>
    </w:p>
    <w:p>
      <w:pPr>
        <w:spacing w:after="0" w:line="90" w:lineRule="exact"/>
        <w:rPr>
          <w:sz w:val="20"/>
          <w:szCs w:val="20"/>
          <w:color w:val="auto"/>
        </w:rPr>
      </w:pPr>
    </w:p>
    <w:p>
      <w:pPr>
        <w:ind w:left="780" w:right="20" w:hanging="326"/>
        <w:spacing w:after="0" w:line="287" w:lineRule="auto"/>
        <w:tabs>
          <w:tab w:leader="none" w:pos="7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us: (a) the sale of the ordinary shares by the selling shareholders to the underwriter in connection with this offering; (b) the issuance of ordinary shares upon the settlement, vesting or exercise of options, restricted stock units, warrants or rights outstanding on the date of the underwriting agreement; (c) the issuance of ordinary shares or rights to purchase ordinary shares issued pursuant to our employee share purchase plan or director deferred compensation plan existing on the date of the underwriting agreement; (d) options to purchase ordinary shares or other equity-based awards issued after the date of the underwriting agreement pursuant to our equity incentive or share option plans existing on the date of the underwriting agreement, provided that those options or other equity-based awards do not vest or otherwise become exercisable during the Lock-Up Period except that the foregoing restriction on vesting and exercisability does not apply to (1) any options or other equity-based awards granted to our non-employee directors or (2) any options or other equity-based awards that vest or otherwise become exercisable during the Lock-Up Period pursuant to vesting or exercisability acceleration provisions provided under such plans, the agreements thereunder or otherwise under our severance plans and arrangements existing on the date of the underwriting agreement; (e) the filing of any registration statement on Form S-8 or any amendments thereto; or (f) the filing of any registration statement, including any amendments, that we are contractually obligated to file under currently outstanding agreements; and</w:t>
      </w:r>
    </w:p>
    <w:p>
      <w:pPr>
        <w:spacing w:after="0" w:line="37" w:lineRule="exact"/>
        <w:rPr>
          <w:rFonts w:ascii="Times New Roman" w:cs="Times New Roman" w:eastAsia="Times New Roman" w:hAnsi="Times New Roman"/>
          <w:sz w:val="16"/>
          <w:szCs w:val="16"/>
          <w:color w:val="auto"/>
        </w:rPr>
      </w:pPr>
    </w:p>
    <w:p>
      <w:pPr>
        <w:ind w:left="780" w:hanging="326"/>
        <w:spacing w:after="0" w:line="286" w:lineRule="auto"/>
        <w:tabs>
          <w:tab w:leader="none" w:pos="7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of our directors, our executive officers and the selling shareholders who are subject to a lock-up agreement: (a) transactions relating to any securities acquired in this offering or in open market transactions after the completion of this offering; (b) transfers of any securities as a bona fide gift or pledge; (c) in the case of a natural person, transfers of any securities by will or intestate succession or to any trust or partnership for the direct or indirect benefit of such director, executive officer or selling shareholder or any member of the immediate family of the foregoing; (d) in the case of a non-natural person, distributions of any securities to general or limited partners or stockholders or members of each entity signing a lock-up agreement; (e) in the case of a non-natural person, transfers of any securities (1) in connection with the sale or other bona fide transfer in a single transaction of all or substantially all of such entity’s capital stock, partnership interests, membership interests or other similar equity interests, as the case may be, or all or substantially all of such entity’s assets, in any such case not undertaken for the purpose of avoiding the restrictions imposed by the lock-up agreement or (2) to another corporation, partnership, limited liability company or other business entity so long as the transferee is an affiliate of such entity and such transfer is not for value; (f) any transfers of ordinary shares pursuant to the “net” or “cashless” exercise of outstanding options or warrants to purchase ordinary shares in accordance with their terms; (g) any transfers of securities pursuant to a sale or an offer to purchase 100% of our outstanding ordinary shares, whether pursuant to a merger, tender offer or otherwise, to a third party or group of third parties; (h) any sales or transfers of ordinary shares pursuant to written trading plans intended to meet the requirements of Rule 10b5-1 under the Exchange Act, or 10b5-1 Plans, that are in effect as of the date of the lock-up agreement; and (i) any transfers of securities to us to satisfy tax withholding obligations pursuant to our equity compensation plans or arrangements; provided that (A) in the case of any transfer or distribution pursuant to clause (b), (c),</w:t>
      </w:r>
    </w:p>
    <w:p>
      <w:pPr>
        <w:spacing w:after="0" w:line="184" w:lineRule="exact"/>
        <w:rPr>
          <w:rFonts w:ascii="Times New Roman" w:cs="Times New Roman" w:eastAsia="Times New Roman" w:hAnsi="Times New Roman"/>
          <w:sz w:val="16"/>
          <w:szCs w:val="16"/>
          <w:color w:val="auto"/>
        </w:rPr>
      </w:pPr>
    </w:p>
    <w:p>
      <w:pPr>
        <w:ind w:left="780" w:right="6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 or (e), each donee, pledgee, distributee or transferee is required to sign and deliver a lock-up agreement, (B) any ordinary shares acquired upon the net or cashless exercise of options or warrants described in clause (f) will be subject to the restrictions imposed by the lock-up agreement and (C) in the case of an executive officer, the foregoing restrictions will not apply if such executive officer ceases to be an executive officer of ours. Moreover, the party subject to the lock-up agreement may enter into a new 10b5-1 Plan during the Lock-Up Period provided that no sales or transfers of ordinary shares are made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80"/>
        <w:spacing w:after="0" w:line="262" w:lineRule="auto"/>
        <w:rPr>
          <w:sz w:val="20"/>
          <w:szCs w:val="20"/>
          <w:color w:val="auto"/>
        </w:rPr>
      </w:pPr>
      <w:r>
        <w:rPr>
          <w:rFonts w:ascii="Times New Roman" w:cs="Times New Roman" w:eastAsia="Times New Roman" w:hAnsi="Times New Roman"/>
          <w:sz w:val="18"/>
          <w:szCs w:val="18"/>
          <w:color w:val="auto"/>
        </w:rPr>
        <w:t>pursuant to that new 10b5-1 Plan before the expiration of the Lock-Up Period, and provided further that no party is required to, or voluntarily, files a report under the Exchange Act in connection with the entry into that new 10b5-1 Plan (or otherwise voluntarily effects any public filing, report or announcement of the entry into that new 10b5-1 Plan), in each case during the Lock-Up Period.</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the underwriter has agreed with the selling shareholders that, if the underwriter terminates, amends or waives any of its rights under agreements with a selling shareholder providing for substantially similar transfer restrictions, the foregoing transfer restrictions shall, with respect to other selling shareholders, automatically be terminated or amended, or the rights waived, as the case may be, to the same extent as the agreement providing for substantially similar transfer restrictions.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 in its sole discretion, may release the ordinary shares and other securities subject to the lock-up agreements described above in whole or in part at any time with or without notice. When determining whether or not to release the ordinary shares and other securities from lock-up agreements, the underwriter will consider, among other factors, the holder’s or our reasons for requesting the release, the number of ordinary shares or other securities for which the release is being requested and market conditions at the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and the selling shareholders have agreed to indemnify the underwriter against certain liabilities, including liabilities under the Securities Act, and to contribute to payments that the underwriter may be required to make for these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“JAZZ.”</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and Short Positions</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underwriter may engage in stabilizing transactions, covering transactions or purchases for the purpose of pegging, fixing or maintaining the price of the ordinary shares, in accordance with Regulation M under the Exchange Act:</w:t>
      </w:r>
    </w:p>
    <w:p>
      <w:pPr>
        <w:spacing w:after="0" w:line="39"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 and</w:t>
      </w:r>
    </w:p>
    <w:p>
      <w:pPr>
        <w:spacing w:after="0" w:line="90"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ordinary shares in the open market after the distribution has been completed in order to cover short positions.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These stabilizing transactions and covering transactions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Neither we nor any of the selling shareholders nor the underwriter makes any representation or prediction as to the direction or magnitude of any effect that the transactions described above may have on the price of the ordinary shares. In addition, neither we nor any of the selling shareholders nor the underwriter makes any representation that the underwriter will engage in these stabilizing transactions or that any transaction, once commenced, will not be discontinued without notice.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offering, the underwriter and selling group members may engage in passive market making transactions in the ordinary shares on The NASDAQ Global Select Market in accordance with Rule 103 of Regulation M under the Exchange Act during the period before the commencement of offers or sales of ordinary shares and extending through the completion of distribution. A passive market maker must display its bids at a price not in excess of the highest independent bid of the security. However, if all independent bids are lowered below the passive market maker’s bid, such bid must be lowered when specified purchase limits are exceeded.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the Internet sites or through other online services maintained by the underwriter or by its affiliates. In those cases, prospective investors may view offering terms online and, depending upon the particular underwriter, prospective investors may be allowed to place orders online. The underwriter may agree with the selling shareholders to allocate a specific number of shares for sale to online brokerage account holders. Any such allocation for online distributions will be made by the underwriter on the same basis as other allocations.</w:t>
      </w:r>
    </w:p>
    <w:p>
      <w:pPr>
        <w:spacing w:after="0" w:line="13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Other than the prospectus supplement and the accompanying prospectus in electronic format, the information on the underwriter’s website and any information contained in any other website maintained by the underwriter is not part of the prospectus supplement and the accompanying prospectus or the registration statement of which the prospectus supplement and the accompanying prospectus forms a part, has not been approved or endorsed by us, any selling shareholder, or the underwriter in its capacity as underwriter and should not be relied upon by investors.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9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If you purchase ordinary shares offered in the prospectus supplement, you may be required to pay stamp taxes and other charges under the laws and practices of the country of purchase, in addition to the price at which you purchase the shares from the underwriter.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underwriter and certain of its affiliates are full-service financial institutions engaged in various activities, which may include securities trading, investment banking, commercial banking, financial advisory, investment management, investment research, principal investment, hedging, financing and brokerage activities. The underwriter and certain of its affiliates have from time to time provided, and may in the future provide, various investment banking, commercial banking, financial advisory and other services to us and our affiliates for which services they have received, and may in the future receive, customary fees. In the course of their businesses, the underwriter and its affiliates may actively trade our securities or loans for their own accounts or for the accounts of customers, and, accordingly, the underwriter and its affiliates may at any time hold long or short positions in such securities or loans.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94"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supplement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55" w:lineRule="exact"/>
        <w:rPr>
          <w:sz w:val="20"/>
          <w:szCs w:val="20"/>
          <w:color w:val="auto"/>
        </w:rPr>
      </w:pPr>
    </w:p>
    <w:p>
      <w:pPr>
        <w:ind w:left="5540" w:right="4480" w:hanging="5086"/>
        <w:spacing w:after="0" w:line="447" w:lineRule="auto"/>
        <w:tabs>
          <w:tab w:leader="none" w:pos="8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 S-23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51"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 has represented and agreed that:</w:t>
      </w:r>
    </w:p>
    <w:p>
      <w:pPr>
        <w:spacing w:after="0" w:line="90" w:lineRule="exact"/>
        <w:rPr>
          <w:sz w:val="20"/>
          <w:szCs w:val="20"/>
          <w:color w:val="auto"/>
        </w:rPr>
      </w:pPr>
    </w:p>
    <w:p>
      <w:pPr>
        <w:ind w:left="900" w:right="320" w:hanging="446"/>
        <w:spacing w:after="0" w:line="310"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 Act (the “FSMA”)) received by it in connection with the issue or sale of the ordinary shares in circumstances in which Section 21(1) of the FSMA does not apply to us; and</w:t>
      </w:r>
    </w:p>
    <w:p>
      <w:pPr>
        <w:spacing w:after="0" w:line="16" w:lineRule="exact"/>
        <w:rPr>
          <w:rFonts w:ascii="Times New Roman" w:cs="Times New Roman" w:eastAsia="Times New Roman" w:hAnsi="Times New Roman"/>
          <w:sz w:val="16"/>
          <w:szCs w:val="16"/>
          <w:color w:val="auto"/>
        </w:rPr>
      </w:pPr>
    </w:p>
    <w:p>
      <w:pPr>
        <w:ind w:left="900" w:right="14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ordinary shares in, from or otherwise involving the United Kingdom.</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This prospectus supplement has not been lodged with the Australian Securities &amp; Investments Commission and does not constitute an offer except to the following categories of exempt persons:</w:t>
      </w:r>
    </w:p>
    <w:p>
      <w:pPr>
        <w:spacing w:after="0" w:line="39"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investors” under section 708(8)(a) or (b) of the Corporations Act 2001 (Cth) of Australia (“Corporations Act”);</w:t>
      </w:r>
    </w:p>
    <w:p>
      <w:pPr>
        <w:spacing w:after="0" w:line="90" w:lineRule="exact"/>
        <w:rPr>
          <w:rFonts w:ascii="Times New Roman" w:cs="Times New Roman" w:eastAsia="Times New Roman" w:hAnsi="Times New Roman"/>
          <w:sz w:val="18"/>
          <w:szCs w:val="18"/>
          <w:color w:val="auto"/>
        </w:rPr>
      </w:pPr>
    </w:p>
    <w:p>
      <w:pPr>
        <w:ind w:left="900" w:right="140" w:hanging="446"/>
        <w:spacing w:after="0" w:line="334" w:lineRule="auto"/>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“sophisticated investors” under section 708(8)(c) or (d) of the Corporations Act who have provided an accountant’s certificate to us which complies with the requirements of section 708(8)(c)(i) or (ii) of the Corporations Act and related regulations before any offer has been made; and</w:t>
      </w:r>
    </w:p>
    <w:p>
      <w:pPr>
        <w:spacing w:after="0" w:line="1"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investors” within the meaning of section 708(11)(a) or (b) of the Corporations Act.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purchasing ordinary shares, you warrant and agree that:</w:t>
      </w:r>
    </w:p>
    <w:p>
      <w:pPr>
        <w:spacing w:after="0" w:line="90"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exempt investor under one of the above categories; and</w:t>
      </w:r>
    </w:p>
    <w:p>
      <w:pPr>
        <w:spacing w:after="0" w:line="90" w:lineRule="exact"/>
        <w:rPr>
          <w:rFonts w:ascii="Times New Roman" w:cs="Times New Roman" w:eastAsia="Times New Roman" w:hAnsi="Times New Roman"/>
          <w:sz w:val="18"/>
          <w:szCs w:val="18"/>
          <w:color w:val="auto"/>
        </w:rPr>
      </w:pPr>
    </w:p>
    <w:p>
      <w:pPr>
        <w:ind w:left="900" w:right="8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offer any ordinary shares issued or sold to you pursuant to this document for sale in Australia within 12 months of those ordinary shares being issued or sold unless any such sale offer is exempt from the requirement to issue a disclosure document under sections 708 or 708A of the Corporations Act.</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ordinary shares may not be offered or sold by means of any document other than (a) in circumstances which do not constitute an offer to the public within the meaning of the Companies Ordinance (Cap.32, Laws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Hong Kong), (b) to “professional investors” within the meaning of the Securities and Futures Ordinance (Cap.571, Laws of Hong Kong) and any rules made thereunder, or (c) in other circumstances which do not result in the document being a “prospectus” within the meaning of the Companies Ordinance (Cap.32,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Securities and Futures Ordinance (Cap. 571, Laws of Hong Kong) and any rules made thereunder.</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India</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and will not be registered as a prospectus with the Registrar of Companies in India or with the Securities and Exchange Board of India. This prospectus supplement or any other material relating to these securities is for information purposes only and may not be circulated or distributed, directly or indirectly, to the public or any members of the public in India and in any event to not more than 50 persons in India. Further, persons into whose possession this prospectus supplement comes are required to inform themselves about and to observe any such restrictions. Each prospective investor is advised to consult its advisors about the particular consequences to it of an investment in these securities. Each prospective investor is also advised that any investment in these securities by it is subject to the regulations prescribed by the Reserve Bank of India and the Foreign Exchange Management Act and any regulations framed thereunder.</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94"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ordinary shares have not been and will not be registered under the Financial Instruments and Exchange Law of Japan (the “Financial Instruments and Exchange Law”) and the underwriter has agreed that it will not offer or sell any ordinary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ordinary shares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ordinary shares have not been registered with the Financial Services Commission of Korea for public offering in Korea. Furthermore, the ordinary shares may not be resold to Korean residents unless the purchaser of the ordinary shares complies with all applicable regulatory requirements (including but not limited to government approval requirements under the Foreign Exchange Transaction Law and its subordinate decrees and regulations) in connection with the purchase of the ordinary shares.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310" w:lineRule="auto"/>
        <w:rPr>
          <w:sz w:val="20"/>
          <w:szCs w:val="20"/>
          <w:color w:val="auto"/>
        </w:rPr>
      </w:pPr>
      <w:r>
        <w:rPr>
          <w:rFonts w:ascii="Times New Roman" w:cs="Times New Roman" w:eastAsia="Times New Roman" w:hAnsi="Times New Roman"/>
          <w:sz w:val="16"/>
          <w:szCs w:val="16"/>
          <w:color w:val="auto"/>
        </w:rPr>
        <w:t>subscription or purchase, whether directly or indirectly, to persons in Singapore other than (a) to an institutional investor under Section 274 of the Securities and Futures Act, Chapter 289 of Singapore (the “SFA”), (b) to a relevant person, or any person pursuant to Section 275(1A), and in accordance with the conditions, specified in Section 275 of the SFA or (c) otherwise pursuant to, and in accordance with the conditions of, any other applicable provision of the SFA.</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Where the ordinary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ordinary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320"/>
          </w:cols>
          <w:pgMar w:left="240" w:top="455"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A&amp;L Goodbody, Dublin, Ireland will pass upon the validity of the ordinary shares offered by this prospectus supplement and the accompanying prospectus. Certain legal matters in connection with this offering relating to U.S. law will be passed upon for us by Cooley LLP, Palo Alto and San Diego, California. The underwriter is being represented by Davis Polk &amp; Wardwell LLP, Menlo Park, California.</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schedule of Jazz Pharmaceuticals Public Limited Company and its subsidiaries as of December 31, 2012, and for the year then ended, and management’s assessment of the effectiveness of internal control over financial reporting as of December 31, 2012, included in our Annual Report on Form 10-K for the year ended December 31, 2012, have been incorporated by reference herein and in the registration statement in reliance upon the reports of KPMG, independent registered public accounting firm, incorporated by reference herein, and upon the authority of said firm as experts in accounting and auditing.</w:t>
      </w:r>
    </w:p>
    <w:p>
      <w:pPr>
        <w:spacing w:after="0" w:line="139"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Ernst &amp; Young LLP, independent registered public accounting firm, has audited the consolidated financial statements and schedule of Jazz Pharmaceuticals, Inc. as of December 31, 2011 and for each of the two years in the period ended December 31, 2011 included in our Annual Report on Form 10-K for the year ended December 31, 2012, as set forth in their report, which is incorporated by reference in this prospectus supplement and elsewhere in the registration statement of which this prospectus supplement and the accompanying prospectus are a part. Jazz Pharmaceuticals, Inc.’s financial statements and schedule are incorporated by reference in reliance on Ernst &amp; Young LLP’s report, given on their authority as experts in accounting and auditing.</w:t>
      </w:r>
    </w:p>
    <w:p>
      <w:pPr>
        <w:spacing w:after="0" w:line="108"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audited historical consolidated financial statements of EUSA Pharma Inc. included in Exhibit 99.1 of Jazz Pharmaceuticals plc’s Current Report on Form 8-K/A, dated June 12, 2012, have been incorporated by reference herein and in the registration statement upon the report of PricewaterhouseCoopers LLP, independent accountants, given on the authority of said firm as experts in auditing and accounting.</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schedule of Jazz Pharmaceuticals Public Limited Company (formerly Azur Pharma Public Limited Company) and its subsidiaries as of December 31, 2011 and 2010, and for each of the years in the three-year period ended December 31, 2011, included in the Annual Report on Form 10-K of Jazz Pharmaceuticals Public Limited Company for the year ended December 31, 2011, have been incorporated by reference herein and in the registration statement in reliance upon the report of KPMG, independent registered public accounting firm, incorporated by reference herein, and upon the authority of said firm as experts in accounting and auditing.</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w:t>
      </w:r>
    </w:p>
    <w:p>
      <w:pPr>
        <w:spacing w:after="0" w:line="13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we file at the SEC’s Public Reference Room at 100 F Street, N.E., Washington,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D.C. 20549. Please call the SEC at 1-800-SEC-0330 for more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and the accompanying prospectus. We incorporate by reference the following information or documents that we have filed with the SEC (except as noted, under Commission File No. 001-33500):</w:t>
      </w:r>
    </w:p>
    <w:p>
      <w:pPr>
        <w:spacing w:after="0" w:line="55"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2012, filed with the SEC on February 26, 2013;</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January 22, 2013 and March 4, 2013;</w:t>
      </w:r>
    </w:p>
    <w:p>
      <w:pPr>
        <w:spacing w:after="0" w:line="90" w:lineRule="exact"/>
        <w:rPr>
          <w:rFonts w:ascii="Times New Roman" w:cs="Times New Roman" w:eastAsia="Times New Roman" w:hAnsi="Times New Roman"/>
          <w:sz w:val="18"/>
          <w:szCs w:val="18"/>
          <w:color w:val="auto"/>
        </w:rPr>
      </w:pPr>
    </w:p>
    <w:p>
      <w:pPr>
        <w:ind w:left="780" w:right="80" w:hanging="326"/>
        <w:spacing w:after="0" w:line="258"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EUSA Pharma, Inc., including the unaudited consolidated balance sheets of EUSA Pharma, Inc. as of March 31, 2012 and December 31, 2011 and the unaudited consolidated statements of operations and cash flows for the three months ended March 31, 2012 and 2011, and the notes related thereto, included in Exhibit 99.2 to our Current Report on Form 8-K/A filed with the SEC on August 10, 2012;</w:t>
      </w:r>
    </w:p>
    <w:p>
      <w:pPr>
        <w:spacing w:after="0" w:line="55" w:lineRule="exact"/>
        <w:rPr>
          <w:rFonts w:ascii="Times New Roman" w:cs="Times New Roman" w:eastAsia="Times New Roman" w:hAnsi="Times New Roman"/>
          <w:sz w:val="18"/>
          <w:szCs w:val="18"/>
          <w:color w:val="auto"/>
        </w:rPr>
      </w:pPr>
    </w:p>
    <w:p>
      <w:pPr>
        <w:ind w:left="780" w:right="240" w:hanging="326"/>
        <w:spacing w:after="0" w:line="25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EUSA Pharma, Inc., including the consolidated balance sheets of EUSA Pharma, Inc. as of December 31, 2011 and 2010, and the related audited consolidated statements of operations, changes in redeemable convertible preferred stock and stockholders’ equity, and cash flows for each of the three years ended December 31, 2011, the notes related thereto and the report of PricewaterhouseCoopers LLP, independent accountants, included in Exhibit 99.1 to our Current Report on Form 8-K/A filed with the SEC on August 10, 2012;</w:t>
      </w:r>
    </w:p>
    <w:p>
      <w:pPr>
        <w:spacing w:after="0" w:line="57" w:lineRule="exact"/>
        <w:rPr>
          <w:rFonts w:ascii="Times New Roman" w:cs="Times New Roman" w:eastAsia="Times New Roman" w:hAnsi="Times New Roman"/>
          <w:sz w:val="18"/>
          <w:szCs w:val="18"/>
          <w:color w:val="auto"/>
        </w:rPr>
      </w:pPr>
    </w:p>
    <w:p>
      <w:pPr>
        <w:ind w:left="780" w:hanging="326"/>
        <w:spacing w:after="0" w:line="25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Azur Pharma, including the consolidated balance sheets of Azur Pharma and subsidiaries as of December 31, 2011 and 2010, and the related audited consolidated statements of operations, shareholders’ equity and cash flows for each of the years in the three-year period ended December 31, 2011, the notes related thereto and the report of KPMG, independent registered public accounting firm, included on pages F-1 to F-23 of the Annual Report on Form 10-K for Azur Pharma’s fiscal year ended December 31, 2011 that we filed with the SEC on February 28, 2012 (Commission File No. 333-177528); and</w:t>
      </w:r>
    </w:p>
    <w:p>
      <w:pPr>
        <w:spacing w:after="0" w:line="57" w:lineRule="exact"/>
        <w:rPr>
          <w:rFonts w:ascii="Times New Roman" w:cs="Times New Roman" w:eastAsia="Times New Roman" w:hAnsi="Times New Roman"/>
          <w:sz w:val="18"/>
          <w:szCs w:val="18"/>
          <w:color w:val="auto"/>
        </w:rPr>
      </w:pPr>
    </w:p>
    <w:p>
      <w:pPr>
        <w:ind w:left="780" w:right="52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that we filed with the SEC on January 18, 2012 (which evidences the registration of our ordinary shares under Section 12(b) of the Exchange Act and includes therein a description of our ordinary shares).</w:t>
      </w:r>
    </w:p>
    <w:p>
      <w:pPr>
        <w:spacing w:after="0" w:line="120"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74" w:lineRule="exact"/>
        <w:rPr>
          <w:sz w:val="20"/>
          <w:szCs w:val="20"/>
          <w:color w:val="auto"/>
        </w:rPr>
      </w:pPr>
    </w:p>
    <w:p>
      <w:pPr>
        <w:jc w:val="both"/>
        <w:ind w:right="80" w:firstLine="456"/>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after the date of this prospectus supplement and prior to the termination of the offering of the ordinary shares covered by this prospectus supplement.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Jazz Pharmaceuticals plc</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 Jazz Pharmaceuticals,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3180 Porter Drive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Palo Alto, California 94304 USA</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+1 (650) 496-3777</w:t>
      </w:r>
    </w:p>
    <w:p>
      <w:pPr>
        <w:spacing w:after="0" w:line="1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60"/>
          </w:cols>
          <w:pgMar w:left="240" w:top="455" w:right="3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144780</wp:posOffset>
            </wp:positionV>
            <wp:extent cx="3344545" cy="660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From time to time, we or selling shareholders may offer and sell our ordinary shares in amounts, at prices and on terms described in one or more supplements to this prospectus.</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This prospectus describes some of the general terms that may apply to an offering of our ordinary shares. The specific terms and any other information relating to a specific offering, including the names of any selling shareholders, will be set forth in a post-effective amendment to the registration statement of which this prospectus is a part or in a supplement to this prospectus, or may be set forth in one or more documents incorporated by reference in this prospectus. We may also authorize one or more free writing prospectuses to be provided to you in connection with a specific offering. You should read this prospectus, the applicable prospectus supplement and any free writing prospectuses we have authorized for use in connection with a specific offering, as well as any documents incorporated by reference in this prospectus and the applicable prospectus supplement, carefully before you invest.</w:t>
      </w:r>
    </w:p>
    <w:p>
      <w:pPr>
        <w:spacing w:after="0" w:line="11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and any selling shareholders may offer and sell our ordinary shares to or through one or more underwriters, dealers and agents, or directly to purchasers, on a continuous or delayed basis. The supplements to this prospectus will provide the specific terms of the plan of distribution. The net proceeds we expect to receive from sales of our ordinary shares will be set forth in the applicable prospectus supplement.</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are considered the successor to Jazz Pharmaceuticals, Inc., or JPI, for certain purposes under both the Securities Act of 1933, as amended, or the Securities Act, and Securities Exchange Act of 1934, as amended, or the Exchange Act.</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“JAZZ.” On January 18, 2012, the last reported sale price of our ordinary shares on The NASDAQ Global Select Market was $47.34.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Investing in our ordinary shares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date of this prospectus is January 19, 2012.</w:t>
      </w:r>
    </w:p>
    <w:p>
      <w:pPr>
        <w:sectPr>
          <w:pgSz w:w="11900" w:h="16838" w:orient="portrait"/>
          <w:cols w:equalWidth="0" w:num="1">
            <w:col w:w="11260"/>
          </w:cols>
          <w:pgMar w:left="24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040" w:type="dxa"/>
            <w:vAlign w:val="bottom"/>
            <w:gridSpan w:val="11"/>
            <w:vMerge w:val="restart"/>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About This Prospectus</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1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1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Jazz Pharmaceuticals plc</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Risk Factors</w:t>
              </w:r>
            </w:hyperlink>
          </w:p>
        </w:tc>
        <w:tc>
          <w:tcPr>
            <w:tcW w:w="1340" w:type="dxa"/>
            <w:vAlign w:val="bottom"/>
            <w:tcBorders>
              <w:top w:val="single" w:sz="8" w:color="0000EE"/>
            </w:tcBorders>
            <w:gridSpan w:val="5"/>
          </w:tcPr>
          <w:p>
            <w:pPr>
              <w:spacing w:after="0"/>
              <w:rPr>
                <w:sz w:val="17"/>
                <w:szCs w:val="17"/>
                <w:color w:val="auto"/>
              </w:rPr>
            </w:pPr>
          </w:p>
        </w:tc>
        <w:tc>
          <w:tcPr>
            <w:tcW w:w="88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Special Note Regarding Forward-Looking Statements</w:t>
              </w:r>
            </w:hyperlink>
          </w:p>
        </w:tc>
        <w:tc>
          <w:tcPr>
            <w:tcW w:w="7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40" w:type="dxa"/>
            <w:vAlign w:val="bottom"/>
            <w:gridSpan w:val="1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1"/>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Selling Shareholders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1"/>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Validity of Share Capital</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Experts</w:t>
              </w:r>
            </w:hyperlink>
          </w:p>
        </w:tc>
        <w:tc>
          <w:tcPr>
            <w:tcW w:w="93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Enforcement of Civil Liabilities Under United States Federal Securities Laws</w:t>
              </w:r>
            </w:hyperlink>
          </w:p>
        </w:tc>
        <w:tc>
          <w:tcPr>
            <w:tcW w:w="5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using the “shelf” registration process. By using a shelf registration statement, we and any selling shareholders may offer and sell our ordinary shares from time to time in one or more offerings. No limit exists on the aggregate number of shares of ordinary shares that we and any selling shareholders may sell pursuant to the registration statement.</w:t>
      </w:r>
    </w:p>
    <w:p>
      <w:pPr>
        <w:spacing w:after="0" w:line="13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information. This document may only be used where it is legal to sell these securities. You should not assume that the information contained in this prospectus, in any applicable prospectus supplement or in any free writing prospectuses we have authorized for use in connection with a specific offering is accurate as of any date other than its respective date, regardless of when this prospectus, any prospectus supplement or any free writing prospectus we have authorized for use in connection with a specific offering is delivered, or when any sale of our ordinary shares occurs. If there is any inconsistency between the information in this prospectus and a prospectus supplement, you should rely on the information in the prospectus supplement.</w:t>
      </w:r>
    </w:p>
    <w:p>
      <w:pPr>
        <w:spacing w:after="0" w:line="11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others. All trademarks, service marks and trade names included or incorporated by reference into this prospectus or the applicable prospectus supplement are the property of their respective owners.</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urge you to read carefully this prospectus, the applicable prospectus supplement and any free writing prospectuses we have authorized for use in connection with a specific offering, together with the information incorporated herein by reference as described under the heading “Where You Can Find More Information,” before deciding whether to invest in any of our ordinary shares being offered.</w:t>
      </w:r>
    </w:p>
    <w:p>
      <w:pPr>
        <w:spacing w:after="0" w:line="13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References in this prospectus to “Jazz Pharmaceuticals,” “we,” “us” and “our” refer to Jazz Pharmaceuticals Public Limited Company, a public limited company formed under the laws of Ireland, and its subsidiaries, including JPI, unless the context indicates otherwise.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our ordinary shares unless accompanied by a prospectus supplement.</w:t>
      </w:r>
    </w:p>
    <w:p>
      <w:pPr>
        <w:spacing w:after="0" w:line="1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JAZZ PHARMACEUTICALS PLC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are a specialty biopharmaceutical company focused on the identification, development and commercialization of pharmaceutical products to meet important unmet medical needs in focused therapeutic areas. Our marketed products include Xyrem (sodium oxybate), which is the only product approved by the United States Food and Drug Administration, or FDA, for the treatment of both cataplexy and excessive daytime sleepiness in patients with narcolepsy; our psychiatry products, FazaClo (clozapine, USP) LD and FazaClo HD, orally disintegrating clozapine tablets indicated for treatment resistant schizophrenia, Luvox CR (fluvoxamine maleate) marketed for the treatment of obsessive compulsive disorder; Prialt (ziconotide intrathecal injection), the only non-opioid intrathecal analgesic indicated for refractory severe chronic pain; and a portfolio of women’s health and other products led by Elestrin, a clear fast-drying estradiol gel indicated for the treatment of moderate to severe vasomotor symptoms associated with menopause.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January 18, 2012, we and JPI consummated the merger contemplated by the agreement and plan of merger and reorganization, or the merger agreement, we entered into with JPI and certain other parties on September 19, 2011. In connection with the merger, we were re-named Jazz Pharmaceuticals plc and became the parent company of JPI, with JPI becoming our wholly-owned subsidiary. In the merger, all outstanding shares of JPI’s common stock were canceled and converted into the right to receive, on a one-for-one basis, our ordinary shares. Immediately after giving effect to the issuance of our ordinary shares to the former JPI stockholders in the merger, approximately 56,197,577 of our ordinary shares were outstanding, of which approximately 78% were held by the former JPI stockholders. The remaining 22% of our ordinary shares outstanding immediately after giving effect to the merger were held by persons and entities who acquired our ordinary shares prior to the merger. Our ordinary shares trade on the same exchange, The NASDAQ Global Select Market, and under the trading symbol, “JAZZ”, that the shares of JPI common stock traded on and under prior to the merger.</w:t>
      </w:r>
    </w:p>
    <w:p>
      <w:pPr>
        <w:spacing w:after="0" w:line="138"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color w:val="auto"/>
        </w:rPr>
        <w:t>JPI is deemed to be the acquiring company for accounting purposes and the transaction is being accounted for as a reverse acquisition under the acquisition method of accounting for business combinations. As a result, the historical financial statements of JPI became our historical financial statements. We are also considered to be the successor to JPI for certain purposes under both the Securities Act and the Exchange Act, and certain of JPI’s historical reports filed under the Exchange Act are incorporated by reference in this prospectus. Prior to the merger, we were known as Azur Pharma Public Limited Company, or Azur Pharma. The historical financial statements for Azur Pharma for the years ended December 31, 2010, 2009 and 2008 and for the nine months ended September 30, 2011 and 2010, and pro forma financial information related to the merger, are incorporated by reference in this prospectus from JPI’s definitive proxy statement on Schedule 14A filed with the Securities and Exchange Commission on November 10, 2011. See “Where You Can Find More Information.” A brief description of the historic business of Azur Pharma prior to the merger is set forth below. More information about the historic business of Azur Pharma can be found in JPI’s definitive proxy statement on Schedule 14A filed with the Securities and Exchange Commission on November 10, 2011.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 Business of JPI</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JPI’s specialty pharmaceutical business focused on the identification, development and commercialization of pharmaceutical products to meet important unmet medical needs. JPI’s marketed products, which will continue to be marketed by the combined company, are Xyrem and Luvox CR. JPI promotes these products in the United States through its experienced specialty sales force targeting sleep specialists, neurologists, pulmonologists and psychiatrists. More information about the historic business of JPI can be found in JPI’s annual and quarterly reports that are incorporated by reference in this prospectus. See “Where You Can Find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 Business of Azur Pharma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Azur Pharma’s specialty pharmaceutical business focused on therapeutic products for the central nervous system, or CNS, and women’s health areas. Azur Pharma’s portfolio of products are promoted and sold in the United States. Azur Pharma’s lead marketed products, which will continue to be marketed by the combined company, are Prialt and FazaClo LD and HD. Azur Pharma also markets several women’s health products, consisting of Elestrin and Azur Pharma’s prenatal vitamins brands, Natelle and Gesticare. In addition, Azur Pharma sells a portfolio of non-promoted products including Gastrocrom, Urelle, Niravam and Parcopa. Azur Pharma’s product candidates include an oral suspension formulation of clozapine, Clozapine OS, and a once daily formulation of clozapine, Clozapine QD.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Marketed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Prialt (ziconotide) intrathecal infusion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Prialt is an intrathecal infusion of ziconotide, approved by the FDA in December 2004 for the management of severe chronic pain in patients for whom intrathecal therapy is warranted, and who are intolerant of or refractory to other treatment, such as systemic analgesics, adjunctive therapies or intrathecal morphine. Intrathecal therapy is the delivery of the drug into the intrathecal space in the spine through an infusion system comprised of a programmable infusion pump and catheter. Ziconotide is a synthetic neuroactive peptide known as conotoxin and is the synthetic equivalent of a naturally-occurring conopeptide found in the piscivorous marine snail, </w:t>
      </w:r>
      <w:r>
        <w:rPr>
          <w:rFonts w:ascii="Times New Roman" w:cs="Times New Roman" w:eastAsia="Times New Roman" w:hAnsi="Times New Roman"/>
          <w:sz w:val="18"/>
          <w:szCs w:val="18"/>
          <w:i w:val="1"/>
          <w:iCs w:val="1"/>
          <w:color w:val="auto"/>
        </w:rPr>
        <w:t>Conus Magnus.</w:t>
      </w:r>
      <w:r>
        <w:rPr>
          <w:rFonts w:ascii="Times New Roman" w:cs="Times New Roman" w:eastAsia="Times New Roman" w:hAnsi="Times New Roman"/>
          <w:sz w:val="18"/>
          <w:szCs w:val="18"/>
          <w:color w:val="auto"/>
        </w:rPr>
        <w:t xml:space="preserve"> Ziconotide is thought to inhibit pain signals transmitted via N-type calcium channels, most densely located in the dorsal horn of the spinal chord. Prialt is the only FDA-approved non-opioid intrathecal analgesic. Prialt is approved for use with Medtronic Inc’s SynchroMed EL and SynchroMed II programmable implantable pumps. In May 2010, Azur Pharma acquired the worldwide rights (excluding Europe) to Prialt from Elan Pharmaceuticals, Inc., or Elan, excluding those territories licensed by Elan to Eisai Co. Limited, which consist of 34 countries outside of the United States, mainly in Europe.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FazaClo LD (clozapine, USP) Orally Disintegrating Tablet and FazaClo HD (clozapine, USP) Orally Disintegrating Tablet</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Azur Pharma markets FazaClo LD and FazaClo HD, which are orally disintegrating tablet formulations of clozapine, indicated for the management of severely ill schizophrenic patients who fail to respond adequately to standard drug treatment for schizophrenia and for reducing the risk of recurrent suicidal behavior in patients with schizophrenia or schizoaffective disorder who are judged to be at chronic risk for re-experiencing suicidal behavior, based on history and recent clinical state. FazaClo LD, comprising the original three lower strength presentations, was approved by the FDA in February 2004 with respect to the 25mg and 100mg tablet strengths and in May 2007 for the 12.5mg tablet strength. Azur Pharma initiated development of FazaClo HD, 150 mg and 200 mg dosage strengths, in late 2008. FazaClo HD received FDA approval in July 2010 and was launched in September 2010. FazaClo LD and FazaClo HD incorporate CIMA Labs Inc.’s DuraSolv orally disintegrating tablet technology, which enables the products to dissolve without the need to chew or to swallow with water and are currently the only orally disintegrating tablet formulations of clozapine available in the United States. In August 2007, Azur Pharma acquired the rights to FazaClo from Avanir Pharmaceuticals,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Azur Pharma’s other products include:</w:t>
      </w:r>
    </w:p>
    <w:p>
      <w:pPr>
        <w:spacing w:after="0" w:line="90" w:lineRule="exact"/>
        <w:rPr>
          <w:sz w:val="20"/>
          <w:szCs w:val="20"/>
          <w:color w:val="auto"/>
        </w:rPr>
      </w:pPr>
    </w:p>
    <w:p>
      <w:pPr>
        <w:ind w:left="900" w:right="14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Elestrin (estradiol gel 0.06%), indicated for the treatment of moderate to severe vasomotor symptoms (hot flashes and night sweats) associated with menopause;</w:t>
      </w:r>
    </w:p>
    <w:p>
      <w:pPr>
        <w:spacing w:after="0" w:line="38" w:lineRule="exact"/>
        <w:rPr>
          <w:rFonts w:ascii="Times New Roman" w:cs="Times New Roman" w:eastAsia="Times New Roman" w:hAnsi="Times New Roman"/>
          <w:sz w:val="18"/>
          <w:szCs w:val="18"/>
          <w:color w:val="auto"/>
        </w:rPr>
      </w:pPr>
    </w:p>
    <w:p>
      <w:pPr>
        <w:ind w:left="900" w:right="72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Gastrocrom (cromolyn sodium) oral concentrate, indicated for the management of patients with mastocytosis, providing relief of associated symptoms such as diarrhea, flushing, headaches, vomiting, urticaria, abdominal pain, nausea and itching;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2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Natelle and Gesticare prescription prenatal vitamins franchises, used for improving the nutritional status of women through pregnancy and in the postnatal period;</w:t>
      </w:r>
    </w:p>
    <w:p>
      <w:pPr>
        <w:spacing w:after="0" w:line="38"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Urelle, indicated for the treatment of symptoms of irritative voiding and for the relief of local symptoms, such as inflammation, hypermotility and pain that accompany lower urinary tract infections;</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Niravam (orally disintegrating tablet presentation of alprazolam), indicated for the management of anxiety disorder or the short-term relief of symptoms of anxiety and also indicated for the treatment of panic disorder, with or without agoraphobia; and</w:t>
      </w:r>
    </w:p>
    <w:p>
      <w:pPr>
        <w:spacing w:after="0" w:line="38" w:lineRule="exact"/>
        <w:rPr>
          <w:rFonts w:ascii="Times New Roman" w:cs="Times New Roman" w:eastAsia="Times New Roman" w:hAnsi="Times New Roman"/>
          <w:sz w:val="18"/>
          <w:szCs w:val="18"/>
          <w:color w:val="auto"/>
        </w:rPr>
      </w:pPr>
    </w:p>
    <w:p>
      <w:pPr>
        <w:ind w:left="900" w:right="64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Parcopa (orally disintegrating tablet presentation of carbidopa/levodopa), indicated for the treatment of symptoms associated with idiopathic Parkinson’s disease.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Pipeline</w:t>
      </w:r>
    </w:p>
    <w:p>
      <w:pPr>
        <w:spacing w:after="0" w:line="94"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Azur Pharma has a number of product candidates in various stages of clinical development, which will remain under development by the combined company, including Clozapine OS and Clozapine QD.</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Clozapine OS is an oral suspension formulation of clozapine currently approved and marketed by other companies in Europe and in other territories outside of the U.S. Azur Pharma licensed U.S. rights for the product from Douglas Pharmaceuticals America Limited in February 2010.</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Clozapine QD is expected to provide the benefits of once-daily dosing of clozapine. This formulation is designed to enable faster titration to therapeutic effect relative to existing immediate release formulations of clozapine.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are a public limited company formed under the laws of Ireland (registered number 399192) in March 2005. We were originally formed as a private limited liability company under the name Azur Pharma Limited and were subsequently re-registered as a public limited company under the name Azur Pharma Public Limited Company in October 2011. In connection with the merger, we were re-named Jazz Pharmaceuticals plc and became the parent company of and successor to JPI. Our principal executive offices are located at 45 Fitzwilliam Square, Dublin 2, Ireland. Our telephone number is 011-353-1-634-4183. Our website address is </w:t>
      </w:r>
      <w:r>
        <w:rPr>
          <w:rFonts w:ascii="Times New Roman" w:cs="Times New Roman" w:eastAsia="Times New Roman" w:hAnsi="Times New Roman"/>
          <w:sz w:val="18"/>
          <w:szCs w:val="18"/>
          <w:i w:val="1"/>
          <w:iCs w:val="1"/>
          <w:color w:val="auto"/>
        </w:rPr>
        <w:t>www.jazzpharmaceuticals.com</w:t>
      </w:r>
      <w:r>
        <w:rPr>
          <w:rFonts w:ascii="Times New Roman" w:cs="Times New Roman" w:eastAsia="Times New Roman" w:hAnsi="Times New Roman"/>
          <w:sz w:val="18"/>
          <w:szCs w:val="18"/>
          <w:color w:val="auto"/>
        </w:rPr>
        <w:t>. Information contained in, or accessible through, our website does not constitute a part of this prospectus or any prospectus supplement.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You should carefully consider the risk factors identified in the applicable prospectus supplement and in any free writing prospectuses we have authorized for use in connection with a specific offering, as well as under the section entitled “Risk Factors” contained in JPI’s definitive proxy statement on Schedule 14A filed with the Securities and Exchange Commission on November 10, 2011 and incorporated by reference in this prospectus, as the same may be amended, supplemented or superseded from time to time by other reports we file with the SEC after the date of this prospectus, in addition to the other information contained in this prospectus, any applicable prospectus supplement, the documents incorporated by reference herein or therein, and in any free writing prospectuses we have authorized for use in connection with a specific offering, before deciding whether to purchase any of our ordinary shares. Each of the risk factors could adversely affect our business, operating results and financial condition, as well as adversely affect the value of an investment in our ordinary shares, and you may lose all or part of your investment.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Exchange Act. These statements are based on our current expectations, assumptions, estimates and projections about our business and our industry, and involve known and unknown risks, uncertainties and other factors that may cause our results, levels of activity, performance or achievements to be materially different from any future results, levels of activity, performance or achievements expressed or implied by the forward-looking statements. Forward-looking statements include, but are not limited to, statements about:</w:t>
      </w:r>
    </w:p>
    <w:p>
      <w:pPr>
        <w:spacing w:after="0" w:line="58"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synergies and other benefits, including tax, financial and strategic benefits, of the merger to us and our shareholders;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Xyrem and our other products;</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clinical and commercial supplies of our product candidates and products from current and new single source suppliers and manufacturers;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defend our patents; and</w:t>
      </w:r>
    </w:p>
    <w:p>
      <w:pPr>
        <w:spacing w:after="0" w:line="90" w:lineRule="exact"/>
        <w:rPr>
          <w:rFonts w:ascii="Times New Roman" w:cs="Times New Roman" w:eastAsia="Times New Roman" w:hAnsi="Times New Roman"/>
          <w:sz w:val="18"/>
          <w:szCs w:val="18"/>
          <w:color w:val="auto"/>
        </w:rPr>
      </w:pPr>
    </w:p>
    <w:p>
      <w:pPr>
        <w:ind w:left="900" w:right="80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and our expectations regarding our future cash flow, expenses, revenues, financial results and capital requirements.</w:t>
      </w:r>
    </w:p>
    <w:p>
      <w:pPr>
        <w:spacing w:after="0" w:line="12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“expects,” “intends,” “plans,” “predicts,” “believes,” “seeks,” “estimates,” “could,” “would,” “will,” “may,” “can,” “continue,” “potential,” “should,” and the negative of these terms and similar expressions intended to identify forward-looking statements. These statements involve known and unknown risks, uncertainties and other factors that may cause our actual results, levels of activity, performance, time frames or achievements to be materially different from the information expressed or implied by these forward-looking statements. While we believe that we have a reasonable basis for each forward-looking statement, we caution you that these statements are based on a combination of facts and factors currently known by us and our projections of the future, about which we cannot be certain. We discuss many of these risks, uncertainties and other factors in greater detail under the heading “Risk Factors” contained in the applicable prospectus supplement, in any free writing prospectuses we have authorized for use in connection with a specific offering, in JPI’s definitive proxy statement on Schedule 14A filed with the Securities and Exchange Commission on November 10, 2011 and incorporated by reference in this prospectus, and in under similar headings in our future reports that we file with the SEC and that are incorporated by reference in this prospectus. Given these risks, uncertainties and other factors, you should not place undue reliance on these forward-looking statements. Also, these forward-looking statements represent our estimates and assumptions only as of the date such forward-looking statements are made. You should read carefully this prospectus, the applicable prospectus supplement and any free writing prospectuses we have authorized for use in connection with a specific offering, together with the information incorporated herein by reference as described under the heading “Where You Can Find More Information” and with the understanding that our actual future results may be materially different from what we expect. We hereby qualify all of our forward-looking statements by these cautionary statements.</w:t>
      </w:r>
    </w:p>
    <w:p>
      <w:pPr>
        <w:spacing w:after="0" w:line="14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Except as described in the applicable prospectus supplement or in any free writing prospectuses we have authorized for use in connection with a specific offering, we currently intend to use the net proceeds from our</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sale of our ordinary shares for general corporate purposes. We may also use a portion of the net proceeds to acquire or invest in businesses, products and product candidates that are complementary to our own. Pending these uses, we expect to invest the net proceeds in investment-grade, interest-bearing securities. We will not receive any of the proceeds from sales of our ordinary shares by selling shareholders, if any, pursuant to this prospectus.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the registration statement of which this prospectus is a part is used by any selling shareholder for the resale of any ordinary shares registered thereunder, information about such selling shareholder, its beneficial ownership of our securities and its relationship with us will be set forth in a post-effective amendment to the registration statement, in a supplement to this prospectus, or in one or more documents incorporated by reference in this prospectus or the applicable prospectus supplement.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VALIDITY OF SHARE CAPITAL</w:t>
      </w:r>
    </w:p>
    <w:p>
      <w:pPr>
        <w:spacing w:after="0" w:line="173"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the validity of the ordinary shares being offered hereby will be passed upon by A&amp;L Goodbody, Dublin, Ireland.</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Ernst &amp; Young LLP, independent registered public accounting firm, has audited the consolidated financial statements and schedule of JPI included in its annual report on Form 10-K for the year ended December 31, 2010, and the effectiveness of JPI’s internal control over financial reporting as of December 31, 2010, as set forth in their reports, which are incorporated by reference in this prospectus and elsewhere in the registration statement. JPI’s financial statements and schedule are incorporated by reference in reliance on Ernst &amp; Young LLP’s reports, given on their authority as experts in accounting and auditing.</w:t>
      </w:r>
    </w:p>
    <w:p>
      <w:pPr>
        <w:spacing w:after="0" w:line="10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of Azur Pharma and subsidiaries as of December 31, 2010 and December 31, 2009, and for each of the years in the three-year period ended December 31, 2010, have been incorporated by reference into this prospectus and in the registration statement in reliance upon the report of KPMG, independent registered public accounting firm, and upon the authority of said firm as experts in accounting and auditing.</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CIVIL LIABILITIES UNDER UNITED STATES FEDERAL SECURITIES LAWS</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 public limited company formed under the laws of Ireland, and certain of our officers and directors are or may in the future be residents outside the United States. All or a substantial portion of our assets or the assets of such non-resident persons may be located outside of the United States. As a result, it may not be possible to effect service of process within the United States upon such persons or us, or to enforce against such persons or us in U.S. courts judgments obtained in such courts predicated upon the civil liability provisions of the federal securities laws of the United States. There is no treaty between Ireland and the United States providing for the reciprocal enforcement of foreign judgments. We have been advised by counsel that there is doubt as to the enforceability in Ireland, in original actions or in actions for enforcement of judgments of U.S. courts, of liabilities predicated solely upon the securities laws of the United States. Consequently, it may be difficult for investors to enforce against us, our directors or our officers in Ireland judgments obtained in the United States which are predicated upon the civil liability provisions of the federal securities laws of the United States.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we file at the SEC’s Public Reference Room at 100 F Street, N.E., Washington, D.C. 20549. Please call the SEC at 1-800-SEC-0330 for more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or JPI have filed with the SEC. You should read the information incorporated by reference because it is an important part of this prospectus. Information in this prospectus supersedes information incorporated by reference that we or JPI filed with the SEC prior to the date of this prospectus, while information that we file later with the SEC will automatically update and supersede the information in this prospectus. We incorporate by reference the following information or documents that we and JPI have filed with the SEC (Commission File No. 001-33500):</w:t>
      </w:r>
    </w:p>
    <w:p>
      <w:pPr>
        <w:spacing w:after="0" w:line="58"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JPI’s Annual Report on Form 10-K for the fiscal year ended December 31, 2010, filed with the SEC on March 8, 2011;</w:t>
      </w:r>
    </w:p>
    <w:p>
      <w:pPr>
        <w:spacing w:after="0" w:line="90"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JPI’s Annual Report on Form 10-K for the fiscal year ended December 31, 2010 from JPI’s definitive proxy statement on Schedule 14A, filed with the SEC on April 12, 2011;</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JPI’s Quarterly Reports on Form 10-Q for the quarters ended March 31, 2011, June 30, 2011 and September 30, 2011, filed with the SEC on May 9, 2011, August 3, 2011 and November 8, 2011, respectively;</w:t>
      </w:r>
    </w:p>
    <w:p>
      <w:pPr>
        <w:spacing w:after="0" w:line="38" w:lineRule="exact"/>
        <w:rPr>
          <w:rFonts w:ascii="Times New Roman" w:cs="Times New Roman" w:eastAsia="Times New Roman" w:hAnsi="Times New Roman"/>
          <w:sz w:val="18"/>
          <w:szCs w:val="18"/>
          <w:color w:val="auto"/>
        </w:rPr>
      </w:pPr>
    </w:p>
    <w:p>
      <w:pPr>
        <w:ind w:left="900" w:right="920" w:hanging="325"/>
        <w:spacing w:after="0" w:line="334" w:lineRule="auto"/>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JPI’s Current Reports on Form 8-K filed with the SEC on January 7, 2011, February 11, 2011, March 9, 2011, March 28, 2011, April 19, 2011, May 25, 2011, September 19, 2011, October 28, 2011, November 10, 2011, December 12, 2011 and January 13, 2012;</w:t>
      </w:r>
    </w:p>
    <w:p>
      <w:pPr>
        <w:spacing w:after="0" w:line="1" w:lineRule="exact"/>
        <w:rPr>
          <w:rFonts w:ascii="Times New Roman" w:cs="Times New Roman" w:eastAsia="Times New Roman" w:hAnsi="Times New Roman"/>
          <w:sz w:val="16"/>
          <w:szCs w:val="16"/>
          <w:color w:val="auto"/>
        </w:rPr>
      </w:pPr>
    </w:p>
    <w:p>
      <w:pPr>
        <w:ind w:left="900" w:right="16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under the section entitled “Risk Factors” in JPI’s definitive proxy statement on Schedule 14A, filed with the SEC on November 10, 2011;</w:t>
      </w:r>
    </w:p>
    <w:p>
      <w:pPr>
        <w:spacing w:after="0" w:line="38"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Azur Pharma, including the consolidated balance sheets of Azur Pharma and subsidiaries as of December 31, 2010 and 2009, and the related audited consolidated income statements and audited consolidated statements of comprehensive income, cash flows, and changes in shareholders’ equity for each of the years in the three-year period ended December 31, 2010, the notes related thereto and the report of KPMG, independent registered public accounting firm, included on pages F-1 to F-33 of JPI’s definitive proxy statement on Schedule 14A, filed with the SEC on November 10, 2011;</w:t>
      </w:r>
    </w:p>
    <w:p>
      <w:pPr>
        <w:spacing w:after="0" w:line="57"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condensed consolidated financial statements of Azur Pharma, including the unaudited interim condensed consolidated balance sheets of Azur Pharma and subsidiaries as of September 30, 2011 and the unaudited interim condensed consolidated income statements and unaudited interim condensed consolidated statements of comprehensive income, cash flows, and changes in shareholders’ equity for the nine month periods ended September 30, 2011 and 2010, and the notes related thereto, included on pages F-34 to F-50 of JPI’s definitive proxy statement on Schedule 14A, filed with the SEC on November 10, 2011;</w:t>
      </w:r>
    </w:p>
    <w:p>
      <w:pPr>
        <w:spacing w:after="0" w:line="57"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statements as of and for the nine months ended September 30, 2011 and for the year ended December 31, 2010, and the notes and other information related thereto included under the section entitled “Unaudited Pro Forma Combined Financial Data” in JPI’s definitive proxy statement on Schedule 14A, filed with the SEC on November 10, 2011;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40" w:hanging="325"/>
        <w:spacing w:after="0" w:line="26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comparative historical and unaudited pro forma per share data and the other information related thereto included under the section entitled “Comparative Historical and Unaudited Pro Forma Per Share Data” in JPI’s definitive proxy statement on Schedule 14A, filed with the SEC on November 10, 2011; and</w:t>
      </w:r>
    </w:p>
    <w:p>
      <w:pPr>
        <w:spacing w:after="0" w:line="51"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January 18, 2012 (which evidences the registration of our ordinary shares under Section 12(b) of the Exchange Act and includes therein a description of our ordinary shares).</w:t>
      </w:r>
    </w:p>
    <w:p>
      <w:pPr>
        <w:spacing w:after="0" w:line="120" w:lineRule="exact"/>
        <w:rPr>
          <w:sz w:val="20"/>
          <w:szCs w:val="20"/>
          <w:color w:val="auto"/>
        </w:rPr>
      </w:pPr>
    </w:p>
    <w:p>
      <w:pPr>
        <w:ind w:right="560" w:firstLine="456"/>
        <w:spacing w:after="0" w:line="339" w:lineRule="auto"/>
        <w:rPr>
          <w:sz w:val="20"/>
          <w:szCs w:val="20"/>
          <w:color w:val="auto"/>
        </w:rPr>
      </w:pPr>
      <w:r>
        <w:rPr>
          <w:rFonts w:ascii="Times New Roman" w:cs="Times New Roman" w:eastAsia="Times New Roman" w:hAnsi="Times New Roman"/>
          <w:sz w:val="16"/>
          <w:szCs w:val="16"/>
          <w:color w:val="auto"/>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spacing w:after="0" w:line="7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or portions of current reports furnished under Item 2.02 or Item 7.01 of Form 8-K and exhibits filed on such form that are related to such items) made with the SEC by us or on behalf of JPI pursuant to Sections 13(a), 13(c), 14 or 15(d) of the Exchange Act until we file a post-effective amendment that indicates the termination of the offering of the ordinary shares made by this prospectus. Information in such future filings updates and supplements the information provided in this prospectus. Any statements in any such future filings will automatically be deemed to modify and supersede any information in any document that we or JPI previously filed with the SEC that is incorporated or deemed to be incorporated herein by reference to the extent that statements in the later filed document modify or replace such earlier statements.</w:t>
      </w:r>
    </w:p>
    <w:p>
      <w:pPr>
        <w:spacing w:after="0" w:line="13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Jazz Pharmaceuticals plc</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Jazz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3180 Porter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+1 (650) 496-3777</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440055</wp:posOffset>
            </wp:positionV>
            <wp:extent cx="3344545" cy="66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479"/>
        <w:spacing w:after="0"/>
        <w:rPr>
          <w:sz w:val="20"/>
          <w:szCs w:val="20"/>
          <w:color w:val="auto"/>
        </w:rPr>
      </w:pPr>
      <w:r>
        <w:rPr>
          <w:rFonts w:ascii="Arial" w:cs="Arial" w:eastAsia="Arial" w:hAnsi="Arial"/>
          <w:sz w:val="32"/>
          <w:szCs w:val="32"/>
          <w:b w:val="1"/>
          <w:bCs w:val="1"/>
          <w:color w:val="auto"/>
        </w:rPr>
        <w:t>5,375,000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2992120</wp:posOffset>
            </wp:positionV>
            <wp:extent cx="1672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Prospectus Supplement</w:t>
      </w:r>
    </w:p>
    <w:p>
      <w:pPr>
        <w:spacing w:after="0" w:line="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March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103505</wp:posOffset>
            </wp:positionV>
            <wp:extent cx="1672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Sole Book-Running Manager</w:t>
      </w:r>
    </w:p>
    <w:p>
      <w:pPr>
        <w:spacing w:after="0" w:line="51" w:lineRule="exact"/>
        <w:rPr>
          <w:sz w:val="20"/>
          <w:szCs w:val="20"/>
          <w:color w:val="auto"/>
        </w:rPr>
      </w:pPr>
    </w:p>
    <w:p>
      <w:pPr>
        <w:ind w:left="5040"/>
        <w:spacing w:after="0"/>
        <w:rPr>
          <w:sz w:val="20"/>
          <w:szCs w:val="20"/>
          <w:color w:val="auto"/>
        </w:rPr>
      </w:pPr>
      <w:r>
        <w:rPr>
          <w:rFonts w:ascii="Arial" w:cs="Arial" w:eastAsia="Arial" w:hAnsi="Arial"/>
          <w:sz w:val="32"/>
          <w:szCs w:val="32"/>
          <w:b w:val="1"/>
          <w:bCs w:val="1"/>
          <w:color w:val="auto"/>
        </w:rPr>
        <w:t>Barclays</w:t>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lvl w:ilvl="1">
      <w:lvlJc w:val="left"/>
      <w:lvlText w:val="%2."/>
      <w:numFmt w:val="upperLetter"/>
      <w:start w:val="61"/>
    </w:lvl>
  </w:abstractNum>
  <w:abstractNum w:abstractNumId="7">
    <w:nsid w:val="519B500D"/>
    <w:multiLevelType w:val="hybridMultilevel"/>
    <w:lvl w:ilvl="0">
      <w:lvlJc w:val="left"/>
      <w:lvlText w:val="(%1)"/>
      <w:numFmt w:val="decimal"/>
      <w:start w:val="2"/>
    </w:lvl>
    <w:lvl w:ilvl="1">
      <w:lvlJc w:val="left"/>
      <w:lvlText w:val="%2"/>
      <w:numFmt w:val="upperLetter"/>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Roman"/>
      <w:start w:val="3"/>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2019-12-07T05:12:10Z</dcterms:created>
  <dcterms:modified xsi:type="dcterms:W3CDTF">2019-12-07T05:12:10Z</dcterms:modified>
</cp:coreProperties>
</file>