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32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4"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2022, 62,318,745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1389"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MARCH 31, 2022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680" w:type="dxa"/>
            <w:vAlign w:val="bottom"/>
            <w:gridSpan w:val="19"/>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 March 31, 2022 and December 31, 2021</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 Three Months Ended March 31, 2022 and 2021</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Income (Loss) – Three Months Ended March 31, 2022 and</w:t>
              </w:r>
            </w:hyperlink>
          </w:p>
        </w:tc>
        <w:tc>
          <w:tcPr>
            <w:tcW w:w="840" w:type="dxa"/>
            <w:vAlign w:val="bottom"/>
            <w:gridSpan w:val="4"/>
            <w:vMerge w:val="restart"/>
          </w:tcPr>
          <w:p>
            <w:pPr>
              <w:jc w:val="center"/>
              <w:ind w:left="5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2021</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Shareholders’ Equity – Three Months Ended March 31, 2022 and 2021</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00" w:type="dxa"/>
            <w:vAlign w:val="bottom"/>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 Three Months Ended March 31, 2022 and 2021</w:t>
              </w:r>
            </w:hyperlink>
          </w:p>
        </w:tc>
        <w:tc>
          <w:tcPr>
            <w:tcW w:w="6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9"/>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320" w:type="dxa"/>
            <w:vAlign w:val="bottom"/>
            <w:gridSpan w:val="6"/>
          </w:tcPr>
          <w:p>
            <w:pPr>
              <w:spacing w:after="0"/>
              <w:rPr>
                <w:sz w:val="18"/>
                <w:szCs w:val="18"/>
                <w:color w:val="auto"/>
              </w:rPr>
            </w:pPr>
          </w:p>
        </w:tc>
        <w:tc>
          <w:tcPr>
            <w:tcW w:w="1260" w:type="dxa"/>
            <w:vAlign w:val="bottom"/>
            <w:gridSpan w:val="3"/>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Quantitative and Qualitative Disclosures About Market Risk</w:t>
              </w:r>
            </w:hyperlink>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Controls and Procedures</w:t>
              </w:r>
            </w:hyperlink>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9"/>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 OTHER INFORMATION</w:t>
              </w:r>
            </w:hyperlink>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Legal Proceedings</w:t>
              </w:r>
            </w:hyperlink>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Exhibits</w:t>
              </w:r>
            </w:hyperlink>
          </w:p>
        </w:tc>
        <w:tc>
          <w:tcPr>
            <w:tcW w:w="3740" w:type="dxa"/>
            <w:vAlign w:val="bottom"/>
            <w:tcBorders>
              <w:top w:val="single" w:sz="8" w:color="0000FF"/>
            </w:tcBorders>
            <w:gridSpan w:val="8"/>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SIGNATURES</w:t>
              </w:r>
            </w:hyperlink>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445"/>
        <w:spacing w:after="0" w:line="218"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for Epidiolex), Sunosi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(recombinant Erwinia asparaginase)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report also includes trademarks, service marks and trade names of other companies. Trademarks, service marks and trade names appearing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Accounts receivable, net of allowances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563,360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1,072,721</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131,413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2,611,334</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256,837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6,783,057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311,103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73,336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809,303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6,018,943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1,300,541</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116,998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3,239,327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3,534,792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830,226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3,608,487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3,965,191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11,768,917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809,837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603,531</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23"/>
        </w:trPr>
        <w:tc>
          <w:tcPr>
            <w:tcW w:w="84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607,581</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40,189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260,508</w:t>
            </w: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76,573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68,192</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445,462</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162,119</w:t>
            </w: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(27,376)</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Income before income tax expense and equity in loss (gain) of investees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135,686</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(gain)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121,832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61,865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56,468</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121,832</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w:t>
            </w:r>
          </w:p>
        </w:tc>
        <w:tc>
          <w:tcPr>
            <w:tcW w:w="0" w:type="dxa"/>
            <w:vAlign w:val="bottom"/>
          </w:tcPr>
          <w:p>
            <w:pPr>
              <w:spacing w:after="0"/>
              <w:rPr>
                <w:sz w:val="1"/>
                <w:szCs w:val="1"/>
                <w:color w:val="auto"/>
              </w:rPr>
            </w:pPr>
          </w:p>
        </w:tc>
      </w:tr>
      <w:tr>
        <w:trPr>
          <w:trHeight w:val="175"/>
        </w:trPr>
        <w:tc>
          <w:tcPr>
            <w:tcW w:w="8620" w:type="dxa"/>
            <w:vAlign w:val="bottom"/>
          </w:tcPr>
          <w:p>
            <w:pPr>
              <w:ind w:left="140"/>
              <w:spacing w:after="0" w:line="176" w:lineRule="exact"/>
              <w:rPr>
                <w:sz w:val="20"/>
                <w:szCs w:val="20"/>
                <w:color w:val="auto"/>
              </w:rPr>
            </w:pPr>
            <w:r>
              <w:rPr>
                <w:rFonts w:ascii="Arial" w:cs="Arial" w:eastAsia="Arial" w:hAnsi="Arial"/>
                <w:sz w:val="18"/>
                <w:szCs w:val="18"/>
                <w:color w:val="auto"/>
                <w:w w:val="94"/>
              </w:rPr>
              <w:t>Loss on fair value hedging activities reclassified from accumulated other comprehensive income (loss) to foreign</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exchange gain (loss), net of income tax benefit of $43 and $—, respectively</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Loss on cash flow hedging activities reclassified from accumulated other comprehensive income (loss) to interest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 of income tax benefit of $— and $166, respectively</w:t>
            </w: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Unrealized loss on cash flow hedging activities, net of income tax benefit of $— and ($3), respectively</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76,756</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3"/>
              </w:rPr>
              <w:t>(400,360)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Cumulative effect adjustment</w:t>
            </w: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(333,524)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(206,050)</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from adoption of ASU 2020-06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50,106</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3"/>
              </w:rPr>
              <w:t>(190,360)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3"/>
              </w:rPr>
              <w:t>(590,720)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3,608,487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1,647</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121,832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172,094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68,192</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50,070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34,485</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benefit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15,688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1,083</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7,766</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(18,245)</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(22,014)</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3,690</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51,292</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16,767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24,625</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(4,182)</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4,774</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284,997</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maturity of investments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760,000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(20,700)</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(37,292)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737,132</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50,407</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(23,784)</w:t>
            </w:r>
          </w:p>
        </w:tc>
      </w:tr>
      <w:tr>
        <w:trPr>
          <w:trHeight w:val="216"/>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(8,347)</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18,276</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1,039,764</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1,057,769</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490,835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2,097,533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right="40" w:hanging="327"/>
        <w:spacing w:after="0" w:line="303"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42" w:lineRule="exact"/>
        <w:rPr>
          <w:rFonts w:ascii="Arial" w:cs="Arial" w:eastAsia="Arial" w:hAnsi="Arial"/>
          <w:sz w:val="16"/>
          <w:szCs w:val="16"/>
          <w:color w:val="auto"/>
        </w:rPr>
      </w:pPr>
    </w:p>
    <w:p>
      <w:pPr>
        <w:ind w:left="740" w:right="140" w:hanging="327"/>
        <w:spacing w:after="0" w:line="314"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both cataplexy and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the EU, Great Britain and other markets through a licensing agreement;</w:t>
      </w:r>
    </w:p>
    <w:p>
      <w:pPr>
        <w:spacing w:after="0" w:line="33" w:lineRule="exact"/>
        <w:rPr>
          <w:rFonts w:ascii="Arial" w:cs="Arial" w:eastAsia="Arial" w:hAnsi="Arial"/>
          <w:sz w:val="16"/>
          <w:szCs w:val="16"/>
          <w:color w:val="auto"/>
        </w:rPr>
      </w:pPr>
    </w:p>
    <w:p>
      <w:pPr>
        <w:ind w:left="740" w:right="80" w:hanging="327"/>
        <w:spacing w:after="0" w:line="298"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or LGS, Dravet syndrome, or DS, or tuberous sclerosis complex, or TSC, in patients one year of age or older; in the EU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45" w:lineRule="exact"/>
        <w:rPr>
          <w:rFonts w:ascii="Arial" w:cs="Arial" w:eastAsia="Arial" w:hAnsi="Arial"/>
          <w:sz w:val="16"/>
          <w:szCs w:val="16"/>
          <w:color w:val="auto"/>
        </w:rPr>
      </w:pPr>
    </w:p>
    <w:p>
      <w:pPr>
        <w:ind w:left="740" w:right="220" w:hanging="327"/>
        <w:spacing w:after="0" w:line="282"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Sunosi</w:t>
      </w:r>
      <w:r>
        <w:rPr>
          <w:rFonts w:ascii="Arial" w:cs="Arial" w:eastAsia="Arial" w:hAnsi="Arial"/>
          <w:sz w:val="18"/>
          <w:szCs w:val="18"/>
          <w:color w:val="auto"/>
        </w:rPr>
        <w:t>®</w:t>
      </w:r>
      <w:r>
        <w:rPr>
          <w:rFonts w:ascii="Arial" w:cs="Arial" w:eastAsia="Arial" w:hAnsi="Arial"/>
          <w:sz w:val="18"/>
          <w:szCs w:val="18"/>
          <w:b w:val="1"/>
          <w:bCs w:val="1"/>
          <w:color w:val="auto"/>
        </w:rPr>
        <w:t xml:space="preserve"> (solriamfetol)</w:t>
      </w:r>
      <w:r>
        <w:rPr>
          <w:rFonts w:ascii="Arial" w:cs="Arial" w:eastAsia="Arial" w:hAnsi="Arial"/>
          <w:sz w:val="18"/>
          <w:szCs w:val="18"/>
          <w:color w:val="auto"/>
        </w:rPr>
        <w:t>, a product approved by FDA and marketed in the U.S., Canada, EU and Great Britain to improve wakefulness in adult</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EDS associated with narcolepsy or obstructive sleep apnea, or OSA; and</w:t>
      </w:r>
    </w:p>
    <w:p>
      <w:pPr>
        <w:spacing w:after="0" w:line="53" w:lineRule="exact"/>
        <w:rPr>
          <w:rFonts w:ascii="Arial" w:cs="Arial" w:eastAsia="Arial" w:hAnsi="Arial"/>
          <w:sz w:val="18"/>
          <w:szCs w:val="18"/>
          <w:color w:val="auto"/>
        </w:rPr>
      </w:pPr>
    </w:p>
    <w:p>
      <w:pPr>
        <w:ind w:left="740" w:right="240" w:hanging="327"/>
        <w:spacing w:after="0" w:line="261"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approved and marketed in more than 25 markets outside the U.S. as treatment for symptom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100" w:hanging="327"/>
        <w:spacing w:after="0" w:line="261"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and launched in the U.S. in July 2020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120" w:hanging="327"/>
        <w:spacing w:after="0" w:line="289"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Rylaze® (recombinant Erwinia asparaginase)</w:t>
      </w:r>
      <w:r>
        <w:rPr>
          <w:rFonts w:ascii="Arial" w:cs="Arial" w:eastAsia="Arial" w:hAnsi="Arial"/>
          <w:sz w:val="17"/>
          <w:szCs w:val="17"/>
          <w:color w:val="auto"/>
        </w:rPr>
        <w:t>, a product approved by FDA in June 2021 and launched in the U.S. in July 2021 for use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49" w:lineRule="exact"/>
        <w:rPr>
          <w:rFonts w:ascii="Arial" w:cs="Arial" w:eastAsia="Arial" w:hAnsi="Arial"/>
          <w:sz w:val="17"/>
          <w:szCs w:val="17"/>
          <w:color w:val="auto"/>
        </w:rPr>
      </w:pPr>
    </w:p>
    <w:p>
      <w:pPr>
        <w:ind w:left="740" w:hanging="327"/>
        <w:spacing w:after="0" w:line="281"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Vyxeos® (daunorubicin and cytarabine) liposome for injection</w:t>
      </w:r>
      <w:r>
        <w:rPr>
          <w:rFonts w:ascii="Arial" w:cs="Arial" w:eastAsia="Arial" w:hAnsi="Arial"/>
          <w:sz w:val="17"/>
          <w:szCs w:val="17"/>
          <w:color w:val="auto"/>
        </w:rPr>
        <w:t>, a product approved in the U.S., Canada, EU, Great Britain, and recently in</w:t>
      </w:r>
      <w:r>
        <w:rPr>
          <w:rFonts w:ascii="Arial" w:cs="Arial" w:eastAsia="Arial" w:hAnsi="Arial"/>
          <w:sz w:val="17"/>
          <w:szCs w:val="17"/>
          <w:b w:val="1"/>
          <w:bCs w:val="1"/>
          <w:color w:val="auto"/>
        </w:rPr>
        <w:t xml:space="preserve"> </w:t>
      </w:r>
      <w:r>
        <w:rPr>
          <w:rFonts w:ascii="Arial" w:cs="Arial" w:eastAsia="Arial" w:hAnsi="Arial"/>
          <w:sz w:val="17"/>
          <w:szCs w:val="17"/>
          <w:color w:val="auto"/>
        </w:rPr>
        <w:t>Switzerland (marketed as Vyxeos® liposomal in the EU and Great Britain)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right="100" w:hanging="327"/>
        <w:spacing w:after="0" w:line="258"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(hepatic-veno occlusive disease). It is currently approved in the EU, Great Britain and other markets for the treatment of severe hepatic VOD, also known as sinusoidal obstructive syndrome, or SOS, in HSCT therapy. It is indicated in adults and pediatric patients over 1 month of age.</w:t>
      </w:r>
    </w:p>
    <w:p>
      <w:pPr>
        <w:spacing w:after="0" w:line="79"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97" w:lineRule="exact"/>
        <w:rPr>
          <w:sz w:val="20"/>
          <w:szCs w:val="20"/>
          <w:color w:val="auto"/>
        </w:rPr>
      </w:pPr>
    </w:p>
    <w:p>
      <w:pPr>
        <w:ind w:right="16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months ended March 31, 2022 are not necessarily indicative of the results to be expected for the year ending December 31, 2022, for any other interim period or for any future period.</w:t>
      </w:r>
    </w:p>
    <w:p>
      <w:pPr>
        <w:spacing w:after="0" w:line="63" w:lineRule="exact"/>
        <w:rPr>
          <w:sz w:val="20"/>
          <w:szCs w:val="20"/>
          <w:color w:val="auto"/>
        </w:rPr>
      </w:pPr>
    </w:p>
    <w:p>
      <w:pPr>
        <w:ind w:right="100" w:firstLine="445"/>
        <w:spacing w:after="0" w:line="223" w:lineRule="exact"/>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other than as described below.</w:t>
      </w:r>
    </w:p>
    <w:p>
      <w:pPr>
        <w:spacing w:after="0" w:line="9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August 2020, the Financial Accounting Standards Board, or FASB, issued ASU No. 2020-06, “Debt—Debt with Conversion and Other Options (Subtopic 470-20) and Derivatives and Hedging— Contracts in Entity’s Own Equity (Subtopic 815-40): Accounting for Convertible Instruments and Contracts in an Entity’s Own Equity”, or ASU 2020-06. ASU 2020-06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The Company adopted ASU 2020-06 on January 1, 2022, on a modified retrospective basis. This impacted the accounting for our 1.50% exchangeable senior notes due 2024, or the 2024 Notes, and our 2.00% exchangeable senior notes due 2026, or the 2026 Notes, collectively known as the Exchangeable Senior Notes. As a result of the adoption of ASU 2020-06, the Exchangeable Senior Notes are now accounted for entirely as liabilities measured at amortized cost. ASU 2020-06 also removes certain settlement conditions that are required for contracts to qualify for equity classification and eliminates the treasury stock method to calculate diluted earnings per share for convertible instruments and requires the use of the if-converted method.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adoption of ASU 2020-06 resulted in the following adjustments to the condensed consolidated balance sheet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Item:</w:t>
            </w: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9"/>
              </w:rPr>
              <w:t>December 31, 2021</w:t>
            </w:r>
          </w:p>
        </w:tc>
        <w:tc>
          <w:tcPr>
            <w:tcW w:w="2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Adoption of ASU</w:t>
            </w:r>
          </w:p>
        </w:tc>
        <w:tc>
          <w:tcPr>
            <w:tcW w:w="4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188"/>
        </w:trPr>
        <w:tc>
          <w:tcPr>
            <w:tcW w:w="6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2020-06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6,018,943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6,225,102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957,700</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3,534,792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80" w:firstLine="445"/>
        <w:spacing w:after="0" w:line="259" w:lineRule="auto"/>
        <w:rPr>
          <w:sz w:val="20"/>
          <w:szCs w:val="20"/>
          <w:color w:val="auto"/>
        </w:rPr>
      </w:pPr>
      <w:r>
        <w:rPr>
          <w:rFonts w:ascii="Arial" w:cs="Arial" w:eastAsia="Arial" w:hAnsi="Arial"/>
          <w:sz w:val="18"/>
          <w:szCs w:val="18"/>
          <w:color w:val="auto"/>
        </w:rPr>
        <w:t>Interest expense on the Exchangeable Senior Notes will be lower as a result of adoption of this guidance. During the three months ended March 31, 2022 the effect of adoption reduced interest expense, net and increased net income by approximately $12 million and increased basic and diluted EPS by approximately $0.19 per share. For the three months ended March 31, 2022, the Exchangeable Senior Notes were determined to be anti-dilutive. The adoption of ASU 2020-06 did not impact our cash flows or compliance with debt covenants.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 xml:space="preserve">We have implemented a comprehensive response strategy designed to manage the ongoing impact of the COVID-19 pandemic on our employees, patients and our business. The prolonged nature of the pandemic is negatively impacting our business in a varied manner due to the emergence of the Delta and Omicron variants and other variants with increased transmissibility, even in some cases in vaccinated people, limited access to health care provider offices and institutions and the willingness of patients or parents of patients to seek treatment. We believe these dynamics have negatively impacted new patient starts in the U.S. and Europe.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 observe, and expect to</w:t>
      </w:r>
      <w:r>
        <w:rPr>
          <w:rFonts w:ascii="Arial" w:cs="Arial" w:eastAsia="Arial" w:hAnsi="Arial"/>
          <w:sz w:val="16"/>
          <w:szCs w:val="16"/>
          <w:color w:val="auto"/>
        </w:rPr>
        <w:t xml:space="preserve"> </w:t>
      </w:r>
      <w:r>
        <w:rPr>
          <w:rFonts w:ascii="Arial" w:cs="Arial" w:eastAsia="Arial" w:hAnsi="Arial"/>
          <w:sz w:val="16"/>
          <w:szCs w:val="16"/>
          <w:color w:val="212529"/>
        </w:rPr>
        <w:t xml:space="preserve">continue to observe, a gradual normalization in patient and health care provider practices, as providers and patients have adapted their behaviors and procedures to the evolving circumstances and as COVID-19 vaccines continue to be administered. </w:t>
      </w:r>
      <w:r>
        <w:rPr>
          <w:rFonts w:ascii="Arial" w:cs="Arial" w:eastAsia="Arial" w:hAnsi="Arial"/>
          <w:sz w:val="16"/>
          <w:szCs w:val="16"/>
          <w:color w:val="000000"/>
        </w:rPr>
        <w:t>With respect to our commercialization activities, while</w:t>
      </w:r>
      <w:r>
        <w:rPr>
          <w:rFonts w:ascii="Arial" w:cs="Arial" w:eastAsia="Arial" w:hAnsi="Arial"/>
          <w:sz w:val="16"/>
          <w:szCs w:val="16"/>
          <w:color w:val="212529"/>
        </w:rPr>
        <w:t xml:space="preserve"> </w:t>
      </w:r>
      <w:r>
        <w:rPr>
          <w:rFonts w:ascii="Arial" w:cs="Arial" w:eastAsia="Arial" w:hAnsi="Arial"/>
          <w:sz w:val="16"/>
          <w:szCs w:val="16"/>
          <w:color w:val="000000"/>
        </w:rPr>
        <w:t>there continues to be some negative impact on demand, new patient starts and treatments for our products arising from the pandemic, primarily due to the inherent limitations of telemedicine and a reprioritization of healthcare resources toward COVID-19, we have seen improvements as healthcare systems have adapted to cope with the ongoing situation.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w:t>
      </w:r>
    </w:p>
    <w:p>
      <w:pPr>
        <w:spacing w:after="0" w:line="66" w:lineRule="exact"/>
        <w:rPr>
          <w:sz w:val="20"/>
          <w:szCs w:val="20"/>
          <w:color w:val="auto"/>
        </w:rPr>
      </w:pPr>
    </w:p>
    <w:p>
      <w:pPr>
        <w:ind w:right="80" w:firstLine="445"/>
        <w:spacing w:after="0" w:line="288" w:lineRule="auto"/>
        <w:rPr>
          <w:sz w:val="20"/>
          <w:szCs w:val="20"/>
          <w:color w:val="auto"/>
        </w:rPr>
      </w:pPr>
      <w:r>
        <w:rPr>
          <w:rFonts w:ascii="Arial" w:cs="Arial" w:eastAsia="Arial" w:hAnsi="Arial"/>
          <w:sz w:val="16"/>
          <w:szCs w:val="16"/>
          <w:color w:val="auto"/>
        </w:rPr>
        <w:t>Our business has been substantially dependent on Xyrem and while we expect that our business will continue to be substantially dependent on oxybate product sales from both Xyrem and Xywav, there is no guarantee that we can maintain oxybate revenues at or near current levels, or that oxybate revenues will continue to grow. Our ability to maintain or increase oxybate revenues and realize the anticipated benefits from our investment in Xywav are subject to a number of risks and uncertainties including, without limitation, those related to the launch of Xywav for the treatment of idiopathic hypersomnia in adults and adoption in that indication; competition from the introduction of authorized generic and generic versions of sodium oxybate and new products for treatment of cataplexy and/or EDS in narcolepsy in the U.S. market and from other competitors; the current and potential impacts of the COVID-19 pandemic, including the current and expected future negative impact on demand for our products;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pending antitrust and intellectual property litigation; and continued acceptance of Xywav and Xyrem by physicians and patients.</w:t>
      </w:r>
    </w:p>
    <w:p>
      <w:pPr>
        <w:spacing w:after="0" w:line="60"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recently approved or acquired products such as Epidiolex, Zepzelca and Rylaze; obtaining and maintaining adequate coverage and reimbursement for our products; contracting and rebates to pharmacy benefit managers that reduces our net revenue; increasing scrutiny of pharmaceutical product pricing and resulting changes in healthcare laws and policy; market acceptance; regulatory concerns with controlled substances generally and the potential for abuse; future legislation, action by the U.S. Drug Enforcement Administration, or DEA, or FDA action authorizing the sale, distribution, use, and insurance reimbursement of non-FDA approved cannabinoid products; delays or problems in the supply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GW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March 31, 2022, we had foreign exchange forward contracts with notional amounts totaling $610.1 million. As of March 31, 2022, the outstanding foreign exchange forward contracts had a net liability fair value of $4.7 million. The counterparties to these contracts are large multinational commercial banks, and we believe the risk of nonperformance is not significant.</w:t>
      </w:r>
    </w:p>
    <w:p>
      <w:pPr>
        <w:spacing w:after="0" w:line="80"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2022 and December 31, 2021, allowances on receivables were not material. As of March 31, 2022, three customers accounted for 74% of gross accounts receivable, Express Scripts Specialty Distribution Services, Inc. and its affiliates, or ESSDS, which accounted for 55% of gross accounts receivable, McKesson Corporation and affiliates, or McKesson, which accounted for 10% of gross accounts receivable, and Cardinal Health, Inc., or Cardinal, which accounted for 9% of gross accounts receivable. As of December 31, 2021, three customers accounted for 74% of gross accounts receivable, ESSDS, which accounted for 52% of gross accounts receivable, McKesson, which accounted for 12% of gross accounts receivable, and Cardinal, which accounted for 10% of gross accounts receivable.</w:t>
      </w:r>
    </w:p>
    <w:p>
      <w:pPr>
        <w:spacing w:after="0" w:line="64"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new guidance is not expected to have a material impact on our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2022</w:t>
            </w: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9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Cash and</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9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Equivalents</w:t>
            </w:r>
          </w:p>
        </w:tc>
        <w:tc>
          <w:tcPr>
            <w:tcW w:w="0" w:type="dxa"/>
            <w:vAlign w:val="bottom"/>
          </w:tcPr>
          <w:p>
            <w:pPr>
              <w:spacing w:after="0"/>
              <w:rPr>
                <w:sz w:val="1"/>
                <w:szCs w:val="1"/>
                <w:color w:val="auto"/>
              </w:rPr>
            </w:pPr>
          </w:p>
        </w:tc>
      </w:tr>
      <w:tr>
        <w:trPr>
          <w:trHeight w:val="224"/>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410,125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410,125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410,125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9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1"/>
              </w:rPr>
              <w:t>Cash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45"/>
        <w:spacing w:after="0" w:line="286" w:lineRule="auto"/>
        <w:rPr>
          <w:sz w:val="20"/>
          <w:szCs w:val="20"/>
          <w:color w:val="auto"/>
        </w:rPr>
      </w:pPr>
      <w:r>
        <w:rPr>
          <w:rFonts w:ascii="Arial" w:cs="Arial" w:eastAsia="Arial" w:hAnsi="Arial"/>
          <w:sz w:val="17"/>
          <w:szCs w:val="17"/>
          <w:color w:val="auto"/>
        </w:rPr>
        <w:t>Cash equivalents are considered available-for-sale securities. We use the specific-identification method for calculating realized gains and losses on securities sold and include them in interest expense, net in the condensed consolidated statements of income. Interest income from available-for-sale securities was $0.2 million and $1.2 million in the three months ended March 31, 2022 and 2021,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0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2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As of March 31, 2022, our available-for-sale securities included money market funds and their carrying values were approximately equal to their fair values. Money market funds were measured using quoted prices in active markets, which represent Level 1 inputs.</w:t>
      </w:r>
    </w:p>
    <w:p>
      <w:pPr>
        <w:spacing w:after="0" w:line="62"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Our derivative assets and liabilities include foreign exchange derivatives that are measured at fair value using observable market inputs such as forward rates and based on these inputs, the derivative assets and liabilities are classified within Level 2 of the fair value hierarchy. The cross-currency interest rate swap contract matured on March 31, 2022.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2022 or 2021.</w:t>
      </w:r>
    </w:p>
    <w:p>
      <w:pPr>
        <w:spacing w:after="0" w:line="11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As of March 31, 2022 and December 31, 2021, the carrying amount of investments measured using the measurement alternative for equity investments without a readily determinable fair value was $5.0 million. The carrying amount, which is recorded within other non-current assets, is based on the latest observable transaction price.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As of March 31, 2022, the estimated fair values of the 2024 Notes, the 2026 Notes, the 4.375% senior secured notes, due 2029, or the Secured Notes, and the seven-year $3.1 billion term loan B facility, or the Dollar Term Loan, were approximately $594 million, $1.2 billion, $1.5 billion and $3.1 billion respectively. The fair values of each of these debt facilities was estimated using quoted market prices obtained from brokers (Level 2).</w:t>
      </w:r>
    </w:p>
    <w:p>
      <w:pPr>
        <w:spacing w:after="0" w:line="4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As of March 31, 2022, assets measured at fair value on a non-recurring basis subsequent to initial recognition included assets classified as held for sale on the condensed consolidated balance sheet. These assets related to an asset purchase agreement with Axsome Therapeutics, or Axsome, pursuant to which Axsome will purchase certain assets related to Sunosi. Refer to Note 15, Assets Held for Sale, for additional information. The carrying amount of $90.9 million for assets held for sale is equal to estimated fair value, which is based on the sales price agreed less costs to sell, and represents a Level 3 input.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 and Hedging Activities</w:t>
      </w:r>
    </w:p>
    <w:p>
      <w:pPr>
        <w:spacing w:after="0" w:line="12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79"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order to hedge our exposure to foreign currency exchange risk associated with our Euro Term Loan, we entered into a cross-currency interest rate swap contract in May 2021, which matured on March 31, 2022.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condensed consolidated statements of income.</w:t>
      </w:r>
    </w:p>
    <w:p>
      <w:pPr>
        <w:spacing w:after="0" w:line="80"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140" w:type="dxa"/>
            <w:vAlign w:val="bottom"/>
          </w:tcPr>
          <w:p>
            <w:pPr>
              <w:spacing w:after="0"/>
              <w:rPr>
                <w:sz w:val="14"/>
                <w:szCs w:val="14"/>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95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22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reclassified from accumulated other comprehensive income (loss) to foreign exchange gain (loss),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also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March 31, 2022 and December 31, 2021, the notional amount of foreign exchange contracts where hedge accounting is not applied was $610.1 million and $347.2 million, respectively.</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foreign exchange gain (loss) in our condensed consolidated statements of income included the following losses associated with foreign exchange contracts not designated as hedging instruments (in thousands):</w:t>
      </w:r>
    </w:p>
    <w:p>
      <w:pPr>
        <w:spacing w:after="0" w:line="138"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Foreign Exchange Forward Contracts: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r>
    </w:tbl>
    <w:p>
      <w:pPr>
        <w:spacing w:after="0" w:line="175"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cash flow effects of our derivative contracts for the three months ended March 31, 2022 and 2021 are included within net cash provided by operating activities in the condensed consolidated statements of cash flows, except for the settlement of notional amounts of the cross-currency interest rate contract, which are included in net cash provided by (used in) financing activities.</w:t>
      </w:r>
    </w:p>
    <w:p>
      <w:pPr>
        <w:spacing w:after="0" w:line="7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impact on accumulated other comprehensive income (loss) and earnings from interest rate swap contracts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was as follows (in thousands):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Contracts:</w:t>
            </w:r>
          </w:p>
        </w:tc>
        <w:tc>
          <w:tcPr>
            <w:tcW w:w="5420" w:type="dxa"/>
            <w:vAlign w:val="bottom"/>
          </w:tcPr>
          <w:p>
            <w:pPr>
              <w:jc w:val="center"/>
              <w:ind w:left="4028"/>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5420" w:type="dxa"/>
            <w:vAlign w:val="bottom"/>
          </w:tcPr>
          <w:p>
            <w:pPr>
              <w:jc w:val="center"/>
              <w:ind w:left="4028"/>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2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w w:val="98"/>
              </w:rPr>
              <w:t>Loss reclassified from accumulated other comprehensive income (loss) to interest expense, net of tax</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20" w:type="dxa"/>
            <w:vAlign w:val="bottom"/>
            <w:gridSpan w:val="2"/>
          </w:tcPr>
          <w:p>
            <w:pPr>
              <w:ind w:left="44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23"/>
                <w:szCs w:val="23"/>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Derivatives designated as hedging instruments:</w:t>
            </w:r>
          </w:p>
        </w:tc>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Cross-currency interest rate contract</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fair value of derivative liability instruments</w:t>
            </w:r>
          </w:p>
        </w:tc>
        <w:tc>
          <w:tcPr>
            <w:tcW w:w="37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cross-currency interest rate contracts and foreign exchange forward contracts subject to such provisions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March 31, 2022</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Cash Collateral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(Pledged)</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412"/>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Sheet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Cash Collateral</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Received</w:t>
            </w:r>
          </w:p>
        </w:tc>
        <w:tc>
          <w:tcPr>
            <w:tcW w:w="160" w:type="dxa"/>
            <w:vAlign w:val="bottom"/>
          </w:tcPr>
          <w:p>
            <w:pPr>
              <w:spacing w:after="0"/>
              <w:rPr>
                <w:sz w:val="11"/>
                <w:szCs w:val="11"/>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(Pledged)</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775,804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886,849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164,322</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1,072,721</w:t>
            </w:r>
          </w:p>
        </w:tc>
      </w:tr>
      <w:tr>
        <w:trPr>
          <w:trHeight w:val="21"/>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As of March 31, 2022 and December 31, 2021 inventories included $727.4 million and $811.3 million, respectively, related to the purchase accounting inventory fair value step-up on inventory acquired in the GW Acquisition.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r>
      <w:tr>
        <w:trPr>
          <w:trHeight w:val="229"/>
        </w:trPr>
        <w:tc>
          <w:tcPr>
            <w:tcW w:w="9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Goodwill allocated to assets held for sale </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(32,238)</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1,782,444</w:t>
            </w:r>
          </w:p>
        </w:tc>
      </w:tr>
      <w:tr>
        <w:trPr>
          <w:trHeight w:val="21"/>
        </w:trPr>
        <w:tc>
          <w:tcPr>
            <w:tcW w:w="9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 March 2022, we entered into a definitive agreement to divest Sunosi to Axsome. See Note 15 for further information relating to this transaction.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11.2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7,948,903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(1,316,734)</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6,632,169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8,195,675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(1,198,333)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28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7,963,673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(1,331,504)</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6,632,169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8,210,692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Acquired in-process research</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development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8,114,561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(1,331,504)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6,783,057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8,365,678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decrease in the gross carrying amount of intangible assets as of March 31, 2022 compared to December 31, 2021 primarily reflects the reclassification of the Sunosi intangible asset to assets held for sale as a result of the execution of the definitive agreement to divest Sunosi to Axsome in March 2022, partially offset by the negative impact of foreign currency translation adjustments due to the weakening of sterling and euro against the U.S. dollar.</w:t>
      </w:r>
    </w:p>
    <w:p>
      <w:pPr>
        <w:spacing w:after="0" w:line="79"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Based on finite-lived intangible assets recorded as of March 31, 2022, and assuming the underlying assets will not be impaired and that we will not change the expected lives of the assets, future amortization expenses were estimated as follows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 Amortization</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2022 (remainder)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260" w:hanging="976"/>
        <w:spacing w:after="0"/>
        <w:tabs>
          <w:tab w:leader="none" w:pos="2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455,447</w:t>
      </w:r>
    </w:p>
    <w:p>
      <w:pPr>
        <w:spacing w:after="0" w:line="45"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color w:val="auto"/>
        </w:rPr>
        <w:t>607,262</w:t>
      </w:r>
    </w:p>
    <w:p>
      <w:pPr>
        <w:spacing w:after="0" w:line="45"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color w:val="auto"/>
        </w:rPr>
        <w:t>607,262</w:t>
      </w:r>
    </w:p>
    <w:p>
      <w:pPr>
        <w:spacing w:after="0" w:line="45"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color w:val="auto"/>
        </w:rPr>
        <w:t>607,262</w:t>
      </w:r>
    </w:p>
    <w:p>
      <w:pPr>
        <w:spacing w:after="0" w:line="45"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6"/>
          <w:szCs w:val="16"/>
          <w:color w:val="auto"/>
        </w:rPr>
        <w:t>607,262</w:t>
      </w:r>
    </w:p>
    <w:p>
      <w:pPr>
        <w:spacing w:after="0" w:line="4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3,747,674</w:t>
      </w:r>
    </w:p>
    <w:p>
      <w:pPr>
        <w:spacing w:after="0" w:line="58" w:lineRule="exact"/>
        <w:rPr>
          <w:sz w:val="20"/>
          <w:szCs w:val="20"/>
          <w:color w:val="auto"/>
        </w:rPr>
      </w:pPr>
    </w:p>
    <w:p>
      <w:pPr>
        <w:ind w:left="2120" w:hanging="836"/>
        <w:spacing w:after="0"/>
        <w:tabs>
          <w:tab w:leader="none" w:pos="2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6,632,169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55245</wp:posOffset>
            </wp:positionV>
            <wp:extent cx="1045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180"/>
        <w:spacing w:after="0"/>
        <w:tabs>
          <w:tab w:leader="none" w:pos="19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9" w:lineRule="exact"/>
        <w:rPr>
          <w:sz w:val="20"/>
          <w:szCs w:val="20"/>
          <w:color w:val="auto"/>
        </w:rPr>
      </w:pPr>
    </w:p>
    <w:p>
      <w:pPr>
        <w:sectPr>
          <w:pgSz w:w="11900" w:h="16838" w:orient="portrait"/>
          <w:cols w:equalWidth="0" w:num="2">
            <w:col w:w="7580" w:space="720"/>
            <w:col w:w="2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5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88,111</w:t>
            </w: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5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350,328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5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20" w:type="dxa"/>
            <w:vAlign w:val="bottom"/>
            <w:vMerge w:val="restart"/>
          </w:tcPr>
          <w:p>
            <w:pPr>
              <w:ind w:left="460"/>
              <w:spacing w:after="0"/>
              <w:rPr>
                <w:sz w:val="20"/>
                <w:szCs w:val="20"/>
                <w:color w:val="auto"/>
              </w:rPr>
            </w:pPr>
            <w:r>
              <w:rPr>
                <w:rFonts w:ascii="Arial" w:cs="Arial" w:eastAsia="Arial" w:hAnsi="Arial"/>
                <w:sz w:val="18"/>
                <w:szCs w:val="18"/>
                <w:color w:val="auto"/>
                <w:w w:val="96"/>
              </w:rPr>
              <w:t>Other current assets consisted of the following (in thousands):</w:t>
            </w:r>
          </w:p>
        </w:tc>
        <w:tc>
          <w:tcPr>
            <w:tcW w:w="2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2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262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6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77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Employee compensation and benefits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126,479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Sales return reserve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Inventory-related accruals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Consulting and professional services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Selling and marketing accruals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Accrued construction-in-progress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milestones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8. Debt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The following table summarizes the carrying amount of our indebtedness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2024 Notes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Unamortized - debt issuance costs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 equity component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2024 Notes, net</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570,977</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503,763</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2026 Notes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Unamortized - debt issuance costs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Unamortized discount - equity component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Notes, net</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989,121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849,270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2,989,424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6,023,868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6,049,943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5,992,868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6,018,943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0" w:lineRule="exact"/>
        <w:rPr>
          <w:sz w:val="20"/>
          <w:szCs w:val="20"/>
          <w:color w:val="auto"/>
        </w:rPr>
      </w:pPr>
    </w:p>
    <w:p>
      <w:pPr>
        <w:ind w:right="40" w:firstLine="8"/>
        <w:spacing w:after="0" w:line="251"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May 2021, we entered into a credit agreement that provided for (i) the Dollar Term Loan, (ii) a seven-year $625.0 million term loan B facility, or the Euro Term Loan, together with the Dollar Term Loan, collectively known as the Term Loan and (iii) a five-year $500.0 million revolving credit facility. In 2021 we made voluntary prepayments on the Euro Term Loan totaling €416.7 million, or $502.0 million, and in March 2022 we repaid the remaining outstanding principal of €208.3 million, or $251.0 million.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2026</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2020 we completed a private placement of $1.0 billion principal amount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withholding or deductions required in respect of payments on the 2026 Notes. The 2026 Notes mature on June 15, 2026, unless earlier exchanged, repurchased or redeemed.</w:t>
      </w:r>
    </w:p>
    <w:p>
      <w:pPr>
        <w:spacing w:after="0" w:line="62"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Following the adoption of ASU 2020-06, the 2026 Notes are accounted for as a single liability measured at its amortized cost. The total liability is reflected net of issuance costs of $15.3 million which will be amortized over the term of the 2026 Notes. The effective interest rate of the 2026 Notes is 2.26%. During the three months ended March 31, 2022, we recognized interest expense of $5.5 million, of which $5.0 million related to the contractual coupon rate and $0.5 million related to the amortization of debt issuance costs. Please see Note 1 for further information on the adoption of ASU 2020-06.</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2024</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2017, we completed a private placement of $575.0 million principal amount of 2024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79"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firstLine="445"/>
        <w:spacing w:after="0" w:line="291" w:lineRule="auto"/>
        <w:rPr>
          <w:sz w:val="20"/>
          <w:szCs w:val="20"/>
          <w:color w:val="auto"/>
        </w:rPr>
      </w:pPr>
      <w:r>
        <w:rPr>
          <w:rFonts w:ascii="Arial" w:cs="Arial" w:eastAsia="Arial" w:hAnsi="Arial"/>
          <w:sz w:val="16"/>
          <w:szCs w:val="16"/>
          <w:color w:val="auto"/>
        </w:rPr>
        <w:t>Following adoption of ASU 2020-06, the 2024 Notes are accounted for as a single liability measured at its amortized cost. The total liability is reflected net of issuance costs of $11.4 million which will be amortized over the term of the 2024 Notes. The effective interest rate of the 2024 Notes is</w:t>
      </w:r>
    </w:p>
    <w:p>
      <w:pPr>
        <w:ind w:right="100"/>
        <w:spacing w:after="0" w:line="323" w:lineRule="auto"/>
        <w:rPr>
          <w:sz w:val="20"/>
          <w:szCs w:val="20"/>
          <w:color w:val="auto"/>
        </w:rPr>
      </w:pPr>
      <w:r>
        <w:rPr>
          <w:rFonts w:ascii="Arial" w:cs="Arial" w:eastAsia="Arial" w:hAnsi="Arial"/>
          <w:sz w:val="16"/>
          <w:szCs w:val="16"/>
          <w:color w:val="auto"/>
        </w:rPr>
        <w:t>1.79%. During the three months ended March 31, 2022, we recognized interest expense of $2.5 million, of which $2.1 million related to the contractual coupon rate and $0.4 million related to the amortization of debt issuance costs. Please see Note 1 for further information on the adoption of ASU 2020-06.</w:t>
      </w:r>
    </w:p>
    <w:p>
      <w:pPr>
        <w:spacing w:after="0" w:line="30"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maturities with respect to our long-term debt principal balances outstanding as of March 31, 2022 were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2022 and December 31, 2021.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As of March 31, 2022, we had $74.4 million of noncancelable purchase commitments due within one year, primarily related to agreements with third party manufacturers.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From June 2020 to February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9"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December 2020, the above cases were centralized and transferred to the United States District Court for the Northern District of California, where the multidistrict litigation will proceed for the purpose of discovery and pre-trial proceedings. In January 2021, the United States District Court for the Northern District of California issued a Case Management Order that schedules this case for trial in February 2023.</w:t>
      </w:r>
    </w:p>
    <w:p>
      <w:pPr>
        <w:spacing w:after="0" w:line="57" w:lineRule="exact"/>
        <w:rPr>
          <w:sz w:val="20"/>
          <w:szCs w:val="20"/>
          <w:color w:val="auto"/>
        </w:rPr>
      </w:pPr>
    </w:p>
    <w:p>
      <w:pPr>
        <w:ind w:right="460" w:firstLine="445"/>
        <w:spacing w:after="0" w:line="263" w:lineRule="auto"/>
        <w:rPr>
          <w:sz w:val="20"/>
          <w:szCs w:val="20"/>
          <w:color w:val="auto"/>
        </w:rPr>
      </w:pPr>
      <w:r>
        <w:rPr>
          <w:rFonts w:ascii="Arial" w:cs="Arial" w:eastAsia="Arial" w:hAnsi="Arial"/>
          <w:sz w:val="18"/>
          <w:szCs w:val="18"/>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6"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jc w:val="both"/>
        <w:ind w:right="420" w:firstLine="445"/>
        <w:spacing w:after="0" w:line="311" w:lineRule="auto"/>
        <w:rPr>
          <w:sz w:val="20"/>
          <w:szCs w:val="20"/>
          <w:color w:val="auto"/>
        </w:rPr>
      </w:pPr>
      <w:r>
        <w:rPr>
          <w:rFonts w:ascii="Arial" w:cs="Arial" w:eastAsia="Arial" w:hAnsi="Arial"/>
          <w:sz w:val="16"/>
          <w:szCs w:val="16"/>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hearing on class certification is scheduled for November 2022. A trial date will be set following a ruling on class certification.</w:t>
      </w:r>
    </w:p>
    <w:p>
      <w:pPr>
        <w:spacing w:after="0" w:line="117"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78"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 xml:space="preserve">On April 14, 2022, Avadel sued us in the United States District Court for the District of Delaware. Avadel’s new suit alleges </w:t>
      </w:r>
      <w:r>
        <w:rPr>
          <w:rFonts w:ascii="Arial" w:cs="Arial" w:eastAsia="Arial" w:hAnsi="Arial"/>
          <w:sz w:val="18"/>
          <w:szCs w:val="18"/>
          <w:color w:val="242424"/>
        </w:rPr>
        <w:t>that we misappropriated</w:t>
      </w:r>
      <w:r>
        <w:rPr>
          <w:rFonts w:ascii="Arial" w:cs="Arial" w:eastAsia="Arial" w:hAnsi="Arial"/>
          <w:sz w:val="18"/>
          <w:szCs w:val="18"/>
          <w:color w:val="auto"/>
        </w:rPr>
        <w:t xml:space="preserve"> </w:t>
      </w:r>
      <w:r>
        <w:rPr>
          <w:rFonts w:ascii="Arial" w:cs="Arial" w:eastAsia="Arial" w:hAnsi="Arial"/>
          <w:sz w:val="18"/>
          <w:szCs w:val="18"/>
          <w:color w:val="242424"/>
        </w:rPr>
        <w:t>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 of the ‘632 patent. In November 2021, the Court issued a claim construction order. On February 23, 2022, the parties filed a Joint Motion and Stipulation to Enter Final Judgment in favor of GW. On February 25, 2022, the Court granted the parties’ motion and entered final judgment in favor of GW. Pursuant to the stipulation, Canopy filed a notice of appeal of the Court’s ruling on the disputed term in March 2022.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A paragraph IV certification is a certification by a generic applicant that alleges that patents covering the branded product are invalid, unenforceable, and/or will not be infringed by the manufacture, use or sale of the generic product.</w:t>
      </w:r>
    </w:p>
    <w:p>
      <w:pPr>
        <w:spacing w:after="0" w:line="53" w:lineRule="exact"/>
        <w:rPr>
          <w:sz w:val="20"/>
          <w:szCs w:val="20"/>
          <w:color w:val="auto"/>
        </w:rPr>
      </w:pPr>
    </w:p>
    <w:p>
      <w:pPr>
        <w:ind w:right="100" w:firstLine="445"/>
        <w:spacing w:after="0" w:line="294" w:lineRule="auto"/>
        <w:rPr>
          <w:sz w:val="20"/>
          <w:szCs w:val="20"/>
          <w:color w:val="auto"/>
        </w:rPr>
      </w:pPr>
      <w:r>
        <w:rPr>
          <w:rFonts w:ascii="Arial" w:cs="Arial" w:eastAsia="Arial" w:hAnsi="Arial"/>
          <w:sz w:val="16"/>
          <w:szCs w:val="16"/>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Otsuka Patent Litigation</w:t>
      </w:r>
    </w:p>
    <w:p>
      <w:pPr>
        <w:spacing w:after="0" w:line="117"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63"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other comprehensive income (loss) as of March 31, 2022 and December 31, 2021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(190,488)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(190,488)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(190,360)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(590,720)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During the three months ended March 31, 2022, other comprehensive loss primarily reflects foreign currency translation adjustments, primarily due to the weakening of the sterling and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Ordinary Share</w:t>
      </w:r>
    </w:p>
    <w:p>
      <w:pPr>
        <w:spacing w:after="0" w:line="121" w:lineRule="exact"/>
        <w:rPr>
          <w:sz w:val="20"/>
          <w:szCs w:val="20"/>
          <w:color w:val="auto"/>
        </w:rPr>
      </w:pPr>
    </w:p>
    <w:p>
      <w:pPr>
        <w:ind w:right="120" w:firstLine="445"/>
        <w:spacing w:after="0" w:line="308" w:lineRule="auto"/>
        <w:rPr>
          <w:sz w:val="20"/>
          <w:szCs w:val="20"/>
          <w:color w:val="auto"/>
        </w:rPr>
      </w:pPr>
      <w:r>
        <w:rPr>
          <w:rFonts w:ascii="Arial" w:cs="Arial" w:eastAsia="Arial" w:hAnsi="Arial"/>
          <w:sz w:val="17"/>
          <w:szCs w:val="17"/>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per ordinary share were computed as follows (in thousands, except per share amounts):</w:t>
      </w:r>
    </w:p>
    <w:p>
      <w:pPr>
        <w:spacing w:after="0" w:line="23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75"/>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121,832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56,468</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Dilutive effect of employee equity incentive and purchase plans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Exchangeable Senior Notes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62,907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58,393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 per ordinary share: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675"/>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The potential issue of ordinary shares upon exchange of the Exchangeable Senior Notes was anti-dilutive and had no impact on diluted net income per ordinary share for the three months ended March 31, 2022.</w:t>
      </w:r>
    </w:p>
    <w:p>
      <w:pPr>
        <w:spacing w:after="0" w:line="70"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per ordinary share for the periods presented because including them would have an anti-dilutive effect (in thousands):</w:t>
      </w:r>
    </w:p>
    <w:p>
      <w:pPr>
        <w:spacing w:after="0" w:line="8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r>
      <w:tr>
        <w:trPr>
          <w:trHeight w:val="230"/>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2,509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3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422,572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Zepzelca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Vyxeos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Erwinaze/Erwinase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w w:val="92"/>
              </w:rPr>
              <w:t>The following table presents a summary of total revenues attributed to geographic sources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548,292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47,233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607,581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62"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3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The deferred revenue balance as of March 31, 2022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$0.5 million during the three months ended March 31, 2022, relating to these upfront payments.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deferred revenue balances are being recognized over an average of four years representing the period over which we expect to perform our research and developments obligations under each agreement.</w:t>
      </w:r>
    </w:p>
    <w:p>
      <w:pPr>
        <w:spacing w:after="0" w:line="6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three months ended March 31, 2022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5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12,436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8,643</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50,070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34,485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41,247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27,732</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There were no share options granted in the three months ended March 31, 2022. The table below shows the number of shares underlying options granted to purchase our ordinary shares, the weighted-average assumptions used in the Black-Scholes option pricing model and the resulting weighted-average grant date fair value of share options granted for the three months ended March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Three Months Ended</w:t>
            </w:r>
          </w:p>
        </w:tc>
      </w:tr>
      <w:tr>
        <w:trPr>
          <w:trHeight w:val="188"/>
        </w:trPr>
        <w:tc>
          <w:tcPr>
            <w:tcW w:w="9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2021</w:t>
            </w:r>
          </w:p>
        </w:tc>
      </w:tr>
      <w:tr>
        <w:trPr>
          <w:trHeight w:val="224"/>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51.33</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942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9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942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0.4%-0.8%</w:t>
            </w:r>
          </w:p>
        </w:tc>
      </w:tr>
      <w:tr>
        <w:trPr>
          <w:trHeight w:val="230"/>
        </w:trPr>
        <w:tc>
          <w:tcPr>
            <w:tcW w:w="9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8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152.38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169.87</w:t>
            </w:r>
          </w:p>
        </w:tc>
      </w:tr>
    </w:tbl>
    <w:p>
      <w:pPr>
        <w:spacing w:after="0" w:line="18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380" w:firstLine="445"/>
        <w:spacing w:after="0" w:line="273" w:lineRule="auto"/>
        <w:rPr>
          <w:sz w:val="20"/>
          <w:szCs w:val="20"/>
          <w:color w:val="auto"/>
        </w:rPr>
      </w:pPr>
      <w:r>
        <w:rPr>
          <w:rFonts w:ascii="Arial" w:cs="Arial" w:eastAsia="Arial" w:hAnsi="Arial"/>
          <w:sz w:val="17"/>
          <w:szCs w:val="17"/>
          <w:color w:val="auto"/>
        </w:rPr>
        <w:t>In March 2022, 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2024.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spacing w:after="0" w:line="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8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rPr>
          <w:sz w:val="20"/>
          <w:szCs w:val="20"/>
          <w:color w:val="auto"/>
        </w:rPr>
      </w:pPr>
      <w:r>
        <w:rPr>
          <w:rFonts w:ascii="Arial" w:cs="Arial" w:eastAsia="Arial" w:hAnsi="Arial"/>
          <w:sz w:val="14"/>
          <w:szCs w:val="14"/>
          <w:b w:val="1"/>
          <w:bCs w:val="1"/>
          <w:color w:val="auto"/>
        </w:rPr>
        <w:t>March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6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179.19</w:t>
            </w:r>
          </w:p>
        </w:tc>
      </w:tr>
    </w:tbl>
    <w:p>
      <w:pPr>
        <w:spacing w:after="0" w:line="17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As the PRSUs granted in March 2022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 There were no PRSUs granted in the three months ended March 31, 2021.</w:t>
      </w:r>
    </w:p>
    <w:p>
      <w:pPr>
        <w:spacing w:after="0" w:line="79"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As of March 31, 2022, compensation cost not yet recognized related to unvested share options, RSUs and PRSUs was $29.7 million, $418.8 million and $56.6 million, respectively, which is expected to be recognized over a weighted-average period of 1.6 years, 3.2 years and 2.3 years,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240" w:firstLine="445"/>
        <w:spacing w:after="0" w:line="311" w:lineRule="auto"/>
        <w:rPr>
          <w:sz w:val="20"/>
          <w:szCs w:val="20"/>
          <w:color w:val="auto"/>
        </w:rPr>
      </w:pPr>
      <w:r>
        <w:rPr>
          <w:rFonts w:ascii="Arial" w:cs="Arial" w:eastAsia="Arial" w:hAnsi="Arial"/>
          <w:sz w:val="16"/>
          <w:szCs w:val="16"/>
          <w:color w:val="auto"/>
        </w:rPr>
        <w:t>Our income tax expense was $0.5 million for the three months ended March 31, 2022, compared to $18.0 million for the same period in 2021. The decrease in the income tax expense resulted primarily from the mix of pre-tax income and losses incurred across tax jurisdictions. We do not provide for Irish income taxes on undistributed earnings of our foreign operations that are intended to be indefinitely reinvested in our foreign subsidiaries.</w:t>
      </w:r>
    </w:p>
    <w:p>
      <w:pPr>
        <w:spacing w:after="0" w:line="4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100" w:firstLine="445"/>
        <w:spacing w:after="0" w:line="288"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the U.S. (both at the federal level and in various state jurisdictions) and the U.K. In Ireland we are no longer subject to income tax audits by taxing authorities for the years prior to 2017. The U.S. jurisdictions generally have statute of limitations three to four years from the later of the return due date or the date when the return was filed. However, in the U.S. (at the federal level and in most states), carryforwards that were generated in 2017 and earlier may still be adjusted upon examination by the tax authorities. In the U.K. we are no longer subject to income tax audits by taxing authorities for the years prior to 2018. Certain of our Italian subsidiaries are currently under examination by the Italian taxing authorities for the year ended December 31, 2017. Certain of our Luxembourg subsidiaries are currently under examination by the Luxembourg taxing authorities for the years ended December 31, 2017 and 2018. Certain of our German subsidiaries are currently under examination by the German taxing authorities for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Assets Held for Sale</w:t>
      </w:r>
    </w:p>
    <w:p>
      <w:pPr>
        <w:spacing w:after="0" w:line="121" w:lineRule="exact"/>
        <w:rPr>
          <w:sz w:val="20"/>
          <w:szCs w:val="20"/>
          <w:color w:val="auto"/>
        </w:rPr>
      </w:pPr>
    </w:p>
    <w:p>
      <w:pPr>
        <w:jc w:val="both"/>
        <w:ind w:right="80" w:firstLine="445"/>
        <w:spacing w:after="0" w:line="311" w:lineRule="auto"/>
        <w:rPr>
          <w:sz w:val="20"/>
          <w:szCs w:val="20"/>
          <w:color w:val="auto"/>
        </w:rPr>
      </w:pPr>
      <w:r>
        <w:rPr>
          <w:rFonts w:ascii="Arial" w:cs="Arial" w:eastAsia="Arial" w:hAnsi="Arial"/>
          <w:sz w:val="16"/>
          <w:szCs w:val="16"/>
          <w:color w:val="auto"/>
        </w:rPr>
        <w:t>On March 25, 2022, we entered into a definitive agreement to divest Sunosi to Axsome. Under the terms of the agreement, Axsome will acquire the rights to Sunosi in all of the existing territories available to us. We will receive a upfront payment of $53 million, a high single-digit royalty on Axsome’s U.S. net sales of Sunosi in current indications and a mid-single-digit royalty on Axsome’s U.S. net sales of Sunosi in future indications.</w:t>
      </w:r>
    </w:p>
    <w:p>
      <w:pPr>
        <w:spacing w:after="0" w:line="41"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respective obligations of Jazz and Axsome to consummate the transactions contemplated by the definitive agreement are subject to the satisfaction or waiver of a number of customary conditions.</w:t>
      </w:r>
    </w:p>
    <w:p>
      <w:pPr>
        <w:spacing w:after="0" w:line="62"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The transaction is structured to be completed in sequential closings for the U.S. and ex-U.S. territories. Subject to the satisfaction or waiver of the closing conditions, the companies expect the U.S. transaction to close in the second quarter of 2022 and the ex-U.S. transaction close to occur within 60 days following the close of the U.S. transaction.</w:t>
      </w:r>
    </w:p>
    <w:p>
      <w:pPr>
        <w:spacing w:after="0" w:line="76"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assets to be divested met the assets held for sale criteria and were reclassified to assets held for sale as of March 31, 2022. We determined this is the disposal of a business and have allocated goodwill to these assets using the relative fair value method.</w:t>
      </w:r>
    </w:p>
    <w:p>
      <w:pPr>
        <w:spacing w:after="0" w:line="6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We have determined that the expected disposition of these assets does not qualify for reporting as a discontinued operation since the expected sale does not represent a strategic shift that has or will have a major effect on our operations and financial results.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assets were segregated and classified as assets held for sale in the condensed consolidated balance sheet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2022</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56,680</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21,163</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We will account for the contingent consideration in the form of the future royalty as earned. As a result, we expect to record a loss on disposal of approximately $40.0 million when the transaction closes as the determination of the initial gain or loss will include the upfront consideration only and not include an amount for the contingent consideration.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the second quarter of 2022, we acquired development and commercialization rights to two preclinical compounds, consistent with our objective to expand our pipeline.</w:t>
      </w:r>
    </w:p>
    <w:p>
      <w:pPr>
        <w:spacing w:after="0" w:line="62"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In April 2022, we announced that we had entered into a licensing agreement with Werewolf Therapeutics, Inc., or Werewolf, to acquire exclusive global development and commercialization rights to Werewolf's investigational WTX-613, now referred to as JZP898. JZP898 is a differentiated, conditionally-activated interferon alpha (IFNα) INDUKINE™ molecule. Under the terms of the agreement, we made an upfront payment of $15.0 million to Werewolf, and Werewolf is eligible to receive development, regulatory and commercial milestone payments of up to $1.26 billion. Pending approval, Werewolf is eligible to receive a tiered, mid-single-digit percentage royalty on net sales of JZP898. The upfront payment totaling $15.0 million will be expensed to Acquired in-process research and development, or IPR&amp;D, in the second quarter of 2022.</w:t>
      </w:r>
    </w:p>
    <w:p>
      <w:pPr>
        <w:spacing w:after="0" w:line="7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In May 2022, we announced that we had entered into a licensing agreement with Sumitomo Pharma Co., Ltd, or Sumitomo, to acquire exclusive development and commercialization rights in the United States, Europe and other territories for DSP-0187, which we have designated JZP441. JZP441 is a potent, highly selective oral orexin-2 receptor agonist with potential application for the treatment of narcolepsy, IH and other sleep disorders. Under the terms of the agreement, we will make an upfront payment of $50.0 million to Sumitomo, and Sumitomo is eligible to receive development, regulatory and commercial milestone payments of up to $1.09 billion. Pending approval, Sumitomo is eligible to receive a tiered, low double-digit royalty on Jazz's net sales of JZP441. The upfront payment totaling $50.0 million will be expensed to Acquired IPR&amp;D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17" w:lineRule="exact"/>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2021.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(unless another date is indicated), and we undertake no obligation to update or revise these statements in light of future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 Achievements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products are approved in countries around the world to improve patient care.</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Product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NEUROSCIENCE</w:t>
      </w:r>
    </w:p>
    <w:p>
      <w:pPr>
        <w:spacing w:after="0" w:line="200" w:lineRule="exact"/>
        <w:rPr>
          <w:sz w:val="20"/>
          <w:szCs w:val="20"/>
          <w:color w:val="auto"/>
        </w:rPr>
      </w:pPr>
    </w:p>
    <w:p>
      <w:pPr>
        <w:spacing w:after="0" w:line="248" w:lineRule="exact"/>
        <w:rPr>
          <w:sz w:val="20"/>
          <w:szCs w:val="20"/>
          <w:color w:val="auto"/>
        </w:rPr>
      </w:pPr>
    </w:p>
    <w:p>
      <w:pPr>
        <w:ind w:left="20"/>
        <w:spacing w:after="0" w:line="238" w:lineRule="auto"/>
        <w:rPr>
          <w:sz w:val="20"/>
          <w:szCs w:val="20"/>
          <w:color w:val="auto"/>
        </w:rPr>
      </w:pPr>
      <w:r>
        <w:rPr>
          <w:rFonts w:ascii="Arial" w:cs="Arial" w:eastAsia="Arial" w:hAnsi="Arial"/>
          <w:sz w:val="16"/>
          <w:szCs w:val="16"/>
          <w:color w:val="auto"/>
        </w:rPr>
        <w:t>Xywav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(calcium, magnesium, potassium, and sodium oxybates)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1660" w:type="dxa"/>
            <w:vAlign w:val="bottom"/>
          </w:tcPr>
          <w:p>
            <w:pPr>
              <w:spacing w:after="0"/>
              <w:rPr>
                <w:sz w:val="20"/>
                <w:szCs w:val="20"/>
                <w:color w:val="auto"/>
              </w:rPr>
            </w:pPr>
            <w:r>
              <w:rPr>
                <w:rFonts w:ascii="Arial" w:cs="Arial" w:eastAsia="Arial" w:hAnsi="Arial"/>
                <w:sz w:val="18"/>
                <w:szCs w:val="18"/>
                <w:b w:val="1"/>
                <w:bCs w:val="1"/>
                <w:color w:val="auto"/>
                <w:w w:val="94"/>
              </w:rPr>
              <w:t>Initial Approval Date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cataplexy or excessive daytime</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0"/>
              </w:rPr>
              <w:t>sleepiness, or EDS, in patients seven years of age</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and older with narcolepsy.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idiopathic hypersomnia, or IH, in</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August 2021</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adults.</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68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-958215</wp:posOffset>
            </wp:positionV>
            <wp:extent cx="71151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41" w:lineRule="exact"/>
        <w:rPr>
          <w:sz w:val="20"/>
          <w:szCs w:val="20"/>
          <w:color w:val="auto"/>
        </w:rPr>
      </w:pPr>
    </w:p>
    <w:p>
      <w:pPr>
        <w:sectPr>
          <w:pgSz w:w="11900" w:h="16838" w:orient="portrait"/>
          <w:cols w:equalWidth="0" w:num="3">
            <w:col w:w="2420" w:space="400"/>
            <w:col w:w="5340" w:space="70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380" w:type="dxa"/>
            <w:vAlign w:val="bottom"/>
            <w:shd w:val="clear" w:color="auto" w:fill="CCEEFF"/>
          </w:tcPr>
          <w:p>
            <w:pPr>
              <w:spacing w:after="0"/>
              <w:rPr>
                <w:sz w:val="19"/>
                <w:szCs w:val="19"/>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Treatment of cataplexy or EDS in patients seven</w:t>
            </w:r>
          </w:p>
        </w:tc>
        <w:tc>
          <w:tcPr>
            <w:tcW w:w="17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July 2002</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40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years of age and older with narcolepsy.</w:t>
            </w:r>
          </w:p>
        </w:tc>
        <w:tc>
          <w:tcPr>
            <w:tcW w:w="1780" w:type="dxa"/>
            <w:vAlign w:val="bottom"/>
            <w:vMerge w:val="continue"/>
            <w:shd w:val="clear" w:color="auto" w:fill="CCEEFF"/>
          </w:tcPr>
          <w:p>
            <w:pPr>
              <w:spacing w:after="0"/>
              <w:rPr>
                <w:sz w:val="14"/>
                <w:szCs w:val="14"/>
                <w:color w:val="auto"/>
              </w:rPr>
            </w:pPr>
          </w:p>
        </w:tc>
        <w:tc>
          <w:tcPr>
            <w:tcW w:w="30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380" w:type="dxa"/>
            <w:vAlign w:val="bottom"/>
            <w:shd w:val="clear" w:color="auto" w:fill="CCEEFF"/>
          </w:tcPr>
          <w:p>
            <w:pPr>
              <w:spacing w:after="0"/>
              <w:rPr>
                <w:sz w:val="5"/>
                <w:szCs w:val="5"/>
                <w:color w:val="auto"/>
              </w:rPr>
            </w:pPr>
          </w:p>
        </w:tc>
        <w:tc>
          <w:tcPr>
            <w:tcW w:w="4020" w:type="dxa"/>
            <w:vAlign w:val="bottom"/>
            <w:vMerge w:val="continue"/>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30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2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For the treatment of cataplexy in patients with</w:t>
            </w: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2005</w:t>
            </w: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380" w:type="dxa"/>
            <w:vAlign w:val="bottom"/>
            <w:vMerge w:val="continue"/>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narcolepsy.</w:t>
            </w:r>
          </w:p>
        </w:tc>
        <w:tc>
          <w:tcPr>
            <w:tcW w:w="17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380" w:type="dxa"/>
            <w:vAlign w:val="bottom"/>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Treatment of narcolepsy with cataplexy in adult</w:t>
            </w:r>
          </w:p>
        </w:tc>
        <w:tc>
          <w:tcPr>
            <w:tcW w:w="1780" w:type="dxa"/>
            <w:vAlign w:val="bottom"/>
            <w:shd w:val="clear" w:color="auto" w:fill="CCEEFF"/>
          </w:tcPr>
          <w:p>
            <w:pPr>
              <w:spacing w:after="0"/>
              <w:rPr>
                <w:sz w:val="24"/>
                <w:szCs w:val="24"/>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380" w:type="dxa"/>
            <w:vAlign w:val="bottom"/>
            <w:shd w:val="clear" w:color="auto" w:fill="CCEEFF"/>
          </w:tcPr>
          <w:p>
            <w:pPr>
              <w:spacing w:after="0"/>
              <w:rPr>
                <w:sz w:val="9"/>
                <w:szCs w:val="9"/>
                <w:color w:val="auto"/>
              </w:rPr>
            </w:pPr>
          </w:p>
        </w:tc>
        <w:tc>
          <w:tcPr>
            <w:tcW w:w="4020" w:type="dxa"/>
            <w:vAlign w:val="bottom"/>
            <w:vMerge w:val="restart"/>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patients, adolescents and children from age of 7</w:t>
            </w:r>
          </w:p>
        </w:tc>
        <w:tc>
          <w:tcPr>
            <w:tcW w:w="1780" w:type="dxa"/>
            <w:vAlign w:val="bottom"/>
            <w:shd w:val="clear" w:color="auto" w:fill="CCEEFF"/>
          </w:tcPr>
          <w:p>
            <w:pPr>
              <w:spacing w:after="0"/>
              <w:rPr>
                <w:sz w:val="9"/>
                <w:szCs w:val="9"/>
                <w:color w:val="auto"/>
              </w:rPr>
            </w:pPr>
          </w:p>
        </w:tc>
        <w:tc>
          <w:tcPr>
            <w:tcW w:w="304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4020" w:type="dxa"/>
            <w:vAlign w:val="bottom"/>
            <w:vMerge w:val="continue"/>
            <w:shd w:val="clear" w:color="auto" w:fill="CCEEFF"/>
          </w:tcPr>
          <w:p>
            <w:pPr>
              <w:spacing w:after="0"/>
              <w:rPr>
                <w:sz w:val="6"/>
                <w:szCs w:val="6"/>
                <w:color w:val="auto"/>
              </w:rPr>
            </w:pPr>
          </w:p>
        </w:tc>
        <w:tc>
          <w:tcPr>
            <w:tcW w:w="1780" w:type="dxa"/>
            <w:vAlign w:val="bottom"/>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October 2005</w:t>
            </w:r>
          </w:p>
        </w:tc>
        <w:tc>
          <w:tcPr>
            <w:tcW w:w="3040" w:type="dxa"/>
            <w:vAlign w:val="bottom"/>
            <w:vMerge w:val="restart"/>
            <w:shd w:val="clear" w:color="auto" w:fill="CCEEFF"/>
          </w:tcPr>
          <w:p>
            <w:pPr>
              <w:ind w:left="680"/>
              <w:spacing w:after="0" w:line="176" w:lineRule="exact"/>
              <w:rPr>
                <w:sz w:val="20"/>
                <w:szCs w:val="20"/>
                <w:color w:val="auto"/>
              </w:rPr>
            </w:pPr>
            <w:r>
              <w:rPr>
                <w:rFonts w:ascii="Arial" w:cs="Arial" w:eastAsia="Arial" w:hAnsi="Arial"/>
                <w:sz w:val="18"/>
                <w:szCs w:val="18"/>
                <w:color w:val="auto"/>
              </w:rPr>
              <w:t>markets (through licensing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380" w:type="dxa"/>
            <w:vAlign w:val="bottom"/>
            <w:shd w:val="clear" w:color="auto" w:fill="CCEEFF"/>
          </w:tcPr>
          <w:p>
            <w:pPr>
              <w:spacing w:after="0"/>
              <w:rPr>
                <w:sz w:val="8"/>
                <w:szCs w:val="8"/>
                <w:color w:val="auto"/>
              </w:rPr>
            </w:pPr>
          </w:p>
        </w:tc>
        <w:tc>
          <w:tcPr>
            <w:tcW w:w="40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years.</w:t>
            </w:r>
          </w:p>
        </w:tc>
        <w:tc>
          <w:tcPr>
            <w:tcW w:w="1780" w:type="dxa"/>
            <w:vAlign w:val="bottom"/>
            <w:vMerge w:val="continue"/>
            <w:shd w:val="clear" w:color="auto" w:fill="CCEEFF"/>
          </w:tcPr>
          <w:p>
            <w:pPr>
              <w:spacing w:after="0"/>
              <w:rPr>
                <w:sz w:val="8"/>
                <w:szCs w:val="8"/>
                <w:color w:val="auto"/>
              </w:rPr>
            </w:pPr>
          </w:p>
        </w:tc>
        <w:tc>
          <w:tcPr>
            <w:tcW w:w="30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spacing w:after="0"/>
              <w:rPr>
                <w:sz w:val="11"/>
                <w:szCs w:val="11"/>
                <w:color w:val="auto"/>
              </w:rPr>
            </w:pPr>
          </w:p>
        </w:tc>
        <w:tc>
          <w:tcPr>
            <w:tcW w:w="4020" w:type="dxa"/>
            <w:vAlign w:val="bottom"/>
            <w:vMerge w:val="continue"/>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agreement)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80" w:type="dxa"/>
            <w:vAlign w:val="bottom"/>
            <w:shd w:val="clear" w:color="auto" w:fill="CCEEFF"/>
          </w:tcPr>
          <w:p>
            <w:pPr>
              <w:spacing w:after="0"/>
              <w:rPr>
                <w:sz w:val="8"/>
                <w:szCs w:val="8"/>
                <w:color w:val="auto"/>
              </w:rPr>
            </w:pPr>
          </w:p>
        </w:tc>
        <w:tc>
          <w:tcPr>
            <w:tcW w:w="402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30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4"/>
        </w:trPr>
        <w:tc>
          <w:tcPr>
            <w:tcW w:w="2380" w:type="dxa"/>
            <w:vAlign w:val="bottom"/>
          </w:tcPr>
          <w:p>
            <w:pPr>
              <w:spacing w:after="0"/>
              <w:rPr>
                <w:sz w:val="24"/>
                <w:szCs w:val="24"/>
                <w:color w:val="auto"/>
              </w:rPr>
            </w:pPr>
          </w:p>
        </w:tc>
        <w:tc>
          <w:tcPr>
            <w:tcW w:w="4020" w:type="dxa"/>
            <w:vAlign w:val="bottom"/>
          </w:tcPr>
          <w:p>
            <w:pPr>
              <w:ind w:left="3160"/>
              <w:spacing w:after="0"/>
              <w:rPr>
                <w:sz w:val="20"/>
                <w:szCs w:val="20"/>
                <w:color w:val="auto"/>
              </w:rPr>
            </w:pPr>
            <w:r>
              <w:rPr>
                <w:rFonts w:ascii="Arial" w:cs="Arial" w:eastAsia="Arial" w:hAnsi="Arial"/>
                <w:sz w:val="18"/>
                <w:szCs w:val="18"/>
                <w:color w:val="auto"/>
              </w:rPr>
              <w:t>29</w:t>
            </w: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8"/>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Epidiolex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tc>
        <w:tc>
          <w:tcPr>
            <w:tcW w:w="4100" w:type="dxa"/>
            <w:vAlign w:val="bottom"/>
          </w:tcPr>
          <w:p>
            <w:pPr>
              <w:ind w:left="500"/>
              <w:spacing w:after="0"/>
              <w:rPr>
                <w:sz w:val="20"/>
                <w:szCs w:val="20"/>
                <w:color w:val="auto"/>
              </w:rPr>
            </w:pPr>
            <w:r>
              <w:rPr>
                <w:rFonts w:ascii="Arial" w:cs="Arial" w:eastAsia="Arial" w:hAnsi="Arial"/>
                <w:sz w:val="18"/>
                <w:szCs w:val="18"/>
                <w:color w:val="auto"/>
                <w:w w:val="96"/>
              </w:rPr>
              <w:t>Treatment of seizures associated with Lennox-</w:t>
            </w:r>
          </w:p>
        </w:tc>
        <w:tc>
          <w:tcPr>
            <w:tcW w:w="2760" w:type="dxa"/>
            <w:vAlign w:val="bottom"/>
            <w:vMerge w:val="restart"/>
          </w:tcPr>
          <w:p>
            <w:pPr>
              <w:ind w:left="2440"/>
              <w:spacing w:after="0"/>
              <w:rPr>
                <w:sz w:val="20"/>
                <w:szCs w:val="20"/>
                <w:color w:val="auto"/>
              </w:rPr>
            </w:pPr>
            <w:r>
              <w:rPr>
                <w:rFonts w:ascii="Arial" w:cs="Arial" w:eastAsia="Arial" w:hAnsi="Arial"/>
                <w:sz w:val="18"/>
                <w:szCs w:val="18"/>
                <w:color w:val="auto"/>
                <w:w w:val="85"/>
              </w:rPr>
              <w:t>U.S.</w:t>
            </w:r>
          </w:p>
        </w:tc>
        <w:tc>
          <w:tcPr>
            <w:tcW w:w="0" w:type="dxa"/>
            <w:vAlign w:val="bottom"/>
          </w:tcPr>
          <w:p>
            <w:pPr>
              <w:spacing w:after="0"/>
              <w:rPr>
                <w:sz w:val="1"/>
                <w:szCs w:val="1"/>
                <w:color w:val="auto"/>
              </w:rPr>
            </w:pPr>
          </w:p>
        </w:tc>
      </w:tr>
      <w:tr>
        <w:trPr>
          <w:trHeight w:val="82"/>
        </w:trPr>
        <w:tc>
          <w:tcPr>
            <w:tcW w:w="1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100" w:type="dxa"/>
            <w:vAlign w:val="bottom"/>
            <w:vMerge w:val="restart"/>
          </w:tcPr>
          <w:p>
            <w:pPr>
              <w:ind w:left="500"/>
              <w:spacing w:after="0" w:line="205" w:lineRule="exact"/>
              <w:rPr>
                <w:sz w:val="20"/>
                <w:szCs w:val="20"/>
                <w:color w:val="auto"/>
              </w:rPr>
            </w:pPr>
            <w:r>
              <w:rPr>
                <w:rFonts w:ascii="Arial" w:cs="Arial" w:eastAsia="Arial" w:hAnsi="Arial"/>
                <w:sz w:val="18"/>
                <w:szCs w:val="18"/>
                <w:color w:val="auto"/>
                <w:w w:val="92"/>
              </w:rPr>
              <w:t>Gastaut syndrome, or LGS, Dravet syndrome, or</w:t>
            </w: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2760" w:type="dxa"/>
            <w:vAlign w:val="bottom"/>
          </w:tcPr>
          <w:p>
            <w:pPr>
              <w:ind w:left="80"/>
              <w:spacing w:after="0" w:line="123" w:lineRule="exact"/>
              <w:rPr>
                <w:sz w:val="20"/>
                <w:szCs w:val="20"/>
                <w:color w:val="auto"/>
              </w:rPr>
            </w:pPr>
            <w:r>
              <w:rPr>
                <w:rFonts w:ascii="Arial" w:cs="Arial" w:eastAsia="Arial" w:hAnsi="Arial"/>
                <w:sz w:val="13"/>
                <w:szCs w:val="13"/>
                <w:color w:val="auto"/>
              </w:rPr>
              <w:t>June 2018</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00" w:type="dxa"/>
            <w:vAlign w:val="bottom"/>
          </w:tcPr>
          <w:p>
            <w:pPr>
              <w:ind w:left="500"/>
              <w:spacing w:after="0" w:line="173" w:lineRule="exact"/>
              <w:rPr>
                <w:sz w:val="20"/>
                <w:szCs w:val="20"/>
                <w:color w:val="auto"/>
              </w:rPr>
            </w:pPr>
            <w:r>
              <w:rPr>
                <w:rFonts w:ascii="Arial" w:cs="Arial" w:eastAsia="Arial" w:hAnsi="Arial"/>
                <w:sz w:val="18"/>
                <w:szCs w:val="18"/>
                <w:color w:val="auto"/>
                <w:w w:val="98"/>
              </w:rPr>
              <w:t>DS, or tuberous sclerosis complex, or TSC, in</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patients 1 year of age and older.</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2820"/>
        <w:spacing w:after="0" w:line="228" w:lineRule="auto"/>
        <w:rPr>
          <w:sz w:val="20"/>
          <w:szCs w:val="20"/>
          <w:color w:val="auto"/>
        </w:rPr>
      </w:pPr>
      <w:r>
        <w:rPr>
          <w:rFonts w:ascii="Arial" w:cs="Arial" w:eastAsia="Arial" w:hAnsi="Arial"/>
          <w:sz w:val="17"/>
          <w:szCs w:val="17"/>
          <w:color w:val="auto"/>
        </w:rPr>
        <w:t>For adjunctive therapy of seizures associated with LGS or DS, in conjunction with clobazam, for patients 2 years of age and older.*</w:t>
      </w:r>
    </w:p>
    <w:p>
      <w:pPr>
        <w:ind w:left="20"/>
        <w:spacing w:after="0" w:line="207" w:lineRule="auto"/>
        <w:rPr>
          <w:sz w:val="20"/>
          <w:szCs w:val="20"/>
          <w:color w:val="auto"/>
        </w:rPr>
      </w:pPr>
      <w:r>
        <w:rPr>
          <w:rFonts w:ascii="Arial" w:cs="Arial" w:eastAsia="Arial" w:hAnsi="Arial"/>
          <w:sz w:val="18"/>
          <w:szCs w:val="18"/>
          <w:color w:val="auto"/>
        </w:rPr>
        <w:t>Epidyolex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p>
      <w:pPr>
        <w:ind w:left="2820"/>
        <w:spacing w:after="0" w:line="268" w:lineRule="auto"/>
        <w:rPr>
          <w:sz w:val="20"/>
          <w:szCs w:val="20"/>
          <w:color w:val="auto"/>
        </w:rPr>
      </w:pPr>
      <w:r>
        <w:rPr>
          <w:rFonts w:ascii="Arial" w:cs="Arial" w:eastAsia="Arial" w:hAnsi="Arial"/>
          <w:sz w:val="16"/>
          <w:szCs w:val="16"/>
          <w:color w:val="auto"/>
        </w:rPr>
        <w:t>For adjunctive therapy of seizures associated with TSC for patients 2 years of age and older.**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September 2019</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 w:lineRule="exact"/>
        <w:rPr>
          <w:sz w:val="20"/>
          <w:szCs w:val="20"/>
          <w:color w:val="auto"/>
        </w:rPr>
      </w:pPr>
    </w:p>
    <w:p>
      <w:pPr>
        <w:sectPr>
          <w:pgSz w:w="11900" w:h="16838" w:orient="portrait"/>
          <w:cols w:equalWidth="0" w:num="3">
            <w:col w:w="6420" w:space="80"/>
            <w:col w:w="164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360" w:type="dxa"/>
            <w:vAlign w:val="bottom"/>
            <w:shd w:val="clear" w:color="auto" w:fill="CCEEFF"/>
          </w:tcPr>
          <w:p>
            <w:pPr>
              <w:spacing w:after="0"/>
              <w:rPr>
                <w:sz w:val="15"/>
                <w:szCs w:val="15"/>
                <w:color w:val="auto"/>
              </w:rPr>
            </w:pPr>
          </w:p>
        </w:tc>
        <w:tc>
          <w:tcPr>
            <w:tcW w:w="4060" w:type="dxa"/>
            <w:vAlign w:val="bottom"/>
            <w:shd w:val="clear" w:color="auto" w:fill="CCEEFF"/>
          </w:tcPr>
          <w:p>
            <w:pPr>
              <w:ind w:left="460"/>
              <w:spacing w:after="0" w:line="183" w:lineRule="exact"/>
              <w:rPr>
                <w:sz w:val="20"/>
                <w:szCs w:val="20"/>
                <w:color w:val="auto"/>
              </w:rPr>
            </w:pPr>
            <w:r>
              <w:rPr>
                <w:rFonts w:ascii="Arial" w:cs="Arial" w:eastAsia="Arial" w:hAnsi="Arial"/>
                <w:sz w:val="18"/>
                <w:szCs w:val="18"/>
                <w:color w:val="auto"/>
                <w:w w:val="94"/>
              </w:rPr>
              <w:t>Improve wakefulness in adult patients with EDS</w:t>
            </w:r>
          </w:p>
        </w:tc>
        <w:tc>
          <w:tcPr>
            <w:tcW w:w="1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March 2019</w:t>
            </w: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40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5"/>
              </w:rPr>
              <w:t>associated with narcolepsy or obstructive sleep</w:t>
            </w:r>
          </w:p>
        </w:tc>
        <w:tc>
          <w:tcPr>
            <w:tcW w:w="1740" w:type="dxa"/>
            <w:vAlign w:val="bottom"/>
            <w:vMerge w:val="continue"/>
            <w:shd w:val="clear" w:color="auto" w:fill="CCEEFF"/>
          </w:tcPr>
          <w:p>
            <w:pPr>
              <w:spacing w:after="0"/>
              <w:rPr>
                <w:sz w:val="15"/>
                <w:szCs w:val="15"/>
                <w:color w:val="auto"/>
              </w:rPr>
            </w:pPr>
          </w:p>
        </w:tc>
        <w:tc>
          <w:tcPr>
            <w:tcW w:w="3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4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apnea, or OSA.</w:t>
            </w:r>
          </w:p>
        </w:tc>
        <w:tc>
          <w:tcPr>
            <w:tcW w:w="17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360" w:type="dxa"/>
            <w:vAlign w:val="bottom"/>
            <w:shd w:val="clear" w:color="auto" w:fill="CCEEFF"/>
          </w:tcPr>
          <w:p>
            <w:pPr>
              <w:spacing w:after="0"/>
              <w:rPr>
                <w:sz w:val="24"/>
                <w:szCs w:val="24"/>
                <w:color w:val="auto"/>
              </w:rPr>
            </w:pPr>
          </w:p>
        </w:tc>
        <w:tc>
          <w:tcPr>
            <w:tcW w:w="40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6"/>
              </w:rPr>
              <w:t>Improve wakefulness and reduce EDS in adult</w:t>
            </w:r>
          </w:p>
        </w:tc>
        <w:tc>
          <w:tcPr>
            <w:tcW w:w="17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CEEFF"/>
          </w:tcPr>
          <w:p>
            <w:pPr>
              <w:spacing w:after="0"/>
              <w:rPr>
                <w:sz w:val="16"/>
                <w:szCs w:val="16"/>
                <w:color w:val="auto"/>
              </w:rPr>
            </w:pPr>
          </w:p>
        </w:tc>
        <w:tc>
          <w:tcPr>
            <w:tcW w:w="406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patients with narcolepsy (with or without</w:t>
            </w:r>
          </w:p>
        </w:tc>
        <w:tc>
          <w:tcPr>
            <w:tcW w:w="174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5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cataplexy) or adult patients with OSA whose EDS January 2020</w:t>
            </w:r>
          </w:p>
        </w:tc>
        <w:tc>
          <w:tcPr>
            <w:tcW w:w="3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121"/>
        </w:trPr>
        <w:tc>
          <w:tcPr>
            <w:tcW w:w="2360" w:type="dxa"/>
            <w:vAlign w:val="bottom"/>
            <w:shd w:val="clear" w:color="auto" w:fill="CCEEFF"/>
          </w:tcPr>
          <w:p>
            <w:pPr>
              <w:spacing w:after="0"/>
              <w:rPr>
                <w:sz w:val="10"/>
                <w:szCs w:val="10"/>
                <w:color w:val="auto"/>
              </w:rPr>
            </w:pPr>
          </w:p>
        </w:tc>
        <w:tc>
          <w:tcPr>
            <w:tcW w:w="4060" w:type="dxa"/>
            <w:vAlign w:val="bottom"/>
            <w:shd w:val="clear" w:color="auto" w:fill="CCEEFF"/>
          </w:tcPr>
          <w:p>
            <w:pPr>
              <w:ind w:left="460"/>
              <w:spacing w:after="0" w:line="121" w:lineRule="exact"/>
              <w:rPr>
                <w:sz w:val="20"/>
                <w:szCs w:val="20"/>
                <w:color w:val="auto"/>
              </w:rPr>
            </w:pPr>
            <w:r>
              <w:rPr>
                <w:rFonts w:ascii="Arial" w:cs="Arial" w:eastAsia="Arial" w:hAnsi="Arial"/>
                <w:sz w:val="13"/>
                <w:szCs w:val="13"/>
                <w:color w:val="auto"/>
              </w:rPr>
              <w:t>has not been satisfactorily treated by primary</w:t>
            </w:r>
          </w:p>
        </w:tc>
        <w:tc>
          <w:tcPr>
            <w:tcW w:w="1740" w:type="dxa"/>
            <w:vAlign w:val="bottom"/>
            <w:shd w:val="clear" w:color="auto" w:fill="CCEEFF"/>
          </w:tcPr>
          <w:p>
            <w:pPr>
              <w:spacing w:after="0"/>
              <w:rPr>
                <w:sz w:val="10"/>
                <w:szCs w:val="10"/>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r>
        <w:trPr>
          <w:trHeight w:val="110"/>
        </w:trPr>
        <w:tc>
          <w:tcPr>
            <w:tcW w:w="2360" w:type="dxa"/>
            <w:vAlign w:val="bottom"/>
            <w:shd w:val="clear" w:color="auto" w:fill="CCEEFF"/>
          </w:tcPr>
          <w:p>
            <w:pPr>
              <w:spacing w:after="0"/>
              <w:rPr>
                <w:sz w:val="9"/>
                <w:szCs w:val="9"/>
                <w:color w:val="auto"/>
              </w:rPr>
            </w:pPr>
          </w:p>
        </w:tc>
        <w:tc>
          <w:tcPr>
            <w:tcW w:w="4060" w:type="dxa"/>
            <w:vAlign w:val="bottom"/>
            <w:vMerge w:val="restart"/>
            <w:shd w:val="clear" w:color="auto" w:fill="CCEEFF"/>
          </w:tcPr>
          <w:p>
            <w:pPr>
              <w:ind w:left="460"/>
              <w:spacing w:after="0" w:line="189" w:lineRule="exact"/>
              <w:rPr>
                <w:sz w:val="20"/>
                <w:szCs w:val="20"/>
                <w:color w:val="auto"/>
              </w:rPr>
            </w:pPr>
            <w:r>
              <w:rPr>
                <w:rFonts w:ascii="Arial" w:cs="Arial" w:eastAsia="Arial" w:hAnsi="Arial"/>
                <w:sz w:val="18"/>
                <w:szCs w:val="18"/>
                <w:color w:val="auto"/>
                <w:w w:val="91"/>
              </w:rPr>
              <w:t>OSA therapy, such as continuous positive airway</w:t>
            </w:r>
          </w:p>
        </w:tc>
        <w:tc>
          <w:tcPr>
            <w:tcW w:w="1740" w:type="dxa"/>
            <w:vAlign w:val="bottom"/>
            <w:shd w:val="clear" w:color="auto" w:fill="CCEEFF"/>
          </w:tcPr>
          <w:p>
            <w:pPr>
              <w:spacing w:after="0"/>
              <w:rPr>
                <w:sz w:val="9"/>
                <w:szCs w:val="9"/>
                <w:color w:val="auto"/>
              </w:rPr>
            </w:pPr>
          </w:p>
        </w:tc>
        <w:tc>
          <w:tcPr>
            <w:tcW w:w="3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60" w:type="dxa"/>
            <w:vAlign w:val="bottom"/>
            <w:shd w:val="clear" w:color="auto" w:fill="CCEEFF"/>
          </w:tcPr>
          <w:p>
            <w:pPr>
              <w:spacing w:after="0"/>
              <w:rPr>
                <w:sz w:val="6"/>
                <w:szCs w:val="6"/>
                <w:color w:val="auto"/>
              </w:rPr>
            </w:pPr>
          </w:p>
        </w:tc>
        <w:tc>
          <w:tcPr>
            <w:tcW w:w="4060" w:type="dxa"/>
            <w:vAlign w:val="bottom"/>
            <w:vMerge w:val="continue"/>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3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4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pressure, or CPAP.</w:t>
            </w:r>
          </w:p>
        </w:tc>
        <w:tc>
          <w:tcPr>
            <w:tcW w:w="17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360" w:type="dxa"/>
            <w:vAlign w:val="bottom"/>
            <w:shd w:val="clear" w:color="auto" w:fill="CCEEFF"/>
          </w:tcPr>
          <w:p>
            <w:pPr>
              <w:spacing w:after="0"/>
              <w:rPr>
                <w:sz w:val="24"/>
                <w:szCs w:val="24"/>
                <w:color w:val="auto"/>
              </w:rPr>
            </w:pPr>
          </w:p>
        </w:tc>
        <w:tc>
          <w:tcPr>
            <w:tcW w:w="4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Treatment of EDS in adult patients with</w:t>
            </w:r>
          </w:p>
        </w:tc>
        <w:tc>
          <w:tcPr>
            <w:tcW w:w="1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May 2021</w:t>
            </w: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44"/>
        </w:trPr>
        <w:tc>
          <w:tcPr>
            <w:tcW w:w="2360" w:type="dxa"/>
            <w:vAlign w:val="bottom"/>
            <w:shd w:val="clear" w:color="auto" w:fill="CCEEFF"/>
          </w:tcPr>
          <w:p>
            <w:pPr>
              <w:spacing w:after="0"/>
              <w:rPr>
                <w:sz w:val="21"/>
                <w:szCs w:val="21"/>
                <w:color w:val="auto"/>
              </w:rPr>
            </w:pPr>
          </w:p>
        </w:tc>
        <w:tc>
          <w:tcPr>
            <w:tcW w:w="4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narcolepsy or OSA.</w:t>
            </w:r>
          </w:p>
        </w:tc>
        <w:tc>
          <w:tcPr>
            <w:tcW w:w="1740" w:type="dxa"/>
            <w:vAlign w:val="bottom"/>
            <w:vMerge w:val="continue"/>
            <w:shd w:val="clear" w:color="auto" w:fill="CCEEFF"/>
          </w:tcPr>
          <w:p>
            <w:pPr>
              <w:spacing w:after="0"/>
              <w:rPr>
                <w:sz w:val="21"/>
                <w:szCs w:val="21"/>
                <w:color w:val="auto"/>
              </w:rPr>
            </w:pPr>
          </w:p>
        </w:tc>
        <w:tc>
          <w:tcPr>
            <w:tcW w:w="3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(nabiximols)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Zepzelca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line="189" w:lineRule="exact"/>
              <w:rPr>
                <w:sz w:val="20"/>
                <w:szCs w:val="20"/>
                <w:color w:val="auto"/>
              </w:rPr>
            </w:pPr>
            <w:r>
              <w:rPr>
                <w:rFonts w:ascii="Arial" w:cs="Arial" w:eastAsia="Arial" w:hAnsi="Arial"/>
                <w:sz w:val="18"/>
                <w:szCs w:val="18"/>
                <w:color w:val="auto"/>
              </w:rPr>
              <w:t>Treatment for adult patients with moderate to</w:t>
            </w:r>
          </w:p>
        </w:tc>
        <w:tc>
          <w:tcPr>
            <w:tcW w:w="800" w:type="dxa"/>
            <w:vAlign w:val="bottom"/>
          </w:tcPr>
          <w:p>
            <w:pPr>
              <w:spacing w:after="0"/>
              <w:rPr>
                <w:sz w:val="16"/>
                <w:szCs w:val="16"/>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w w:val="91"/>
              </w:rPr>
              <w:t>severe spasticity due to multiple sclerosis, or MS,</w:t>
            </w:r>
          </w:p>
        </w:tc>
        <w:tc>
          <w:tcPr>
            <w:tcW w:w="800" w:type="dxa"/>
            <w:vAlign w:val="bottom"/>
          </w:tcPr>
          <w:p>
            <w:pPr>
              <w:spacing w:after="0"/>
              <w:rPr>
                <w:sz w:val="16"/>
                <w:szCs w:val="16"/>
                <w:color w:val="auto"/>
              </w:rPr>
            </w:pPr>
          </w:p>
        </w:tc>
      </w:tr>
      <w:tr>
        <w:trPr>
          <w:trHeight w:val="271"/>
        </w:trPr>
        <w:tc>
          <w:tcPr>
            <w:tcW w:w="3620" w:type="dxa"/>
            <w:vAlign w:val="bottom"/>
          </w:tcPr>
          <w:p>
            <w:pPr>
              <w:spacing w:after="0"/>
              <w:rPr>
                <w:sz w:val="20"/>
                <w:szCs w:val="20"/>
                <w:color w:val="auto"/>
              </w:rPr>
            </w:pPr>
            <w:r>
              <w:rPr>
                <w:rFonts w:ascii="Arial" w:cs="Arial" w:eastAsia="Arial" w:hAnsi="Arial"/>
                <w:sz w:val="18"/>
                <w:szCs w:val="18"/>
                <w:color w:val="auto"/>
                <w:w w:val="90"/>
              </w:rPr>
              <w:t>who have not responded adequately to other anti-</w:t>
            </w:r>
          </w:p>
        </w:tc>
        <w:tc>
          <w:tcPr>
            <w:tcW w:w="800" w:type="dxa"/>
            <w:vAlign w:val="bottom"/>
          </w:tcPr>
          <w:p>
            <w:pPr>
              <w:ind w:left="60"/>
              <w:spacing w:after="0"/>
              <w:rPr>
                <w:sz w:val="20"/>
                <w:szCs w:val="20"/>
                <w:color w:val="auto"/>
              </w:rPr>
            </w:pPr>
            <w:r>
              <w:rPr>
                <w:rFonts w:ascii="Arial" w:cs="Arial" w:eastAsia="Arial" w:hAnsi="Arial"/>
                <w:sz w:val="18"/>
                <w:szCs w:val="18"/>
                <w:color w:val="auto"/>
                <w:w w:val="85"/>
              </w:rPr>
              <w:t>June 2010</w:t>
            </w:r>
          </w:p>
        </w:tc>
      </w:tr>
      <w:tr>
        <w:trPr>
          <w:trHeight w:val="107"/>
        </w:trPr>
        <w:tc>
          <w:tcPr>
            <w:tcW w:w="3620" w:type="dxa"/>
            <w:vAlign w:val="bottom"/>
          </w:tcPr>
          <w:p>
            <w:pPr>
              <w:spacing w:after="0" w:line="107" w:lineRule="exact"/>
              <w:rPr>
                <w:sz w:val="20"/>
                <w:szCs w:val="20"/>
                <w:color w:val="auto"/>
              </w:rPr>
            </w:pPr>
            <w:r>
              <w:rPr>
                <w:rFonts w:ascii="Arial" w:cs="Arial" w:eastAsia="Arial" w:hAnsi="Arial"/>
                <w:sz w:val="12"/>
                <w:szCs w:val="12"/>
                <w:color w:val="auto"/>
              </w:rPr>
              <w:t>spasticity medication and who demonstrate</w:t>
            </w:r>
          </w:p>
        </w:tc>
        <w:tc>
          <w:tcPr>
            <w:tcW w:w="800" w:type="dxa"/>
            <w:vAlign w:val="bottom"/>
          </w:tcPr>
          <w:p>
            <w:pPr>
              <w:spacing w:after="0"/>
              <w:rPr>
                <w:sz w:val="9"/>
                <w:szCs w:val="9"/>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color w:val="auto"/>
              </w:rPr>
              <w:t>clinically significant improvement in spasticity</w:t>
            </w:r>
          </w:p>
        </w:tc>
        <w:tc>
          <w:tcPr>
            <w:tcW w:w="80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related 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13335</wp:posOffset>
            </wp:positionV>
            <wp:extent cx="711517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0" w:lineRule="exact"/>
        <w:rPr>
          <w:sz w:val="20"/>
          <w:szCs w:val="20"/>
          <w:color w:val="auto"/>
        </w:rPr>
      </w:pPr>
    </w:p>
    <w:p>
      <w:pPr>
        <w:ind w:right="1800"/>
        <w:spacing w:after="0" w:line="215" w:lineRule="auto"/>
        <w:rPr>
          <w:sz w:val="20"/>
          <w:szCs w:val="20"/>
          <w:color w:val="auto"/>
        </w:rPr>
      </w:pPr>
      <w:r>
        <w:rPr>
          <w:rFonts w:ascii="Arial" w:cs="Arial" w:eastAsia="Arial" w:hAnsi="Arial"/>
          <w:sz w:val="17"/>
          <w:szCs w:val="17"/>
          <w:color w:val="auto"/>
        </w:rPr>
        <w:t>Treatment of adult patients with metastatic small cell lung cancer, or SCLC, with disease</w:t>
      </w:r>
    </w:p>
    <w:p>
      <w:pPr>
        <w:spacing w:after="0" w:line="2" w:lineRule="exact"/>
        <w:rPr>
          <w:sz w:val="20"/>
          <w:szCs w:val="20"/>
          <w:color w:val="auto"/>
        </w:rPr>
      </w:pPr>
    </w:p>
    <w:p>
      <w:pPr>
        <w:ind w:right="900"/>
        <w:spacing w:after="0" w:line="183" w:lineRule="auto"/>
        <w:rPr>
          <w:sz w:val="20"/>
          <w:szCs w:val="20"/>
          <w:color w:val="auto"/>
        </w:rPr>
      </w:pPr>
      <w:r>
        <w:rPr>
          <w:rFonts w:ascii="Arial" w:cs="Arial" w:eastAsia="Arial" w:hAnsi="Arial"/>
          <w:sz w:val="16"/>
          <w:szCs w:val="16"/>
          <w:color w:val="auto"/>
        </w:rPr>
        <w:t xml:space="preserve">progression on or after platinum-based </w:t>
      </w:r>
      <w:r>
        <w:rPr>
          <w:rFonts w:ascii="Arial" w:cs="Arial" w:eastAsia="Arial" w:hAnsi="Arial"/>
          <w:sz w:val="30"/>
          <w:szCs w:val="30"/>
          <w:color w:val="auto"/>
          <w:vertAlign w:val="superscript"/>
        </w:rPr>
        <w:t>June 2020</w:t>
      </w:r>
      <w:r>
        <w:rPr>
          <w:rFonts w:ascii="Arial" w:cs="Arial" w:eastAsia="Arial" w:hAnsi="Arial"/>
          <w:sz w:val="16"/>
          <w:szCs w:val="16"/>
          <w:color w:val="auto"/>
        </w:rPr>
        <w:t xml:space="preserve"> chemotherapy.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U.K. (other markets through licensing agreements with partners)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286" w:lineRule="exact"/>
        <w:rPr>
          <w:sz w:val="20"/>
          <w:szCs w:val="20"/>
          <w:color w:val="auto"/>
        </w:rPr>
      </w:pPr>
    </w:p>
    <w:p>
      <w:pPr>
        <w:sectPr>
          <w:pgSz w:w="11900" w:h="16838" w:orient="portrait"/>
          <w:cols w:equalWidth="0" w:num="3">
            <w:col w:w="2100" w:space="720"/>
            <w:col w:w="532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w w:val="97"/>
              </w:rPr>
              <w:t>Treatment of adults with Stage III or metastatic</w:t>
            </w: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September 2021</w:t>
            </w:r>
          </w:p>
        </w:tc>
        <w:tc>
          <w:tcPr>
            <w:tcW w:w="2960" w:type="dxa"/>
            <w:vAlign w:val="bottom"/>
            <w:gridSpan w:val="2"/>
          </w:tcPr>
          <w:p>
            <w:pPr>
              <w:ind w:left="580"/>
              <w:spacing w:after="0"/>
              <w:rPr>
                <w:sz w:val="20"/>
                <w:szCs w:val="20"/>
                <w:color w:val="auto"/>
              </w:rPr>
            </w:pPr>
            <w:r>
              <w:rPr>
                <w:rFonts w:ascii="Arial" w:cs="Arial" w:eastAsia="Arial" w:hAnsi="Arial"/>
                <w:sz w:val="18"/>
                <w:szCs w:val="18"/>
                <w:color w:val="auto"/>
              </w:rPr>
              <w:t>Canada (licensed from</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3940" w:type="dxa"/>
            <w:vAlign w:val="bottom"/>
          </w:tcPr>
          <w:p>
            <w:pPr>
              <w:ind w:left="300"/>
              <w:spacing w:after="0" w:line="201" w:lineRule="exact"/>
              <w:rPr>
                <w:sz w:val="20"/>
                <w:szCs w:val="20"/>
                <w:color w:val="auto"/>
              </w:rPr>
            </w:pPr>
            <w:r>
              <w:rPr>
                <w:rFonts w:ascii="Arial" w:cs="Arial" w:eastAsia="Arial" w:hAnsi="Arial"/>
                <w:sz w:val="18"/>
                <w:szCs w:val="18"/>
                <w:color w:val="auto"/>
                <w:w w:val="92"/>
              </w:rPr>
              <w:t>SCLC who have progressed on or after platinum-</w:t>
            </w:r>
          </w:p>
        </w:tc>
        <w:tc>
          <w:tcPr>
            <w:tcW w:w="1820" w:type="dxa"/>
            <w:vAlign w:val="bottom"/>
            <w:vMerge w:val="continue"/>
          </w:tcPr>
          <w:p>
            <w:pPr>
              <w:spacing w:after="0"/>
              <w:rPr>
                <w:sz w:val="17"/>
                <w:szCs w:val="17"/>
                <w:color w:val="auto"/>
              </w:rPr>
            </w:pPr>
          </w:p>
        </w:tc>
        <w:tc>
          <w:tcPr>
            <w:tcW w:w="296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PharmaMar)</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containing therapy.</w:t>
            </w:r>
          </w:p>
        </w:tc>
        <w:tc>
          <w:tcPr>
            <w:tcW w:w="1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spacing w:after="0"/>
              <w:rPr>
                <w:sz w:val="15"/>
                <w:szCs w:val="15"/>
                <w:color w:val="auto"/>
              </w:rPr>
            </w:pPr>
          </w:p>
        </w:tc>
        <w:tc>
          <w:tcPr>
            <w:tcW w:w="394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w w:val="94"/>
              </w:rPr>
              <w:t>A component of a multi-agent chemotherapeutic</w:t>
            </w:r>
          </w:p>
        </w:tc>
        <w:tc>
          <w:tcPr>
            <w:tcW w:w="18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Rylaze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(asparaginase erwinia</w:t>
            </w:r>
          </w:p>
        </w:tc>
        <w:tc>
          <w:tcPr>
            <w:tcW w:w="3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regimen for the treatment of acute lymphoblastic</w:t>
            </w:r>
          </w:p>
        </w:tc>
        <w:tc>
          <w:tcPr>
            <w:tcW w:w="18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June 2021</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chrysanthemi (recombinant)-</w:t>
            </w:r>
          </w:p>
        </w:tc>
        <w:tc>
          <w:tcPr>
            <w:tcW w:w="39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leukemia, or ALL, and lymphoblastic lymphoma,</w:t>
            </w:r>
          </w:p>
        </w:tc>
        <w:tc>
          <w:tcPr>
            <w:tcW w:w="1820" w:type="dxa"/>
            <w:vAlign w:val="bottom"/>
            <w:vMerge w:val="continue"/>
            <w:shd w:val="clear" w:color="auto" w:fill="CCEEFF"/>
          </w:tcPr>
          <w:p>
            <w:pPr>
              <w:spacing w:after="0"/>
              <w:rPr>
                <w:sz w:val="15"/>
                <w:szCs w:val="15"/>
                <w:color w:val="auto"/>
              </w:rPr>
            </w:pPr>
          </w:p>
        </w:tc>
        <w:tc>
          <w:tcPr>
            <w:tcW w:w="29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rywn)</w:t>
            </w:r>
          </w:p>
        </w:tc>
        <w:tc>
          <w:tcPr>
            <w:tcW w:w="3940" w:type="dxa"/>
            <w:vAlign w:val="bottom"/>
            <w:shd w:val="clear" w:color="auto" w:fill="CCEEFF"/>
          </w:tcPr>
          <w:p>
            <w:pPr>
              <w:ind w:left="300"/>
              <w:spacing w:after="0" w:line="95" w:lineRule="exact"/>
              <w:rPr>
                <w:sz w:val="20"/>
                <w:szCs w:val="20"/>
                <w:color w:val="auto"/>
              </w:rPr>
            </w:pPr>
            <w:r>
              <w:rPr>
                <w:rFonts w:ascii="Arial" w:cs="Arial" w:eastAsia="Arial" w:hAnsi="Arial"/>
                <w:sz w:val="10"/>
                <w:szCs w:val="10"/>
                <w:color w:val="auto"/>
              </w:rPr>
              <w:t>or LBL, in adult and pediatric patients 1 month or</w:t>
            </w:r>
          </w:p>
        </w:tc>
        <w:tc>
          <w:tcPr>
            <w:tcW w:w="1820" w:type="dxa"/>
            <w:vAlign w:val="bottom"/>
            <w:shd w:val="clear" w:color="auto" w:fill="CCEEFF"/>
          </w:tcPr>
          <w:p>
            <w:pPr>
              <w:spacing w:after="0"/>
              <w:rPr>
                <w:sz w:val="8"/>
                <w:szCs w:val="8"/>
                <w:color w:val="auto"/>
              </w:rPr>
            </w:pPr>
          </w:p>
        </w:tc>
        <w:tc>
          <w:tcPr>
            <w:tcW w:w="29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vMerge w:val="continue"/>
            <w:shd w:val="clear" w:color="auto" w:fill="CCEEFF"/>
          </w:tcPr>
          <w:p>
            <w:pPr>
              <w:spacing w:after="0"/>
              <w:rPr>
                <w:sz w:val="11"/>
                <w:szCs w:val="11"/>
                <w:color w:val="auto"/>
              </w:rPr>
            </w:pPr>
          </w:p>
        </w:tc>
        <w:tc>
          <w:tcPr>
            <w:tcW w:w="3940" w:type="dxa"/>
            <w:vAlign w:val="bottom"/>
            <w:vMerge w:val="restart"/>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 xml:space="preserve">older who have developed hypersensitivity to </w:t>
            </w:r>
            <w:r>
              <w:rPr>
                <w:rFonts w:ascii="Arial" w:cs="Arial" w:eastAsia="Arial" w:hAnsi="Arial"/>
                <w:sz w:val="18"/>
                <w:szCs w:val="18"/>
                <w:i w:val="1"/>
                <w:iCs w:val="1"/>
                <w:color w:val="auto"/>
                <w:w w:val="95"/>
              </w:rPr>
              <w:t>E.</w:t>
            </w:r>
          </w:p>
        </w:tc>
        <w:tc>
          <w:tcPr>
            <w:tcW w:w="18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520" w:type="dxa"/>
            <w:vAlign w:val="bottom"/>
            <w:shd w:val="clear" w:color="auto" w:fill="CCEEFF"/>
          </w:tcPr>
          <w:p>
            <w:pPr>
              <w:spacing w:after="0"/>
              <w:rPr>
                <w:sz w:val="3"/>
                <w:szCs w:val="3"/>
                <w:color w:val="auto"/>
              </w:rPr>
            </w:pPr>
          </w:p>
        </w:tc>
        <w:tc>
          <w:tcPr>
            <w:tcW w:w="3940" w:type="dxa"/>
            <w:vAlign w:val="bottom"/>
            <w:vMerge w:val="continue"/>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CEEFF"/>
          </w:tcPr>
          <w:p>
            <w:pPr>
              <w:spacing w:after="0"/>
              <w:rPr>
                <w:sz w:val="19"/>
                <w:szCs w:val="19"/>
                <w:color w:val="auto"/>
              </w:rPr>
            </w:pPr>
          </w:p>
        </w:tc>
        <w:tc>
          <w:tcPr>
            <w:tcW w:w="39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8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20" w:type="dxa"/>
            <w:vAlign w:val="bottom"/>
          </w:tcPr>
          <w:p>
            <w:pPr>
              <w:spacing w:after="0"/>
              <w:rPr>
                <w:sz w:val="24"/>
                <w:szCs w:val="24"/>
                <w:color w:val="auto"/>
              </w:rPr>
            </w:pPr>
          </w:p>
        </w:tc>
        <w:tc>
          <w:tcPr>
            <w:tcW w:w="3940" w:type="dxa"/>
            <w:vAlign w:val="bottom"/>
          </w:tcPr>
          <w:p>
            <w:pPr>
              <w:ind w:left="3020"/>
              <w:spacing w:after="0"/>
              <w:rPr>
                <w:sz w:val="20"/>
                <w:szCs w:val="20"/>
                <w:color w:val="auto"/>
              </w:rPr>
            </w:pPr>
            <w:r>
              <w:rPr>
                <w:rFonts w:ascii="Arial" w:cs="Arial" w:eastAsia="Arial" w:hAnsi="Arial"/>
                <w:sz w:val="18"/>
                <w:szCs w:val="18"/>
                <w:color w:val="auto"/>
              </w:rPr>
              <w:t>30</w:t>
            </w:r>
          </w:p>
        </w:tc>
        <w:tc>
          <w:tcPr>
            <w:tcW w:w="1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(daunorubicin and</w:t>
            </w:r>
          </w:p>
        </w:tc>
        <w:tc>
          <w:tcPr>
            <w:tcW w:w="3680" w:type="dxa"/>
            <w:vAlign w:val="bottom"/>
          </w:tcPr>
          <w:p>
            <w:pPr>
              <w:ind w:left="20"/>
              <w:spacing w:after="0"/>
              <w:rPr>
                <w:sz w:val="20"/>
                <w:szCs w:val="20"/>
                <w:color w:val="auto"/>
              </w:rPr>
            </w:pPr>
            <w:r>
              <w:rPr>
                <w:rFonts w:ascii="Arial" w:cs="Arial" w:eastAsia="Arial" w:hAnsi="Arial"/>
                <w:sz w:val="18"/>
                <w:szCs w:val="18"/>
                <w:color w:val="auto"/>
                <w:w w:val="98"/>
              </w:rPr>
              <w:t>Treatment of newly-diagnosed therapy-related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cytarabine) liposome for injection</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therapy-related acute myeloid leukemia, or t-AML</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or AML with myelodysplasia-related changes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(AML-MRC) in adults and pediatric patients one</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year and older.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4"/>
              </w:rPr>
              <w:t>Treatment of adults with newly-diagnosed t-AML</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w w:val="90"/>
              </w:rPr>
              <w:t>August 2018</w:t>
            </w:r>
          </w:p>
        </w:tc>
        <w:tc>
          <w:tcPr>
            <w:tcW w:w="0" w:type="dxa"/>
            <w:vAlign w:val="bottom"/>
          </w:tcPr>
          <w:p>
            <w:pPr>
              <w:spacing w:after="0"/>
              <w:rPr>
                <w:sz w:val="1"/>
                <w:szCs w:val="1"/>
                <w:color w:val="auto"/>
              </w:rPr>
            </w:pPr>
          </w:p>
        </w:tc>
      </w:tr>
      <w:tr>
        <w:trPr>
          <w:trHeight w:val="203"/>
        </w:trPr>
        <w:tc>
          <w:tcPr>
            <w:tcW w:w="2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w:t>
            </w:r>
          </w:p>
        </w:tc>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or AML-MRC.</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powder for concentrate for solution</w:t>
            </w:r>
          </w:p>
        </w:tc>
        <w:tc>
          <w:tcPr>
            <w:tcW w:w="3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for infusion</w:t>
            </w:r>
          </w:p>
        </w:tc>
        <w:tc>
          <w:tcPr>
            <w:tcW w:w="3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2800" w:type="dxa"/>
            <w:vAlign w:val="bottom"/>
            <w:gridSpan w:val="2"/>
          </w:tcPr>
          <w:p>
            <w:pPr>
              <w:ind w:left="20"/>
              <w:spacing w:after="0"/>
              <w:rPr>
                <w:sz w:val="20"/>
                <w:szCs w:val="20"/>
                <w:color w:val="auto"/>
              </w:rPr>
            </w:pPr>
            <w:r>
              <w:rPr>
                <w:rFonts w:ascii="Arial" w:cs="Arial" w:eastAsia="Arial" w:hAnsi="Arial"/>
                <w:sz w:val="18"/>
                <w:szCs w:val="18"/>
                <w:color w:val="auto"/>
                <w:w w:val="90"/>
              </w:rPr>
              <w:t>Vyxeos</w:t>
            </w:r>
            <w:r>
              <w:rPr>
                <w:rFonts w:ascii="Arial" w:cs="Arial" w:eastAsia="Arial" w:hAnsi="Arial"/>
                <w:sz w:val="23"/>
                <w:szCs w:val="23"/>
                <w:color w:val="auto"/>
                <w:w w:val="90"/>
                <w:vertAlign w:val="superscript"/>
              </w:rPr>
              <w:t>®</w:t>
            </w:r>
            <w:r>
              <w:rPr>
                <w:rFonts w:ascii="Arial" w:cs="Arial" w:eastAsia="Arial" w:hAnsi="Arial"/>
                <w:sz w:val="18"/>
                <w:szCs w:val="18"/>
                <w:color w:val="auto"/>
                <w:w w:val="90"/>
              </w:rPr>
              <w:t xml:space="preserve"> Daunorubicin and cytarabine</w:t>
            </w:r>
          </w:p>
        </w:tc>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Treatment of adults with newly diagnosed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liposome for injection Powder, 44 mg</w:t>
            </w:r>
          </w:p>
        </w:tc>
        <w:tc>
          <w:tcPr>
            <w:tcW w:w="3680" w:type="dxa"/>
            <w:vAlign w:val="bottom"/>
            <w:vMerge w:val="continue"/>
          </w:tcPr>
          <w:p>
            <w:pPr>
              <w:spacing w:after="0"/>
              <w:rPr>
                <w:sz w:val="15"/>
                <w:szCs w:val="15"/>
                <w:color w:val="auto"/>
              </w:rPr>
            </w:pPr>
          </w:p>
        </w:tc>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April 2021</w:t>
            </w:r>
          </w:p>
        </w:tc>
        <w:tc>
          <w:tcPr>
            <w:tcW w:w="0" w:type="dxa"/>
            <w:vAlign w:val="bottom"/>
          </w:tcPr>
          <w:p>
            <w:pPr>
              <w:spacing w:after="0"/>
              <w:rPr>
                <w:sz w:val="1"/>
                <w:szCs w:val="1"/>
                <w:color w:val="auto"/>
              </w:rPr>
            </w:pPr>
          </w:p>
        </w:tc>
      </w:tr>
      <w:tr>
        <w:trPr>
          <w:trHeight w:val="202"/>
        </w:trPr>
        <w:tc>
          <w:tcPr>
            <w:tcW w:w="28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daunorubicin and 100 mg cytarabine</w:t>
            </w:r>
          </w:p>
        </w:tc>
        <w:tc>
          <w:tcPr>
            <w:tcW w:w="3680" w:type="dxa"/>
            <w:vAlign w:val="bottom"/>
          </w:tcPr>
          <w:p>
            <w:pPr>
              <w:ind w:left="20"/>
              <w:spacing w:after="0" w:line="201" w:lineRule="exact"/>
              <w:rPr>
                <w:sz w:val="20"/>
                <w:szCs w:val="20"/>
                <w:color w:val="auto"/>
              </w:rPr>
            </w:pPr>
            <w:r>
              <w:rPr>
                <w:rFonts w:ascii="Arial" w:cs="Arial" w:eastAsia="Arial" w:hAnsi="Arial"/>
                <w:sz w:val="18"/>
                <w:szCs w:val="18"/>
                <w:color w:val="auto"/>
                <w:w w:val="98"/>
              </w:rPr>
              <w:t>therapy-related t-AML or AML with AML-MRC.</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per vial, intravenous infusion</w:t>
            </w:r>
          </w:p>
        </w:tc>
        <w:tc>
          <w:tcPr>
            <w:tcW w:w="3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402" w:lineRule="exact"/>
        <w:rPr>
          <w:sz w:val="20"/>
          <w:szCs w:val="20"/>
          <w:color w:val="auto"/>
        </w:rPr>
      </w:pPr>
    </w:p>
    <w:p>
      <w:pPr>
        <w:sectPr>
          <w:pgSz w:w="11900" w:h="16838" w:orient="portrait"/>
          <w:cols w:equalWidth="0" w:num="2">
            <w:col w:w="8140" w:space="720"/>
            <w:col w:w="2360"/>
          </w:cols>
          <w:pgMar w:left="320" w:top="108" w:right="359" w:bottom="1440" w:gutter="0" w:footer="0" w:header="0"/>
        </w:sectPr>
      </w:pPr>
    </w:p>
    <w:tbl>
      <w:tblPr>
        <w:tblLayout w:type="fixed"/>
        <w:tblInd w:w="0" w:type="dxa"/>
        <w:tblCellMar>
          <w:top w:w="0" w:type="dxa"/>
          <w:left w:w="0" w:type="dxa"/>
          <w:bottom w:w="0" w:type="dxa"/>
          <w:right w:w="0" w:type="dxa"/>
        </w:tblCellMar>
      </w:tblPr>
      <w:tr>
        <w:trPr>
          <w:trHeight w:val="189"/>
        </w:trPr>
        <w:tc>
          <w:tcPr>
            <w:tcW w:w="2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Defitelio® (defibrotide sodium)</w:t>
            </w:r>
          </w:p>
        </w:tc>
        <w:tc>
          <w:tcPr>
            <w:tcW w:w="38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Treatment of adult and pediatric patients with</w:t>
            </w:r>
          </w:p>
        </w:tc>
        <w:tc>
          <w:tcPr>
            <w:tcW w:w="17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spacing w:after="0"/>
              <w:rPr>
                <w:sz w:val="15"/>
                <w:szCs w:val="15"/>
                <w:color w:val="auto"/>
              </w:rPr>
            </w:pPr>
          </w:p>
        </w:tc>
        <w:tc>
          <w:tcPr>
            <w:tcW w:w="3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hepatic veno-occlusive disease, or VOD, also</w:t>
            </w:r>
          </w:p>
        </w:tc>
        <w:tc>
          <w:tcPr>
            <w:tcW w:w="17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March 2016</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spacing w:after="0"/>
              <w:rPr>
                <w:sz w:val="15"/>
                <w:szCs w:val="15"/>
                <w:color w:val="auto"/>
              </w:rPr>
            </w:pPr>
          </w:p>
        </w:tc>
        <w:tc>
          <w:tcPr>
            <w:tcW w:w="3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known as SOS, with renal or pulmonary</w:t>
            </w:r>
          </w:p>
        </w:tc>
        <w:tc>
          <w:tcPr>
            <w:tcW w:w="1740" w:type="dxa"/>
            <w:vAlign w:val="bottom"/>
            <w:vMerge w:val="continue"/>
            <w:shd w:val="clear" w:color="auto" w:fill="CCEEFF"/>
          </w:tcPr>
          <w:p>
            <w:pPr>
              <w:spacing w:after="0"/>
              <w:rPr>
                <w:sz w:val="15"/>
                <w:szCs w:val="15"/>
                <w:color w:val="auto"/>
              </w:rPr>
            </w:pPr>
          </w:p>
        </w:tc>
        <w:tc>
          <w:tcPr>
            <w:tcW w:w="3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spacing w:after="0"/>
              <w:rPr>
                <w:sz w:val="15"/>
                <w:szCs w:val="15"/>
                <w:color w:val="auto"/>
              </w:rPr>
            </w:pPr>
          </w:p>
        </w:tc>
        <w:tc>
          <w:tcPr>
            <w:tcW w:w="3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dysfunction following hematopoietic stem cell</w:t>
            </w:r>
          </w:p>
        </w:tc>
        <w:tc>
          <w:tcPr>
            <w:tcW w:w="174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transplantation, or HSCT.</w:t>
            </w:r>
          </w:p>
        </w:tc>
        <w:tc>
          <w:tcPr>
            <w:tcW w:w="17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 (defibrotide)</w:t>
            </w: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Treatment of severe hepatic VOD, also known as</w:t>
            </w:r>
          </w:p>
        </w:tc>
        <w:tc>
          <w:tcPr>
            <w:tcW w:w="17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October 2013</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spacing w:after="0"/>
              <w:rPr>
                <w:sz w:val="15"/>
                <w:szCs w:val="15"/>
                <w:color w:val="auto"/>
              </w:rPr>
            </w:pPr>
          </w:p>
        </w:tc>
        <w:tc>
          <w:tcPr>
            <w:tcW w:w="3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SOS, following HSCT therapy.</w:t>
            </w:r>
          </w:p>
        </w:tc>
        <w:tc>
          <w:tcPr>
            <w:tcW w:w="1740" w:type="dxa"/>
            <w:vAlign w:val="bottom"/>
            <w:vMerge w:val="continue"/>
            <w:shd w:val="clear" w:color="auto" w:fill="CCEEFF"/>
          </w:tcPr>
          <w:p>
            <w:pPr>
              <w:spacing w:after="0"/>
              <w:rPr>
                <w:sz w:val="15"/>
                <w:szCs w:val="15"/>
                <w:color w:val="auto"/>
              </w:rPr>
            </w:pPr>
          </w:p>
        </w:tc>
        <w:tc>
          <w:tcPr>
            <w:tcW w:w="3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*Clobazam restriction limited to EU and Great Britain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**TSC approval pending in certain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March 2022, we announced that we had entered into a definitive agreement to divest Sunosi to Axsome Therapeutics, or Axsome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are the global leader in the development and commercialization of oxybate therapy for patients with sleep disorders. Xyrem was approved by the U.S. Food and Drug Administration, or FDA, in 2002, and has become a standard of care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w:t>
      </w:r>
    </w:p>
    <w:p>
      <w:pPr>
        <w:spacing w:after="0" w:line="80"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new therapeutic option for patients with this sleep disorder. Our commercial efforts are focused on educating patients and physicians about the lifelong impact of high sodium intake, and how the use of Xywav enables them to address what is a modifiable risk factor.</w:t>
      </w:r>
    </w:p>
    <w:p>
      <w:pPr>
        <w:spacing w:after="0" w:line="76"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In June 2021, FDA recognized seven years of Orphan Drug Exclusivity (ODE) for Xywav in narcolepsy. ODE extends through July 2027.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80"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view the adoption of Xywav in narcolepsy as a positive indication that physicians and patients appreciate the benefits of a lower sodium oxybate option. We continue to see Xywav adoption among both existing and new-to-oxybate narcolepsy patients. We now have agreements in place for Xywav with all three major pharmacy benefit managers, or PBMs, in the U.S. To date, we have entered into agreements with various entities and have achieved benefit coverage for Xywav for approximately 90% of commercial lives.</w:t>
      </w:r>
    </w:p>
    <w:p>
      <w:pPr>
        <w:spacing w:after="0" w:line="79"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On August 12, 2021, FDA approved Xywav for the treatment of IH in adults. Xywav is the first and only FDA-approved therapy to treat IH. We initiated the U.S. commercial launch of Xywav for the treatment of IH in adults on November 1, 2021.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We have seen strong adoption of Xywav in narcolepsy since its launch in November 2020. Exiting the first quarter of 2022, there were approximately 7,800 patients taking Xywav, including approximately 7,050 patients with narcolepsy and approximately 750 patients with IH. With respect to Xywav and Xyrem in the aggregate, the average number of active oxybate patients on therapy was approximately 16,650 in the first quarter of 2022.</w:t>
      </w:r>
    </w:p>
    <w:p>
      <w:pPr>
        <w:spacing w:after="0" w:line="41"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Sunosi was launched in the U.S. in 2019 as a therapy to improve wakefulness in adult patients with EDS associated with narcolepsy or OSA. Sunosi was approved in Europe in 2020, and the rolling launch is ongoing. Sunosi was approved in Canada in 2021. In March 2022, we announced that we had entered into a definitive agreement to divest Sunosi to Axsome. Under the terms of the agreement, Axsome will receive the rights to Sunosi in all of the existing territories available to us and we will receive an upfront payment of $53 million, a high single-digit royalty on Axsome’s U.S. net sales of Sunosi in current indications and a mid-single-digit royalty on Axsome’s U.S. net sales of Sunosi in future indications. The divestiture of Sunosi to Axsome is intended to enable us to sharpen our focus on our highest strategic priorities designed to deliver sustainable growth and enhanced shareholder value. In assessing the positioning of Sunosi in the overall treatment landscape, we believe that Axsome is well positioned to deliver access to this important medicine and to maximize the value of Sunosi to us through future growth. The respective obligations of the companies to consummate the transactions contemplated by the definitive agreement are subject to the satisfaction or waiver of a number of customary conditions. The transaction is structured to be completed in sequential closings for the U.S. and ex-U.S. territories. Subject to the satisfaction or waiver of the closing conditions, the companies expect the U.S. transaction to close in the second quarter of 2022 and the ex-U.S. transaction close to occur within 60 days following the close of the U.S. transaction.</w:t>
      </w:r>
    </w:p>
    <w:p>
      <w:pPr>
        <w:spacing w:after="0" w:line="7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acquired Epidiolex (Epidyolex outside the U.S.) in May 2021 as part of the acquisition of GW Pharmaceuticals plc, or GW, which we refer to as the GW Acquisition, which expands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The clobazam restriction is limited to EU and Great Britain. Outside the U.S. and Europe, Epidiolex/Epidyolex is approved in Israel and Australia.</w:t>
      </w:r>
    </w:p>
    <w:p>
      <w:pPr>
        <w:spacing w:after="0" w:line="70"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Sativex (nabiximols) is approved in more than 25 countries outside the U.S. for the treatment of adult patients with moderate to severe spasticity due to MS who have not responded adequately to other anti-spasticity medication. We market Sativex directly in the U.K. and through licensing agreements with partners across other countries. We are working toward potential approval of nabiximols in the U.S. with multiple Phase 3 clinical trials in progress.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and see continued opportunities for growth in second-line share and overall demand, reflecting the significant unmet need and favorable Zepzelca product profile. In collaboration with F. Hoffmann-La Roche Ltd (Roche), we have initiated a Phase 3 pivotal clinical trial in first-line extensive stage SCLC of Zepzelca in combination with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We are also developing Zepzelca in additional indications.</w:t>
      </w:r>
    </w:p>
    <w:p>
      <w:pPr>
        <w:spacing w:after="0" w:line="4" w:lineRule="exact"/>
        <w:rPr>
          <w:sz w:val="20"/>
          <w:szCs w:val="20"/>
          <w:color w:val="auto"/>
        </w:rPr>
      </w:pPr>
    </w:p>
    <w:p>
      <w:pPr>
        <w:ind w:firstLine="445"/>
        <w:spacing w:after="0" w:line="261" w:lineRule="auto"/>
        <w:rPr>
          <w:sz w:val="20"/>
          <w:szCs w:val="20"/>
          <w:color w:val="auto"/>
        </w:rPr>
      </w:pPr>
      <w:r>
        <w:rPr>
          <w:rFonts w:ascii="Arial" w:cs="Arial" w:eastAsia="Arial" w:hAnsi="Arial"/>
          <w:sz w:val="17"/>
          <w:szCs w:val="17"/>
          <w:color w:val="auto"/>
        </w:rPr>
        <w:t xml:space="preserve">Rylaze was approved by FDA in June 2021 under the Real-Time Oncology Review (RTOR)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Rylaze is the only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with reliable supply. The current indication is for an intramuscular (IM) dosing regimen of 25 mg/m</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every 48 hours. We submitted a supplemental Biologics License Application (sBLA) with additional data in support of a Monday/Wednesday/Friday (M/W/F) IM dosing schedule in January 2022 and submitted a separate sBLA for intravenous administration in April 2022, both which have been granted review under the RTOR program. We anticipate that data from the current development program will support regulatory filings in Europe in mid-2022, with potential for approval in 2023. The Company is also working with a partner for potential submission, approval and launch in Japan, as well as planning additional submissions in other markets.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99" w:lineRule="auto"/>
        <w:rPr>
          <w:sz w:val="20"/>
          <w:szCs w:val="20"/>
          <w:color w:val="auto"/>
        </w:rPr>
      </w:pPr>
      <w:r>
        <w:rPr>
          <w:rFonts w:ascii="Arial" w:cs="Arial" w:eastAsia="Arial" w:hAnsi="Arial"/>
          <w:sz w:val="16"/>
          <w:szCs w:val="16"/>
          <w:color w:val="auto"/>
        </w:rPr>
        <w:t>Vyxeos is a treatment for adults with newly-diagnosed t-AML, or AML-MRC. In March 2021, FDA approved a revised label to include a new indication to treat newly-diagnosed therapy-related acute myeloid leukemia (t-AML) or AML with myelodysplasia-related changes in pediatric patients aged one year and older. We have a number of ongoing development activities and continue to expand into new markets internationally. Despite an ongoing</w:t>
      </w:r>
    </w:p>
    <w:p>
      <w:pPr>
        <w:spacing w:after="0" w:line="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trend in the U.S. towards lower-intensity treatments and away from Vyxeos that accelerated due to COVID-19 pandemic, we continue to see recovery in demand for Vyxeos and expect future demand for appropriate secondary AML patients to remain steady. In Europe, we continue to expect a negative impact on demand for and utilization of Vyxeos compared to historical periods due to COVID-19.</w:t>
      </w:r>
    </w:p>
    <w:p>
      <w:pPr>
        <w:spacing w:after="0" w:line="76"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Defitelio is the first and only approved treatment for patients with VOD following HSCT. There was a significant decline in the number of patients receiving HSCT due to the effects of the COVID-19 pandemic. We anticipate the use of Defitelio will increase to the extent that hospital systems globally are able to continue moving forward with HSCT procedures.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jc w:val="both"/>
        <w:ind w:right="260" w:firstLine="445"/>
        <w:spacing w:after="0" w:line="263" w:lineRule="auto"/>
        <w:rPr>
          <w:sz w:val="20"/>
          <w:szCs w:val="20"/>
          <w:color w:val="auto"/>
        </w:rPr>
      </w:pPr>
      <w:r>
        <w:rPr>
          <w:rFonts w:ascii="Arial" w:cs="Arial" w:eastAsia="Arial" w:hAnsi="Arial"/>
          <w:sz w:val="18"/>
          <w:szCs w:val="18"/>
          <w:color w:val="auto"/>
        </w:rPr>
        <w:t xml:space="preserve">With the approvals and launches of Rylaze for the treatment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 Xywav for IH in 2021, we accomplished our goal to deliver five product launches through 2020 and 2021. We have taken both Rylaze and Xywav from concept to commercialization.</w:t>
      </w:r>
    </w:p>
    <w:p>
      <w:pPr>
        <w:spacing w:after="0" w:line="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Our neuroscience R&amp;D efforts include the planned initiation of a pivotal Phase 3 clinical trial of Epidiolex for the treatment of Epilepsy with Myoclonic-Atonic Seizures, or EMAS, also known as Doose syndrome, in the first half of 2022. This trial is expected to evaluate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w:t>
      </w:r>
    </w:p>
    <w:p>
      <w:pPr>
        <w:spacing w:after="0" w:line="80" w:lineRule="exact"/>
        <w:rPr>
          <w:sz w:val="20"/>
          <w:szCs w:val="20"/>
          <w:color w:val="auto"/>
        </w:rPr>
      </w:pPr>
    </w:p>
    <w:p>
      <w:pPr>
        <w:ind w:right="280" w:firstLine="445"/>
        <w:spacing w:after="0" w:line="311" w:lineRule="auto"/>
        <w:rPr>
          <w:sz w:val="20"/>
          <w:szCs w:val="20"/>
          <w:color w:val="auto"/>
        </w:rPr>
      </w:pPr>
      <w:r>
        <w:rPr>
          <w:rFonts w:ascii="Arial" w:cs="Arial" w:eastAsia="Arial" w:hAnsi="Arial"/>
          <w:sz w:val="16"/>
          <w:szCs w:val="16"/>
          <w:color w:val="auto"/>
        </w:rPr>
        <w:t>For nabiximols, we have three ongoing Phase 3 clinical trials in MS-related spasticity. Spasticity occurs in up to 84% of MS patients, and approximately one-third of those who experience spasticity live with uncontrolled symptoms. The first trial is a smaller, shorter trial relative to the other two. If results from this first trial are supportive, there is the potential for a New Drug Application, or NDA, submission in the U.S. by the end of 2022.</w:t>
      </w:r>
    </w:p>
    <w:p>
      <w:pPr>
        <w:spacing w:after="0" w:line="41"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Additionally, in December 2021 we initiated Phase 2 clinical trials for suvecaltamide (JZP385) for essential tremor, or ET, and for JZP150 for post-traumatic stress disorder, or PTSD. These are both patient populations that suffer significant impacts to their quality of life and for whom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119"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Within our oncology R&amp;D program, there is a robust development plan being executed for Zepzelca. We are collaborating with Roche on a pivotal Phase 3 clinical trial evaluating Zepzelca in combination with Tecentriq in first-line extensive stage SCLC. In December 2021, our licensor PharmaMar initiated a confirmatory trial in second-line SCLC. This is a three-arm trial comparing Zepzelca as either monotherapy or in combination with irinotecan to investigator's choice of irinotecan or topotecan. Data from this trial could confirm the benefit of Zepzelca in the treatment of SCLC when patients progress following first-line treatment with a platinum-based regimen.</w:t>
      </w:r>
    </w:p>
    <w:p>
      <w:pPr>
        <w:spacing w:after="0" w:line="8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2022 we initiated a Phase 2 basket trial to explore Zepzelca monotherapy in patients with select advanced or metastatic solid tumors. Cohorts will include advanced urothelial cancer, large cell neuroendocrine tumor of the lung, and homologous recombination deficient (HRD) cancers. In addition, we have initiated a Phase 4 observational study to collect real world safety and outcome data in adult Zepzelca monotherapy patients with SCLC who progress on or after prior platinum-containing chemotherapy.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For Rylaze, in January 2022 we submitted an sBLA with data in support of a M/W/F IM dosing schedule and submitted a separate sBLA for intravenous administration in April 2022, both of which have been granted review under the RTOR program. We are planning regulatory submissions in Europe in mid-2022.</w:t>
      </w:r>
    </w:p>
    <w:p>
      <w:pPr>
        <w:spacing w:after="0" w:line="76"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In the second quarter of 2022, we acquired development and commercialization rights to two preclinical compounds, consistent with our objective to expand our pipeline. In April 2022, we announced that we had entered into a licensing agreement with Werewolf Therapeutics, Inc., or Werewolf, to acquire exclusive global development and commercialization rights to Werewolf's investigational WTX-613, now referred to as JZP898. JZP898 is a differentiated, conditionally-activated interferon alpha (IFNα) INDUKINE™ molecule. Under the terms of the agreement, we made an upfront payment of $15 million to Werewolf, and Werewolf is eligible to receive development, regulatory and commercial milestone payments of up to $1.26 billion. Pending approval,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w:t>
      </w:r>
    </w:p>
    <w:p>
      <w:pPr>
        <w:spacing w:after="0" w:line="5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May 2022, we announced that we had entered into a licensing agreement with Sumitomo Pharma Co., Ltd, or Sumitomo, to acquire exclusive development and commercialization rights in the United States, Europe and other territories for DSP-0187, which we have designated JZP441, a potent, highly selective oral orexin-2 receptor agonist with potential application for the treatment of narcolepsy, IH and other sleep disorders. Under the terms of the agreement, we will make an upfront payment of $50 million to Sumitomo, and Sumitomo is eligible to receive development, regulatory and commercial milestone payments of up to $1.09 billion. Pending approval, Sumitomo is eligible to receive a tiered, low double-digit royalty on Jazz's net sales of JZP441.</w:t>
      </w:r>
    </w:p>
    <w:p>
      <w:pPr>
        <w:spacing w:after="0" w:line="84"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7940" w:type="dxa"/>
            <w:vAlign w:val="bottom"/>
            <w:gridSpan w:val="3"/>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Epidiolex</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EMAS, also known as Doose syndrome (planned study)</w:t>
            </w: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Nabiximols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MS Spasticity (multiple studies ongoing)</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Spinal cord injury spasticity (planned study)</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Suvecaltamide (JZP385)</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ET (ongoing study)</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PTSD (ongoing study)</w:t>
            </w: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cannabinoids</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Autism spectrum disorders (ongoing study)</w:t>
            </w: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Oxybate extended-release formulation (planned study)</w:t>
            </w: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Neonatal hypoxic-ischemic encephalopathy (ongoing study)</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Neuropsychiatry targets (ongoing study)</w:t>
            </w: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JZP441 (DSP-0187)</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Potent, highly selective oral orexin-2 receptor agonist</w:t>
            </w: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Neuroscience</w:t>
            </w: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Cannabinoids</w:t>
            </w: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ONCOLOGY</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Review</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Rylaze</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ALL/LBL</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FDA approval in June 2021; submitted sBLA in January 2022 seeking approval for</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8"/>
              </w:rPr>
              <w:t>Monday/Wednesday/Friday intramuscular dosing schedule; submitted separate sBLA</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2"/>
              </w:rPr>
              <w:t>seeking approval for intravenous administration; regulatory submission planned for Europe</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in mid-2022</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(ongoing study)</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Confirmatory Study (PharmaMar study) (ongoing study)</w:t>
            </w: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r>
      <w:tr>
        <w:trPr>
          <w:trHeight w:val="176"/>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w w:val="94"/>
              </w:rPr>
              <w:t>studies) (ongoing study) Newly diagnosed adults with standard- and high-risk AML (AML</w:t>
            </w: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w w:val="92"/>
              </w:rPr>
              <w:t>Study Group cooperative group study) (ongoing study) Newly diagnosed pediatric patients</w:t>
            </w: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with AML (Children’s Oncology Group cooperative group study) (ongoing study)</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Product Candidates</w:t>
            </w: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2</w:t>
            </w: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Zepzelca</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HRD (homologous recombination deficient) cancers (ongoing study)</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2"/>
              </w:rPr>
              <w:t>High-risk MDS (European Myelodysplastic Syndromes (cooperative group study) (ongoing</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study)</w:t>
            </w:r>
          </w:p>
        </w:tc>
      </w:tr>
      <w:tr>
        <w:trPr>
          <w:trHeight w:val="29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w w:val="99"/>
              </w:rPr>
              <w:t>Newly diagnosed older adults with high-risk AML (cooperative group study) (planned</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study)</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 + venetoclax</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study)</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study)</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 + other approved therapies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(ongoing study)</w:t>
            </w: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First-line, fit AML (Phase 1b study) (ongoing study)</w:t>
            </w: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Low intensity therapy for first-line, unfit AML (Phase 1b study) (ongoing study)</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ALL and other hematological malignancies (collaboration with Ligand)</w:t>
            </w: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JZP815/Pan-Raf inhibitor program</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Raf and Ras mutant tumors (acquired from Redx, which is continuing development)</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JZP898</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Conditionally-activated interferon alpha (IFNα) INDUKINE™ molecule</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Ras/Raf/MAP kinase pathway (collaboration with Redx)</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Exosome targets (up to 4)</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Codiak)</w:t>
            </w:r>
          </w:p>
        </w:tc>
      </w:tr>
      <w:tr>
        <w:trPr>
          <w:trHeight w:val="230"/>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Undisclosed targets</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We anticipate that our teams will increase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We have implemented a comprehensive response strategy designed to manage the impact of the COVID-19 pandemic on our employees, patients and our business. The prolonged nature of the pandemic is negatively impacting our business in a varied manner due to the emergence of the Delta and Omicron variants and other variants with increased transmissibility, even in some cases in vaccinated people, including limited access to health care provider offices and institutions and the willingness of patients or parents of patients to seek treatment or change existing treatments.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8"/>
          <w:szCs w:val="18"/>
          <w:color w:val="212529"/>
        </w:rPr>
        <w:t>we have begun to observe, and expect to continue to observe, a gradual normalization in patient and health</w:t>
      </w:r>
      <w:r>
        <w:rPr>
          <w:rFonts w:ascii="Arial" w:cs="Arial" w:eastAsia="Arial" w:hAnsi="Arial"/>
          <w:sz w:val="18"/>
          <w:szCs w:val="18"/>
          <w:color w:val="auto"/>
        </w:rPr>
        <w:t xml:space="preserve"> </w:t>
      </w:r>
      <w:r>
        <w:rPr>
          <w:rFonts w:ascii="Arial" w:cs="Arial" w:eastAsia="Arial" w:hAnsi="Arial"/>
          <w:sz w:val="18"/>
          <w:szCs w:val="18"/>
          <w:color w:val="212529"/>
        </w:rPr>
        <w:t>care provider practices, as providers and patients have adapted their behaviors and procedures to the evolving circumstances and as COVID-19 vaccines continue to be administered.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remote work and in-person initiatives. In addition to rolling out new technologies and collaboration tools, we have implemented processes and resources to support our employees in the event an employee receives a positive COVID-19 diagnosis. We have begun reopening some of our sites to enable our employees to return to our global offices, which take into account applicable public health authority and local government guidelines and which are designed to ensure community and employee safety. We are moving to a more flexible mix of virtual and in-person working to advance our culture, drive innovation and agility and enable greater balance and well-being for our workforce. This will also enable us to reconfigure our physical workspaces to optimize the footprint of our company-owned or leased office spaces.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lack of access to health care providers has caused, and may continue to cause, delays in appropriate diagnosis, treatment and ongoing care for some patients, which has negatively impacted, and could continue to impact, prescribing and use of our products.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Our manufacturing facilities in Athlone, Ireland, which produces Xywav and Xyrem, Villa Guardia, Italy, which produces defibrotide, and Kent Science Park, U.K., which produces Epidiolex/Epidyolex and Sativex, are operational with essential staff onsite and office-based staff working onsite and remotely as business needs require. We currently expect to have adequate global supply of all of our products for 2022.</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Similarly, our ability to recruit and retain patients and principal investigators and site staff who, as health care providers, may have heightened exposure to COVID-19, may adversely impact our clinical trial operations. Supply chain disruptions related to the pandemic may also impact our ability to initiate clinical trials in a timely manner.</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addition, we are supporting our local communities and patient-focused organizations in COVID-19 relief efforts including through corporate donations to charitable organizations providing food and medical relief to communities in which we operate, and other localities where the needs related to the impact of COVID-19 are greatest. We are engaging with patient advocacy organizations to better understand the impact of COVID-19 and working to enable patients living with sleep disorders, epilepsies and oncology conditions with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Our business has been substantially dependent on Xyrem. Our future plans assume that Xywav, with 92% lower sodium compared to Xyrem, depending on the dose, absence of a sodium warning and dosing titration option, will become the treatment of choice for patients who can benefit from oxybate treatment, including current Xyrem patients and patients who previously were not prescribed Xyrem for whom sodium content is a concern. In June 2021, FDA recognized seven years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ODE for Xywav in narcolepsy through July 21, 2027 stating that Xywav is clinically superior to Xyrem by means of greater safety due to reduced chronic sodium burden. While we expect that our business will continue to be substantially dependent on oxybate product sales from both Xywav and Xyrem, there is no guarantee that we can maintain oxybate sales at or near historical levels, or that oxybate sales will continue to grow.</w:t>
      </w:r>
    </w:p>
    <w:p>
      <w:pPr>
        <w:spacing w:after="0" w:line="5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Our ability to successfully commercialize Xywav will depend on, among other things, our ability to maintain adequate coverage and reimbursement for Xywav and acceptance of Xywav by payors, physicians and patients, including of Xywav for the treatment of idiopathic hypersomnia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and 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or ANDA, filers. Generic competition can decrease the prices at which Xywav and Xyrem are sold and the number of prescriptions written for Xywav and Xyrem. Xywav and Xyrem may also face increased competition from new branded products for treatment of cataplexy and/or EDS in narcolepsy in the U.S. market.</w:t>
      </w:r>
    </w:p>
    <w:p>
      <w:pPr>
        <w:spacing w:after="0" w:line="74"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 for its approved indications. The commercial success of Epidiolex depends on the extent to which patients and physicians accept and adopt Epidiolex as a treatment for seizures associated with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0"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53"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The success of the GW Acquisition will depend, in part, on our ability to realize the anticipated benefits from successfully combining our and GW’s businesses and we plan to continue to devote substantial management attention and resources to integrating our business practices and operations with GW’s in an effort to fully realize the anticipated benefits of the GW Acquisition. Nonetheless, Epidiolex and the other products and technologies acquired may not be successful or continue to grow at the same rate as if our companies operated independently or they may require significantly greater resources and investments than originally anticipated. Conversely, the liabilities assumed in the GW Acquisition may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GW Acquisition may not be realized fully within the expected</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timeframe or at all or may take longer to realize or cost more than expected, which could materially and adversely affect our business, financial condition, results of operations and growth prospects.</w:t>
      </w:r>
    </w:p>
    <w:p>
      <w:pPr>
        <w:spacing w:after="0" w:line="62" w:lineRule="exact"/>
        <w:rPr>
          <w:sz w:val="20"/>
          <w:szCs w:val="20"/>
          <w:color w:val="auto"/>
        </w:rPr>
      </w:pPr>
    </w:p>
    <w:p>
      <w:pPr>
        <w:ind w:right="200" w:firstLine="445"/>
        <w:spacing w:after="0" w:line="272" w:lineRule="auto"/>
        <w:rPr>
          <w:sz w:val="20"/>
          <w:szCs w:val="20"/>
          <w:color w:val="auto"/>
        </w:rPr>
      </w:pPr>
      <w:r>
        <w:rPr>
          <w:rFonts w:ascii="Arial" w:cs="Arial" w:eastAsia="Arial" w:hAnsi="Arial"/>
          <w:sz w:val="17"/>
          <w:szCs w:val="17"/>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our products and future approved products, we will not be able to achieve a return on our investment and our business, financial condition, results of operations and growth prospects would be materially adversely affected.</w:t>
      </w:r>
    </w:p>
    <w:p>
      <w:pPr>
        <w:spacing w:after="0" w:line="69"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may be removed from control under the Controlled Substances Act entirely. If any of our product candidates receive FDA approval, the U.S. Drug Enforcement Administration, or DEA, will make a scheduling determination. If any foreign regulatory authority determines that Epidyolex may have potential for abuse, or if DEA makes a similar determination for nabiximols, it may require us to generate more clinical or other data than we currently anticipate to establish whether or to what extent the substance has an abuse potential, which could increase the cost, delay the approval and/or delay the launch of that product. In addition, there are non-FDA approved cannabidiol preparations being made available from companies through the state-enabled medical marijuana industry, which might attempt to compete with Epidiolex and, if approved by FDA, nabiximols. If we are unable to compete successfully, our commercial opportunities will be reduced and our business, results of operations and financial conditions may be materially harmed.</w:t>
      </w:r>
    </w:p>
    <w:p>
      <w:pPr>
        <w:spacing w:after="0" w:line="73" w:lineRule="exact"/>
        <w:rPr>
          <w:sz w:val="20"/>
          <w:szCs w:val="20"/>
          <w:color w:val="auto"/>
        </w:rPr>
      </w:pPr>
    </w:p>
    <w:p>
      <w:pPr>
        <w:ind w:right="40" w:firstLine="445"/>
        <w:spacing w:after="0" w:line="217"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2020 to February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see Note 9, Commitments and Contingencies-Legal Proceedings of the Notes to Condensed Consolidated Financial Statements, included in Part I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1A of the annual report on Form 10-K for the year ended December 31, 2021.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line="185" w:lineRule="exact"/>
              <w:rPr>
                <w:sz w:val="20"/>
                <w:szCs w:val="20"/>
                <w:color w:val="auto"/>
              </w:rPr>
            </w:pPr>
            <w:r>
              <w:rPr>
                <w:rFonts w:ascii="Arial" w:cs="Arial" w:eastAsia="Arial" w:hAnsi="Arial"/>
                <w:sz w:val="14"/>
                <w:szCs w:val="14"/>
                <w:b w:val="1"/>
                <w:bCs w:val="1"/>
                <w:color w:val="auto"/>
                <w:w w:val="95"/>
              </w:rPr>
              <w:t>2021</w:t>
            </w:r>
            <w:r>
              <w:rPr>
                <w:rFonts w:ascii="Arial" w:cs="Arial" w:eastAsia="Arial" w:hAnsi="Arial"/>
                <w:sz w:val="18"/>
                <w:szCs w:val="18"/>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260,508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68,192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Equity in loss (gain) of investees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line="185" w:lineRule="exact"/>
              <w:rPr>
                <w:sz w:val="20"/>
                <w:szCs w:val="20"/>
                <w:color w:val="auto"/>
              </w:rPr>
            </w:pPr>
            <w:r>
              <w:rPr>
                <w:rFonts w:ascii="Arial" w:cs="Arial" w:eastAsia="Arial" w:hAnsi="Arial"/>
                <w:sz w:val="14"/>
                <w:szCs w:val="14"/>
                <w:b w:val="1"/>
                <w:bCs w:val="1"/>
                <w:color w:val="auto"/>
                <w:w w:val="95"/>
              </w:rPr>
              <w:t>2021</w:t>
            </w:r>
            <w:r>
              <w:rPr>
                <w:rFonts w:ascii="Arial" w:cs="Arial" w:eastAsia="Arial" w:hAnsi="Arial"/>
                <w:sz w:val="18"/>
                <w:szCs w:val="18"/>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Zepzelca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Vyxeos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41,068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178,176</w:t>
            </w: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Total oxybate product sales increased by $22.6 million in the three months ended March 31, 2022 compared to the same period in 2021. Total oxybate revenue bottle volume increased by 3% in the three months ended March 31, 2022 compared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same period in 2021 reflecting our continued investment in patient access programs during the launch of Xywav. Average active oxybate patients on therapy were approximately 16,650 in the first quarter of 2022, an increase of approximately 6% compared to the same period in 2021. Xyrem product sales decreased in the three months ended March 31, 2022 compared to the same period in 2021 primarily due to a decrease in sales volume, reflecting the continued adoption of Xywav by existing Xyrem patients, and higher gross to net deductions, partially offset by a higher average net selling price. Price increases were instituted in January 2021 and January 2022. Xywav product sales increased in the three months ended March 31, 2022 compared to the same period in 2021 primarily due to higher sales volumes, with bottle volume increasing by 148%. Epidiolex/Epidyolex product sales in the three months ended March 31, 2022 were $157.9 million. On a pro forma basis, Epidiolex/Epidyolex product sales increased by 6% in the three months ended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March 31, 2022 compared to the same period in 2021, primarily due to an increase in commercial sales volumes and higher average net selling price. Price increases were instituted in January 2021 and January 2022. Sunosi product sales increased in the three months ended March 31, 2022, compared to the same period in 2021 primarily due to an increase in sales volume.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Zepzelca product sales increased in the three months ended March 31, 2022 compared to the same period in 2021 primarily due to a higher average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selling price. Price increases were instituted in July 2021 and January 2022. Rylaze product sales were $54.2 million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2022, following its U.S. launch in July 2021. Vyxeos and Defitelio/defibrotide product sales for the three months ended March 31, 2022 were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line with the same period in 2021. We distributed our final Erwinaze inventory in June 2021 following expiration of our license and supply agreement.</w:t>
      </w:r>
    </w:p>
    <w:p>
      <w:pPr>
        <w:spacing w:after="0" w:line="114"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expect total product sales, net will increase in 2022 over 2021, primarily due to an increase in sales of Xywav partially offset by a decrease in Xyrem as patients continue to transition to Xywav, expected growth in, and the inclusion of a full year sales of, Epidiolex and Rylaze and expected growth in Zepzelca, partially offset by an expected reduction in Sunosi upon completion of the sale to Axsome.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product sales increased in the three months ended March 31, 2022 compared to the same period in 2021 primarily due to the cost of product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acquired in the acquisition of GW, including the acquisition accounting inventory fair value step-up expense, or fair value step-up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$63.9 million. Gross margin as a percentage of net product sales was 85.8% for the three months ended March 31, 2022 compared to 93.3% for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2021. The decrease in our gross margin percentage was primarily due to the impact of the fair value step-up expense. We expect our cost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sales to increase in 2022 compared to 2021 primarily driven by the inclusion of a full year of fair value step-up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Selling, general and administrative expenses increased in the three months ended March 31, 2022 compared to the same period in 2021, primarily due to an increase in compensation-related expenses driven by higher headcount due to the acquisition of GW. We expect selling, general and administrative expenses in 2022 to decrease compared to 2021, primarily due to a reduction in transaction and integration-related expenses and a reduction in costs associated with Sunosi upon completion of the sale to Axsome, together with synergies expected to be realized in connection with the acquisition of GW, partially offset by the inclusion of a full year of expense related to the acquired GW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36,226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76,573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Research and development expenses increased by $53.4 million in the three months ended March 31, 2022, compared to the same period in 2021. Clinical studies and outside services costs increased in the three months ended March 31, 2022 compared to the same period in 2021 primarily due to the addition of costs related to clinical programs for Epidiolex, nabiximols, cannabinoids and an increase in costs related to JZP150 and suvecaltamide (JZP385). Personnel expenses increased by $19.1 million in the three months ended March 31, 2022, compared to the same period in 2021 due to increased headcount primarily driven by the acquisition of GW.</w:t>
      </w:r>
    </w:p>
    <w:p>
      <w:pPr>
        <w:spacing w:after="0" w:line="80"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For 2022, we expect that our research and development expenses will continue to increase from previous levels due to the inclusion of a full year of expense with respect to the acquired GW business and as we prepare for anticipated data read-outs from clinical trials, initiate and undertake additional clinical trials and related development work and potentially acquire rights to additional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Intangible asset amortization increased by $103.9 million in the three months ended March 31, 2022, compared to the same period in 2021 primarily due to the inclusion of the amortization of the intangible assets arising from the acquisition of GW, primarily related to Epidiolex. Intangible asset amortization is expected to increase in 2022 compared to 2021 primarily as a result of the inclusion of a full years amortization on the intangible assets acquired in the acquisition of GW.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Interest expense, net increased by $43.3 million in the three months ended March 31, 2022, compared to the same period in 2021, primarily due to higher interest expense from (i) a seven-year $3.1 billion term loan B facility, or the Dollar Term Loan and (ii) a seven-year $625.0 million term loan B facility, or the Euro Term Loan, together with the Dollar Term Loan, collectively known as the Term Loan and 4.375% senior secured notes, due 2029, or the Secured Notes. We expect interest expense, net for 2022 to be broadly in line with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117" w:lineRule="exact"/>
        <w:rPr>
          <w:sz w:val="20"/>
          <w:szCs w:val="20"/>
          <w:color w:val="auto"/>
        </w:rPr>
      </w:pPr>
    </w:p>
    <w:p>
      <w:pPr>
        <w:ind w:right="560" w:firstLine="445"/>
        <w:spacing w:after="0" w:line="263" w:lineRule="auto"/>
        <w:rPr>
          <w:sz w:val="20"/>
          <w:szCs w:val="20"/>
          <w:color w:val="auto"/>
        </w:rPr>
      </w:pPr>
      <w:r>
        <w:rPr>
          <w:rFonts w:ascii="Arial" w:cs="Arial" w:eastAsia="Arial" w:hAnsi="Arial"/>
          <w:sz w:val="18"/>
          <w:szCs w:val="18"/>
          <w:color w:val="auto"/>
        </w:rPr>
        <w:t>The foreign exchange loss (gain)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240" w:firstLine="445"/>
        <w:spacing w:after="0" w:line="311" w:lineRule="auto"/>
        <w:rPr>
          <w:sz w:val="20"/>
          <w:szCs w:val="20"/>
          <w:color w:val="auto"/>
        </w:rPr>
      </w:pPr>
      <w:r>
        <w:rPr>
          <w:rFonts w:ascii="Arial" w:cs="Arial" w:eastAsia="Arial" w:hAnsi="Arial"/>
          <w:sz w:val="16"/>
          <w:szCs w:val="16"/>
          <w:color w:val="auto"/>
        </w:rPr>
        <w:t>Our income tax expense was $0.5 million for the three months ended March 31, 2022, compared to $18.0 million for the same period in 2021. The decrease in the income tax expense resulted primarily from the mix of pre-tax income and losses incurred across tax jurisdictions. We do not provide for Irish income taxes on undistributed earnings of our foreign operations that are intended to be indefinitely reinvested in our foreign subsidiaries.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2022, we had cash and cash equivalents of $490.8 million, borrowing availability under our revolving credit facility of</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$500.0 million and long-term debt principal balance of $6.2 billion. Our long-term debt included $3.1 billion in aggregate principal amount of the Dollar Term Loan, $1.5 billion in aggregate principal amount of the Secured Notes, $1.0 billion principal amount of the 2.00% exchangeable senior notes due 2026, or the 2026 Notes and $575.0 million principal amount of the 1.50% exchangeable senior notes due 2024, or the 2024 Notes. We generated cash flows from operations of $209.0 million during the three months ended March 31, 2022, and we expect to continue to generate positive cash flows from operations which will enable us to operate our business and de-lever our balance sheet over 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the first quarter of 2022, we repaid €208.3 million, or $251.0 million which represents the remaining principal amount of the Euro Term Loan. We have made voluntary repayments of €625.0 million, or $753.0 million, relating to Euro Term Loan and mandatory repayments of $23.3 million relating to the Dollar Term Loan since the closing of the acquisition of GW in May 2021.</w:t>
      </w:r>
    </w:p>
    <w:p>
      <w:pPr>
        <w:spacing w:after="0" w:line="76" w:lineRule="exact"/>
        <w:rPr>
          <w:sz w:val="20"/>
          <w:szCs w:val="20"/>
          <w:color w:val="auto"/>
        </w:rPr>
      </w:pPr>
    </w:p>
    <w:p>
      <w:pPr>
        <w:ind w:right="80" w:firstLine="445"/>
        <w:spacing w:after="0" w:line="218" w:lineRule="exact"/>
        <w:rPr>
          <w:sz w:val="20"/>
          <w:szCs w:val="20"/>
          <w:color w:val="auto"/>
        </w:rPr>
      </w:pPr>
      <w:r>
        <w:rPr>
          <w:rFonts w:ascii="Arial" w:cs="Arial" w:eastAsia="Arial" w:hAnsi="Arial"/>
          <w:sz w:val="16"/>
          <w:szCs w:val="16"/>
          <w:color w:val="auto"/>
        </w:rPr>
        <w:t>We have a significant amount of debt outstanding on a consolidated basis. For a more detailed description of our debt arrangements, including information relating to our scheduled maturities with respect to our long-term debt, see Note 8, Debt, of the notes to the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This substantial level of debt could have important consequences to our business, including, but not limited to the factors set forth in “Risk Factors” in Part I, Item 1A in our Annual Report on Form 10-K for the year ended December 31, 2021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8"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We believe that our existing cash and cash equivalents,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in our Annual Report on Form 10-K for the year ended December 31, 2021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3"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as a result of the COVID-19 pandemic the global financial markets have experienced significant volatility.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extraordinary general meeting of shareholders in September 2021, our shareholders voted to approve our proposal to dis-apply the statutory pre-emption obligation on terms that are substantially more limited than our general preemption opt-out authority that had been in effect prior to August 4, 2021, which could adversely affect our ability to effectively use our unissued share capital to fund in-licensing or acquisition opportunities, or to otherwise raise additional capital for our business.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3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737,132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1,039,764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Net cash provided by operating activities decreased by $76.0 million in the three months ended March 31, 2022 compared to the same period in 2021, primarily due to a decrease in net cash inflow related to changes in operating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Net cash (used in) provided by investing activities decreased by $774.4 million in the three months ended March 31, 2022 compared to the same period in 2021, primarily due to the following:</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$739.3 million in net proceeds from maturity of investments, primarily time deposits, in the three months ended March 31, 2021; and</w:t>
      </w:r>
    </w:p>
    <w:p>
      <w:pPr>
        <w:spacing w:after="0" w:line="117" w:lineRule="exact"/>
        <w:rPr>
          <w:rFonts w:ascii="Arial" w:cs="Arial" w:eastAsia="Arial" w:hAnsi="Arial"/>
          <w:sz w:val="18"/>
          <w:szCs w:val="18"/>
          <w:color w:val="auto"/>
        </w:rPr>
      </w:pPr>
    </w:p>
    <w:p>
      <w:pPr>
        <w:ind w:left="660" w:right="10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 million milestone payment to PharmaMar in relation to our first sales-based milestone for Zepzelca in the three months ended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Net cash (used in) provided by financing activities decreased by $289.1 million in the three months ended March 31, 2022 compared to the same period in 2021, primarily due to:</w:t>
      </w:r>
    </w:p>
    <w:p>
      <w:pPr>
        <w:spacing w:after="0" w:line="62" w:lineRule="exact"/>
        <w:rPr>
          <w:sz w:val="20"/>
          <w:szCs w:val="20"/>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 of long-term debt of $258.8 million in the three months ended March 31, 2022, compared to $8.3 million in the three months ended March 31,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$28.7 million in proceeds from employee equity incentive and purchase plans;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$10.0 million in payment of employee withholding taxes related to share-based awards.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8, Debt, of the Notes to Condensed Consolidated Financial Statements included in Part I, Item 1 of this Quarterly Report on Form 10-Q. During the three months ended March 31, 2022, there were no changes to the credit agreement, as set forth in Note 12, Debt, of the Notes to Consolidated Financial Statements included in our Annual Report on Form 10-K for the year ended December 31, 2021.</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0" w:firstLine="445"/>
        <w:spacing w:after="0" w:line="263" w:lineRule="auto"/>
        <w:rPr>
          <w:sz w:val="20"/>
          <w:szCs w:val="20"/>
          <w:color w:val="auto"/>
        </w:rPr>
      </w:pPr>
      <w:r>
        <w:rPr>
          <w:rFonts w:ascii="Arial" w:cs="Arial" w:eastAsia="Arial" w:hAnsi="Arial"/>
          <w:sz w:val="18"/>
          <w:szCs w:val="18"/>
          <w:color w:val="auto"/>
        </w:rPr>
        <w:t>During the three months ended March 31, 2022, there were no material changes to our contractual obligations as set forth in Part II, Item 7 “Management’s Discussion and Analysis of Financial Condition and Results of Operations” in our Annual Report on Form 10-K for the year ended December 31,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6" w:lineRule="exact"/>
        <w:rPr>
          <w:sz w:val="20"/>
          <w:szCs w:val="20"/>
          <w:color w:val="auto"/>
        </w:rPr>
      </w:pPr>
    </w:p>
    <w:p>
      <w:pPr>
        <w:ind w:right="320" w:firstLine="445"/>
        <w:spacing w:after="0" w:line="220" w:lineRule="exact"/>
        <w:rPr>
          <w:sz w:val="20"/>
          <w:szCs w:val="20"/>
          <w:color w:val="auto"/>
        </w:rPr>
      </w:pPr>
      <w:r>
        <w:rPr>
          <w:rFonts w:ascii="Arial" w:cs="Arial" w:eastAsia="Arial" w:hAnsi="Arial"/>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45"/>
        <w:spacing w:after="0" w:line="217"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in Part I, Item 1A of our Annual Report on Form 10-K for the year ended December 31, 2021.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March 31, 2022, there were no material changes to our market risk disclosures as set forth in Part II, Item 7A“Quantitative and Qualitative Disclosures About Market Risk” in our Annual Report on Form 10-K for the year ended December 31, 2021.</w:t>
      </w:r>
    </w:p>
    <w:p>
      <w:pPr>
        <w:spacing w:after="0" w:line="3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Based on their evaluation, our principal executive officer and principal financial officer concluded that our disclosure controls and procedures were effective as of March 31, 2022.</w:t>
      </w:r>
    </w:p>
    <w:p>
      <w:pPr>
        <w:spacing w:after="0" w:line="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Limitations on the Effectiveness of Controls</w:t>
      </w:r>
      <w:r>
        <w:rPr>
          <w:rFonts w:ascii="Arial" w:cs="Arial" w:eastAsia="Arial" w:hAnsi="Arial"/>
          <w:sz w:val="16"/>
          <w:szCs w:val="16"/>
          <w:color w:val="auto"/>
        </w:rPr>
        <w:t>. 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420" w:firstLine="445"/>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quarter ended March 31, 2022, other than continuing changes to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process resulting from the acquisition of GW,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0" w:firstLine="445"/>
        <w:spacing w:after="0" w:line="224" w:lineRule="exact"/>
        <w:rPr>
          <w:sz w:val="20"/>
          <w:szCs w:val="20"/>
          <w:color w:val="auto"/>
        </w:rPr>
      </w:pPr>
      <w:r>
        <w:rPr>
          <w:rFonts w:ascii="Arial" w:cs="Arial" w:eastAsia="Arial" w:hAnsi="Arial"/>
          <w:sz w:val="16"/>
          <w:szCs w:val="16"/>
          <w:color w:val="auto"/>
        </w:rPr>
        <w:t>The information required to be set forth under this Item 1 is incorporated by reference to Note 9,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There have been no material changes to the risk factors as previously disclosed in Part I, Item 1A in our Annual Report on Form 10-K for the year ended December 31, 2021.</w:t>
      </w:r>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November 2016, our board of directors authorized a share repurchase program and as of March 31, 2022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March 31, 2022, we did not repurchase any of our ordinary shares. As of March 31, 2022, the remaining amount authorized under the share repurchase program was $431.2 million.</w:t>
      </w:r>
    </w:p>
    <w:p>
      <w:pPr>
        <w:spacing w:after="0" w:line="49"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47"/>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5"/>
                <w:szCs w:val="15"/>
                <w:color w:val="auto"/>
              </w:rPr>
            </w:pPr>
          </w:p>
        </w:tc>
        <w:tc>
          <w:tcPr>
            <w:tcW w:w="10140" w:type="dxa"/>
            <w:vAlign w:val="bottom"/>
            <w:gridSpan w:val="4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140" w:type="dxa"/>
            <w:vAlign w:val="bottom"/>
            <w:gridSpan w:val="4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540" w:type="dxa"/>
            <w:vAlign w:val="bottom"/>
            <w:tcBorders>
              <w:bottom w:val="single" w:sz="8" w:color="0000FF"/>
            </w:tcBorders>
            <w:gridSpan w:val="23"/>
            <w:shd w:val="clear" w:color="auto" w:fill="CCEEFF"/>
          </w:tcPr>
          <w:p>
            <w:pPr>
              <w:spacing w:after="0" w:line="189"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580" w:type="dxa"/>
            <w:vAlign w:val="bottom"/>
            <w:tcBorders>
              <w:bottom w:val="single" w:sz="8" w:color="CCEEFF"/>
              <w:right w:val="single" w:sz="8" w:color="CCEEFF"/>
            </w:tcBorders>
            <w:gridSpan w:val="22"/>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12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80" w:type="dxa"/>
            <w:vAlign w:val="bottom"/>
            <w:tcBorders>
              <w:top w:val="single" w:sz="8" w:color="CCEEFF"/>
            </w:tcBorders>
            <w:gridSpan w:val="4"/>
            <w:shd w:val="clear" w:color="auto" w:fill="CCEEFF"/>
          </w:tcPr>
          <w:p>
            <w:pPr>
              <w:jc w:val="right"/>
              <w:ind w:right="20"/>
              <w:spacing w:after="0" w:line="155" w:lineRule="exact"/>
              <w:rPr>
                <w:rFonts w:ascii="Arial" w:cs="Arial" w:eastAsia="Arial" w:hAnsi="Arial"/>
                <w:sz w:val="16"/>
                <w:szCs w:val="16"/>
                <w:color w:val="0000FF"/>
                <w:w w:val="74"/>
              </w:rPr>
            </w:pPr>
            <w:hyperlink r:id="rId68">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33500) filed with the SEC on September 19,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Pharmaceuticals plc’s Current Report on Form 8-K (File No. 001-33500), as filed with the SEC on January 18, 2012).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7"/>
            <w:shd w:val="clear" w:color="auto" w:fill="CCEEFF"/>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(File No. 001-33500), as filed with the SEC on April 27, 2012).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40" w:type="dxa"/>
            <w:vAlign w:val="bottom"/>
            <w:tcBorders>
              <w:bottom w:val="single" w:sz="8" w:color="0000FF"/>
            </w:tcBorders>
            <w:gridSpan w:val="28"/>
          </w:tcPr>
          <w:p>
            <w:pPr>
              <w:spacing w:after="0" w:line="189"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380" w:type="dxa"/>
            <w:vAlign w:val="bottom"/>
            <w:gridSpan w:val="17"/>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40" w:type="dxa"/>
            <w:vAlign w:val="bottom"/>
            <w:gridSpan w:val="46"/>
          </w:tcPr>
          <w:p>
            <w:pPr>
              <w:spacing w:after="0" w:line="15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12, 2012).</w:t>
              </w:r>
            </w:hyperlink>
          </w:p>
        </w:tc>
        <w:tc>
          <w:tcPr>
            <w:tcW w:w="8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20" w:type="dxa"/>
            <w:vAlign w:val="bottom"/>
            <w:tcBorders>
              <w:top w:val="single" w:sz="8" w:color="0000FF"/>
            </w:tcBorders>
            <w:gridSpan w:val="41"/>
          </w:tcPr>
          <w:p>
            <w:pPr>
              <w:spacing w:after="0" w:line="15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(File No. 001-33500), as filed with the SEC on January 13,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right w:val="single" w:sz="8" w:color="CCEEFF"/>
            </w:tcBorders>
            <w:gridSpan w:val="45"/>
            <w:shd w:val="clear" w:color="auto" w:fill="CCEEFF"/>
          </w:tcPr>
          <w:p>
            <w:pPr>
              <w:spacing w:after="0" w:line="15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Jazz Pharmaceuticals plc and Gentium S.p.A. (incorporated herein by reference to Exhibit 2.1 in Jazz Pharmaceuticals plc’s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on Form 8-K (File No. 001-33500), as filed with the SEC on August 5, 2014).</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Current Report on Form 8-K (File No. 001-33500), as filed with the SEC on March 23, 2015).</w:t>
              </w:r>
            </w:hyperlink>
          </w:p>
        </w:tc>
        <w:tc>
          <w:tcPr>
            <w:tcW w:w="1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00" w:type="dxa"/>
            <w:vAlign w:val="bottom"/>
            <w:tcBorders>
              <w:top w:val="single" w:sz="8" w:color="CCEEFF"/>
              <w:right w:val="single" w:sz="8" w:color="CCEEFF"/>
            </w:tcBorders>
            <w:gridSpan w:val="18"/>
            <w:shd w:val="clear" w:color="auto" w:fill="CCEEFF"/>
          </w:tcPr>
          <w:p>
            <w:pPr>
              <w:jc w:val="right"/>
              <w:ind w:right="140"/>
              <w:spacing w:after="0" w:line="156" w:lineRule="exact"/>
              <w:rPr>
                <w:rFonts w:ascii="Arial" w:cs="Arial" w:eastAsia="Arial" w:hAnsi="Arial"/>
                <w:sz w:val="18"/>
                <w:szCs w:val="18"/>
                <w:color w:val="0000FF"/>
                <w:w w:val="85"/>
              </w:rPr>
            </w:pPr>
            <w:hyperlink r:id="rId76">
              <w:r>
                <w:rPr>
                  <w:rFonts w:ascii="Arial" w:cs="Arial" w:eastAsia="Arial" w:hAnsi="Arial"/>
                  <w:sz w:val="18"/>
                  <w:szCs w:val="18"/>
                  <w:color w:val="0000FF"/>
                  <w:w w:val="85"/>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9"/>
            <w:shd w:val="clear" w:color="auto" w:fill="CCEEFF"/>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001-33500), as filed with the SEC on May 31, 2016).</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Transaction Agreement, dated as of February 3, 2021, by and among Jazz Pharmaceuticals UK Holdings Limited,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Current Report on Form 8-K (File No. 001-33500), as filed with the SEC on February 4, 2021).</w:t>
              </w:r>
            </w:hyperlink>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020" w:type="dxa"/>
            <w:vAlign w:val="bottom"/>
            <w:tcBorders>
              <w:top w:val="single" w:sz="8" w:color="CCEEFF"/>
              <w:right w:val="single" w:sz="8" w:color="CCEEFF"/>
            </w:tcBorders>
            <w:gridSpan w:val="28"/>
            <w:shd w:val="clear" w:color="auto" w:fill="CCEEFF"/>
          </w:tcPr>
          <w:p>
            <w:pPr>
              <w:spacing w:after="0" w:line="156" w:lineRule="exact"/>
              <w:rPr>
                <w:rFonts w:ascii="Arial" w:cs="Arial" w:eastAsia="Arial" w:hAnsi="Arial"/>
                <w:sz w:val="18"/>
                <w:szCs w:val="18"/>
                <w:color w:val="0000FF"/>
                <w:w w:val="87"/>
              </w:rPr>
            </w:pPr>
            <w:hyperlink r:id="rId78">
              <w:r>
                <w:rPr>
                  <w:rFonts w:ascii="Arial" w:cs="Arial" w:eastAsia="Arial" w:hAnsi="Arial"/>
                  <w:sz w:val="18"/>
                  <w:szCs w:val="18"/>
                  <w:color w:val="0000FF"/>
                  <w:w w:val="87"/>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period ended June 30, 2016, as filed with the SEC on August 9, 2016).</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rPr>
            </w:pPr>
            <w:hyperlink r:id="rId78">
              <w:r>
                <w:rPr>
                  <w:rFonts w:ascii="Arial" w:cs="Arial" w:eastAsia="Arial" w:hAnsi="Arial"/>
                  <w:sz w:val="18"/>
                  <w:szCs w:val="18"/>
                  <w:color w:val="0000FF"/>
                </w:rPr>
                <w:t>Reference is made to Exhibit 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4.2A</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6"/>
              </w:rPr>
            </w:pPr>
            <w:hyperlink r:id="rId79">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20" w:type="dxa"/>
            <w:vAlign w:val="bottom"/>
            <w:tcBorders>
              <w:top w:val="single" w:sz="8" w:color="CCEEFF"/>
              <w:bottom w:val="single" w:sz="8" w:color="CCEEFF"/>
              <w:right w:val="single" w:sz="8" w:color="CCEEFF"/>
            </w:tcBorders>
            <w:gridSpan w:val="23"/>
            <w:vMerge w:val="restart"/>
            <w:shd w:val="clear" w:color="auto" w:fill="CCEEFF"/>
          </w:tcPr>
          <w:p>
            <w:pPr>
              <w:ind w:left="20"/>
              <w:spacing w:after="0"/>
              <w:rPr>
                <w:rFonts w:ascii="Arial" w:cs="Arial" w:eastAsia="Arial" w:hAnsi="Arial"/>
                <w:sz w:val="18"/>
                <w:szCs w:val="18"/>
                <w:color w:val="0000FF"/>
              </w:rPr>
            </w:pPr>
            <w:hyperlink r:id="rId79">
              <w:r>
                <w:rPr>
                  <w:rFonts w:ascii="Arial" w:cs="Arial" w:eastAsia="Arial" w:hAnsi="Arial"/>
                  <w:sz w:val="18"/>
                  <w:szCs w:val="18"/>
                  <w:color w:val="0000FF"/>
                </w:rPr>
                <w:t>April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500" w:type="dxa"/>
            <w:vAlign w:val="bottom"/>
            <w:gridSpan w:val="22"/>
            <w:shd w:val="clear" w:color="auto" w:fill="CCEEFF"/>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620" w:type="dxa"/>
            <w:vAlign w:val="bottom"/>
            <w:tcBorders>
              <w:right w:val="single" w:sz="8" w:color="CCEEFF"/>
            </w:tcBorders>
            <w:gridSpan w:val="23"/>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29, 2021).</w:t>
              </w:r>
            </w:hyperlink>
          </w:p>
        </w:tc>
        <w:tc>
          <w:tcPr>
            <w:tcW w:w="86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62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4.2B</w:t>
            </w: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Form 8-K (File No. 001-033500), as filed with the SEC on April 29, 2021).</w:t>
              </w:r>
            </w:hyperlink>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4.2C</w:t>
            </w:r>
          </w:p>
        </w:tc>
        <w:tc>
          <w:tcPr>
            <w:tcW w:w="30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7"/>
              </w:rPr>
            </w:pPr>
            <w:hyperlink r:id="rId80">
              <w:r>
                <w:rPr>
                  <w:rFonts w:ascii="Arial" w:cs="Arial" w:eastAsia="Arial" w:hAnsi="Arial"/>
                  <w:sz w:val="18"/>
                  <w:szCs w:val="18"/>
                  <w:color w:val="0000FF"/>
                  <w:w w:val="97"/>
                </w:rPr>
                <w:t>First Supplemental Indenture, dated as of July 21, 2021, among GW Pharmaceuticals Limited, GW Global Services (International)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top w:val="single" w:sz="8" w:color="CCEEFF"/>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Limited, GW Pharma Limited, GW Research Limited, GW UK Services Limited and Greenwich Biosciences, Inc., Jazz Securities</w:t>
              </w:r>
            </w:hyperlink>
          </w:p>
        </w:tc>
        <w:tc>
          <w:tcPr>
            <w:tcW w:w="260" w:type="dxa"/>
            <w:vAlign w:val="bottom"/>
            <w:tcBorders>
              <w:top w:val="single" w:sz="8" w:color="CCEEFF"/>
            </w:tcBorders>
            <w:gridSpan w:val="5"/>
            <w:shd w:val="clear" w:color="auto" w:fill="CCEEFF"/>
          </w:tcPr>
          <w:p>
            <w:pPr>
              <w:spacing w:after="0"/>
              <w:rPr>
                <w:sz w:val="14"/>
                <w:szCs w:val="14"/>
                <w:color w:val="auto"/>
              </w:rPr>
            </w:pPr>
          </w:p>
        </w:tc>
        <w:tc>
          <w:tcPr>
            <w:tcW w:w="440" w:type="dxa"/>
            <w:vAlign w:val="bottom"/>
            <w:tcBorders>
              <w:top w:val="single" w:sz="8" w:color="CCEEFF"/>
              <w:right w:val="single" w:sz="8" w:color="CCEEFF"/>
            </w:tcBorders>
            <w:gridSpan w:val="20"/>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Borders>
              <w:top w:val="single" w:sz="8" w:color="CCEEFF"/>
              <w:left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19"/>
            <w:shd w:val="clear" w:color="auto" w:fill="CCEEFF"/>
          </w:tcPr>
          <w:p>
            <w:pPr>
              <w:spacing w:after="0" w:line="169"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Designated Activity Company, and U.S. Bank National Association, as trustee under the Indenture, dated as of April 29, 2021.</w:t>
              </w:r>
            </w:hyperlink>
          </w:p>
        </w:tc>
        <w:tc>
          <w:tcPr>
            <w:tcW w:w="280" w:type="dxa"/>
            <w:vAlign w:val="bottom"/>
            <w:tcBorders>
              <w:top w:val="single" w:sz="8" w:color="CCEEFF"/>
            </w:tcBorders>
            <w:gridSpan w:val="6"/>
            <w:shd w:val="clear" w:color="auto" w:fill="CCEEFF"/>
          </w:tcPr>
          <w:p>
            <w:pPr>
              <w:spacing w:after="0"/>
              <w:rPr>
                <w:sz w:val="14"/>
                <w:szCs w:val="14"/>
                <w:color w:val="auto"/>
              </w:rPr>
            </w:pPr>
          </w:p>
        </w:tc>
        <w:tc>
          <w:tcPr>
            <w:tcW w:w="440" w:type="dxa"/>
            <w:vAlign w:val="bottom"/>
            <w:tcBorders>
              <w:top w:val="single" w:sz="8" w:color="CCEEFF"/>
              <w:right w:val="single" w:sz="8" w:color="CCEEFF"/>
            </w:tcBorders>
            <w:gridSpan w:val="20"/>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80" w:type="dxa"/>
            <w:vAlign w:val="bottom"/>
            <w:tcBorders>
              <w:top w:val="single" w:sz="8" w:color="CCEEFF"/>
              <w:lef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w w:val="97"/>
              </w:rPr>
              <w:t>10.1#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20" w:type="dxa"/>
            <w:vAlign w:val="bottom"/>
            <w:gridSpan w:val="45"/>
          </w:tcPr>
          <w:p>
            <w:pPr>
              <w:spacing w:after="0" w:line="189" w:lineRule="exact"/>
              <w:rPr>
                <w:rFonts w:ascii="Arial" w:cs="Arial" w:eastAsia="Arial" w:hAnsi="Arial"/>
                <w:sz w:val="18"/>
                <w:szCs w:val="18"/>
                <w:color w:val="0000FF"/>
                <w:w w:val="93"/>
              </w:rPr>
            </w:pPr>
            <w:hyperlink w:anchor="page50">
              <w:r>
                <w:rPr>
                  <w:rFonts w:ascii="Arial" w:cs="Arial" w:eastAsia="Arial" w:hAnsi="Arial"/>
                  <w:sz w:val="18"/>
                  <w:szCs w:val="18"/>
                  <w:color w:val="0000FF"/>
                  <w:w w:val="93"/>
                </w:rPr>
                <w:t>Amendment No. 4, dated as of April 18, 2022 to Pharmacy Master Services Agreement, dated as of July 1, 2020, by and between Jazz</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Pharmaceuticals, Inc. and Express Scripts Specialty Distribution Services, Inc.</w:t>
              </w:r>
            </w:hyperlink>
          </w:p>
        </w:tc>
        <w:tc>
          <w:tcPr>
            <w:tcW w:w="46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560" w:type="dxa"/>
            <w:vAlign w:val="bottom"/>
            <w:tcBorders>
              <w:top w:val="single" w:sz="8" w:color="0000FF"/>
            </w:tcBorders>
            <w:gridSpan w:val="6"/>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6"/>
            <w:shd w:val="clear" w:color="auto" w:fill="CCEEFF"/>
          </w:tcPr>
          <w:p>
            <w:pP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Certification of Chief Executive Officer pursuant to Rules 13a-14(a) and 15d-14(a) promulgated under the Securities Exchange Act of</w:t>
              </w:r>
            </w:hyperlink>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1934, as amended.</w:t>
              </w:r>
            </w:hyperlink>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6"/>
          </w:tcPr>
          <w:p>
            <w:pPr>
              <w:spacing w:after="0" w:line="189" w:lineRule="exact"/>
              <w:rPr>
                <w:rFonts w:ascii="Arial" w:cs="Arial" w:eastAsia="Arial" w:hAnsi="Arial"/>
                <w:sz w:val="18"/>
                <w:szCs w:val="18"/>
                <w:color w:val="0000FF"/>
                <w:w w:val="95"/>
              </w:rPr>
            </w:pPr>
            <w:hyperlink w:anchor="page66">
              <w:r>
                <w:rPr>
                  <w:rFonts w:ascii="Arial" w:cs="Arial" w:eastAsia="Arial" w:hAnsi="Arial"/>
                  <w:sz w:val="18"/>
                  <w:szCs w:val="18"/>
                  <w:color w:val="0000FF"/>
                  <w:w w:val="95"/>
                </w:rPr>
                <w:t>Certification of Chief Financial Officer pursuant to Rules 13a-14(a) and 15d-14(a) promulgated under the Securities Exchange Act of</w:t>
              </w:r>
            </w:hyperlink>
          </w:p>
        </w:tc>
      </w:tr>
      <w:tr>
        <w:trPr>
          <w:trHeight w:val="156"/>
        </w:trPr>
        <w:tc>
          <w:tcPr>
            <w:tcW w:w="1120" w:type="dxa"/>
            <w:vAlign w:val="bottom"/>
          </w:tcPr>
          <w:p>
            <w:pPr>
              <w:spacing w:after="0"/>
              <w:rPr>
                <w:sz w:val="13"/>
                <w:szCs w:val="13"/>
                <w:color w:val="auto"/>
              </w:rPr>
            </w:pPr>
          </w:p>
        </w:tc>
        <w:tc>
          <w:tcPr>
            <w:tcW w:w="96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1934, as amended.</w:t>
              </w:r>
            </w:hyperlink>
          </w:p>
        </w:tc>
        <w:tc>
          <w:tcPr>
            <w:tcW w:w="2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1"/>
        </w:trPr>
        <w:tc>
          <w:tcPr>
            <w:tcW w:w="11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gridSpan w:val="6"/>
            <w:shd w:val="clear" w:color="auto" w:fill="CCEEFF"/>
          </w:tcPr>
          <w:p>
            <w:pPr>
              <w:spacing w:after="0" w:line="189"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906 of the Sarbanes-Oxley Act of 2002.</w:t>
              </w:r>
            </w:hyperlink>
          </w:p>
        </w:tc>
        <w:tc>
          <w:tcPr>
            <w:tcW w:w="698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11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6"/>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1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40" w:hanging="1101"/>
        <w:spacing w:after="0"/>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Confidential treatment has been granted for portions of this exhibit (indicated by “[*]”). Omitted portions have been filed separately with the SEC.</w:t>
      </w:r>
    </w:p>
    <w:p>
      <w:pPr>
        <w:spacing w:after="0" w:line="75" w:lineRule="exact"/>
        <w:rPr>
          <w:sz w:val="20"/>
          <w:szCs w:val="20"/>
          <w:color w:val="auto"/>
        </w:rPr>
      </w:pPr>
    </w:p>
    <w:p>
      <w:pPr>
        <w:ind w:left="500" w:right="240" w:hanging="492"/>
        <w:spacing w:after="0" w:line="277" w:lineRule="auto"/>
        <w:tabs>
          <w:tab w:leader="none" w:pos="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because they are not material and are the type that the Company treats as private and confidential.</w:t>
      </w:r>
    </w:p>
    <w:p>
      <w:pPr>
        <w:spacing w:after="0" w:line="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of this exhibit have been omitted pursuant to Item 601(b)(2) of Regulation S-K.</w:t>
      </w:r>
    </w:p>
    <w:p>
      <w:pPr>
        <w:spacing w:after="0" w:line="63" w:lineRule="exact"/>
        <w:rPr>
          <w:sz w:val="20"/>
          <w:szCs w:val="20"/>
          <w:color w:val="auto"/>
        </w:rPr>
      </w:pPr>
    </w:p>
    <w:p>
      <w:pPr>
        <w:ind w:left="500" w:right="60" w:hanging="492"/>
        <w:spacing w:after="0" w:line="220" w:lineRule="exact"/>
        <w:tabs>
          <w:tab w:leader="none" w:pos="2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20"/>
          </w:cols>
          <w:pgMar w:left="320" w:top="125" w:right="859" w:bottom="1440" w:gutter="0" w:footer="0" w:header="0"/>
        </w:sectPr>
      </w:pPr>
    </w:p>
    <w:bookmarkStart w:id="49" w:name="page50"/>
    <w:bookmarkEnd w:id="49"/>
    <w:p>
      <w:pPr>
        <w:jc w:val="both"/>
        <w:ind w:firstLine="8"/>
        <w:spacing w:after="0" w:line="225" w:lineRule="auto"/>
        <w:tabs>
          <w:tab w:leader="none" w:pos="598"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CERTAIN PORTIONS OF THIS AGREEMENT HAVE BEEN OMITTED BECAUSE THE OMITTED PORTIONS ARE BOTH (I) NOT MATERIAL AND (II) IS THE TYPE THAT THE REGISTRANT TREATS AS PRIVATE OR CONFIDENTIAL.</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 TO PHARMACY MASTER SERVICES AGREEMENT</w:t>
      </w:r>
    </w:p>
    <w:p>
      <w:pPr>
        <w:spacing w:after="0" w:line="104" w:lineRule="exact"/>
        <w:rPr>
          <w:sz w:val="20"/>
          <w:szCs w:val="20"/>
          <w:color w:val="auto"/>
        </w:rPr>
      </w:pPr>
    </w:p>
    <w:p>
      <w:pPr>
        <w:jc w:val="both"/>
        <w:ind w:left="100" w:right="100"/>
        <w:spacing w:after="0" w:line="215" w:lineRule="auto"/>
        <w:rPr>
          <w:sz w:val="20"/>
          <w:szCs w:val="20"/>
          <w:color w:val="auto"/>
        </w:rPr>
      </w:pPr>
      <w:r>
        <w:rPr>
          <w:rFonts w:ascii="Arial" w:cs="Arial" w:eastAsia="Arial" w:hAnsi="Arial"/>
          <w:sz w:val="22"/>
          <w:szCs w:val="22"/>
          <w:color w:val="auto"/>
        </w:rPr>
        <w:t>THIS AMENDMENT NO. 4 (this “</w:t>
      </w:r>
      <w:r>
        <w:rPr>
          <w:rFonts w:ascii="Arial" w:cs="Arial" w:eastAsia="Arial" w:hAnsi="Arial"/>
          <w:sz w:val="22"/>
          <w:szCs w:val="22"/>
          <w:b w:val="1"/>
          <w:bCs w:val="1"/>
          <w:color w:val="auto"/>
        </w:rPr>
        <w:t>Amendment</w:t>
      </w:r>
      <w:r>
        <w:rPr>
          <w:rFonts w:ascii="Arial" w:cs="Arial" w:eastAsia="Arial" w:hAnsi="Arial"/>
          <w:sz w:val="22"/>
          <w:szCs w:val="22"/>
          <w:color w:val="auto"/>
        </w:rPr>
        <w:t>”) to the Agreement (as defined below) is entered into as of April 18, 2022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Jazz Pharmaceuticals, Inc. with a principal place of business at 3170 Porter Drive, Palo Alto, CA 94304 (“</w:t>
      </w:r>
      <w:r>
        <w:rPr>
          <w:rFonts w:ascii="Arial" w:cs="Arial" w:eastAsia="Arial" w:hAnsi="Arial"/>
          <w:sz w:val="22"/>
          <w:szCs w:val="22"/>
          <w:b w:val="1"/>
          <w:bCs w:val="1"/>
          <w:color w:val="auto"/>
        </w:rPr>
        <w:t>Jazz Pharmaceuticals</w:t>
      </w:r>
      <w:r>
        <w:rPr>
          <w:rFonts w:ascii="Arial" w:cs="Arial" w:eastAsia="Arial" w:hAnsi="Arial"/>
          <w:sz w:val="22"/>
          <w:szCs w:val="22"/>
          <w:color w:val="auto"/>
        </w:rPr>
        <w:t>”) and Express Scripts Specialty Distribution Services, Inc. with a principal place of business at One Express Way, St. Louis, MO 63121 (“</w:t>
      </w:r>
      <w:r>
        <w:rPr>
          <w:rFonts w:ascii="Arial" w:cs="Arial" w:eastAsia="Arial" w:hAnsi="Arial"/>
          <w:sz w:val="22"/>
          <w:szCs w:val="22"/>
          <w:b w:val="1"/>
          <w:bCs w:val="1"/>
          <w:color w:val="auto"/>
        </w:rPr>
        <w:t>ESSDS</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or each separately, a “</w:t>
      </w:r>
      <w:r>
        <w:rPr>
          <w:rFonts w:ascii="Arial" w:cs="Arial" w:eastAsia="Arial" w:hAnsi="Arial"/>
          <w:sz w:val="22"/>
          <w:szCs w:val="22"/>
          <w:b w:val="1"/>
          <w:bCs w:val="1"/>
          <w:color w:val="auto"/>
        </w:rPr>
        <w:t>Party</w:t>
      </w:r>
      <w:r>
        <w:rPr>
          <w:rFonts w:ascii="Arial" w:cs="Arial" w:eastAsia="Arial" w:hAnsi="Arial"/>
          <w:sz w:val="22"/>
          <w:szCs w:val="22"/>
          <w:color w:val="auto"/>
        </w:rPr>
        <w:t>”). Capitalized terms used but not defined herein shall have the meanings ascribed to them in the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left="100"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Jazz Pharmaceuticals and ESSDS entered into that certain Pharmacy Master Services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dated July 1, 2020, pursuant to which ESSDS provides dispensing, distribution and other services for Xyrem and Xywav; and</w:t>
      </w:r>
    </w:p>
    <w:p>
      <w:pPr>
        <w:spacing w:after="0" w:line="180" w:lineRule="exact"/>
        <w:rPr>
          <w:sz w:val="20"/>
          <w:szCs w:val="20"/>
          <w:color w:val="auto"/>
        </w:rPr>
      </w:pPr>
    </w:p>
    <w:p>
      <w:pPr>
        <w:jc w:val="both"/>
        <w:ind w:left="100" w:right="120" w:firstLine="647"/>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Agreement in order to allow ESSDS to perform dispensing,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services for Jazz Pharmaceuticals for Authorized Generic Product (as defined below).</w:t>
      </w:r>
    </w:p>
    <w:p>
      <w:pPr>
        <w:spacing w:after="0" w:line="193" w:lineRule="exact"/>
        <w:rPr>
          <w:sz w:val="20"/>
          <w:szCs w:val="20"/>
          <w:color w:val="auto"/>
        </w:rPr>
      </w:pPr>
    </w:p>
    <w:p>
      <w:pPr>
        <w:jc w:val="both"/>
        <w:ind w:left="100" w:right="120" w:firstLine="647"/>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above recitals, each of which is incorporated by this reference, the</w:t>
      </w:r>
      <w:r>
        <w:rPr>
          <w:rFonts w:ascii="Arial" w:cs="Arial" w:eastAsia="Arial" w:hAnsi="Arial"/>
          <w:sz w:val="22"/>
          <w:szCs w:val="22"/>
          <w:b w:val="1"/>
          <w:bCs w:val="1"/>
          <w:color w:val="auto"/>
        </w:rPr>
        <w:t xml:space="preserve"> </w:t>
      </w:r>
      <w:r>
        <w:rPr>
          <w:rFonts w:ascii="Arial" w:cs="Arial" w:eastAsia="Arial" w:hAnsi="Arial"/>
          <w:sz w:val="22"/>
          <w:szCs w:val="22"/>
          <w:color w:val="auto"/>
        </w:rPr>
        <w:t>mutual promises and covenants set forth below, and other good and valuable consideration, the receipt and sufficiency of which are hereby acknowledged, the Parties agree as follows:</w:t>
      </w:r>
    </w:p>
    <w:p>
      <w:pPr>
        <w:spacing w:after="0" w:line="199" w:lineRule="exact"/>
        <w:rPr>
          <w:sz w:val="20"/>
          <w:szCs w:val="20"/>
          <w:color w:val="auto"/>
        </w:rPr>
      </w:pPr>
    </w:p>
    <w:p>
      <w:pPr>
        <w:ind w:left="740" w:right="320" w:hanging="31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Average Daily Sales</w:t>
      </w:r>
      <w:r>
        <w:rPr>
          <w:rFonts w:ascii="Arial" w:cs="Arial" w:eastAsia="Arial" w:hAnsi="Arial"/>
          <w:sz w:val="22"/>
          <w:szCs w:val="22"/>
          <w:color w:val="auto"/>
        </w:rPr>
        <w:t>. Section 1.4 of the Agreement is hereby amended and restated in its entirety as follows:</w:t>
      </w:r>
    </w:p>
    <w:p>
      <w:pPr>
        <w:spacing w:after="0" w:line="185" w:lineRule="exact"/>
        <w:rPr>
          <w:rFonts w:ascii="Arial" w:cs="Arial" w:eastAsia="Arial" w:hAnsi="Arial"/>
          <w:sz w:val="22"/>
          <w:szCs w:val="22"/>
          <w:color w:val="auto"/>
        </w:rPr>
      </w:pPr>
    </w:p>
    <w:p>
      <w:pPr>
        <w:jc w:val="both"/>
        <w:ind w:left="1400" w:right="100"/>
        <w:spacing w:after="0" w:line="223" w:lineRule="auto"/>
        <w:rPr>
          <w:rFonts w:ascii="Arial" w:cs="Arial" w:eastAsia="Arial" w:hAnsi="Arial"/>
          <w:sz w:val="22"/>
          <w:szCs w:val="22"/>
          <w:color w:val="auto"/>
        </w:rPr>
      </w:pPr>
      <w:r>
        <w:rPr>
          <w:rFonts w:ascii="Arial" w:cs="Arial" w:eastAsia="Arial" w:hAnsi="Arial"/>
          <w:sz w:val="22"/>
          <w:szCs w:val="22"/>
          <w:color w:val="auto"/>
        </w:rPr>
        <w:t>“ “Average Daily Sales” shall mean the average number of commercial bottles of Xyrem and Xywav sold per day over the previous six (6) months, excluding all sales of Product (i) for dispensing to VA, and (ii) to Puerto Rico.”</w:t>
      </w:r>
    </w:p>
    <w:p>
      <w:pPr>
        <w:spacing w:after="0" w:line="185" w:lineRule="exact"/>
        <w:rPr>
          <w:rFonts w:ascii="Arial" w:cs="Arial" w:eastAsia="Arial" w:hAnsi="Arial"/>
          <w:sz w:val="22"/>
          <w:szCs w:val="22"/>
          <w:color w:val="auto"/>
        </w:rPr>
      </w:pPr>
    </w:p>
    <w:p>
      <w:pPr>
        <w:ind w:left="740" w:right="800" w:hanging="31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Bridge Benefit</w:t>
      </w:r>
      <w:r>
        <w:rPr>
          <w:rFonts w:ascii="Arial" w:cs="Arial" w:eastAsia="Arial" w:hAnsi="Arial"/>
          <w:sz w:val="22"/>
          <w:szCs w:val="22"/>
          <w:color w:val="auto"/>
        </w:rPr>
        <w:t>. Section 1.5 of the Agreement is hereby amended and restated in its entirety as follows:</w:t>
      </w:r>
    </w:p>
    <w:p>
      <w:pPr>
        <w:spacing w:after="0" w:line="185" w:lineRule="exact"/>
        <w:rPr>
          <w:rFonts w:ascii="Arial" w:cs="Arial" w:eastAsia="Arial" w:hAnsi="Arial"/>
          <w:sz w:val="22"/>
          <w:szCs w:val="22"/>
          <w:color w:val="auto"/>
        </w:rPr>
      </w:pPr>
    </w:p>
    <w:p>
      <w:pPr>
        <w:jc w:val="both"/>
        <w:ind w:left="1400" w:right="100"/>
        <w:spacing w:after="0" w:line="223" w:lineRule="auto"/>
        <w:rPr>
          <w:rFonts w:ascii="Arial" w:cs="Arial" w:eastAsia="Arial" w:hAnsi="Arial"/>
          <w:sz w:val="22"/>
          <w:szCs w:val="22"/>
          <w:color w:val="auto"/>
        </w:rPr>
      </w:pPr>
      <w:r>
        <w:rPr>
          <w:rFonts w:ascii="Arial" w:cs="Arial" w:eastAsia="Arial" w:hAnsi="Arial"/>
          <w:sz w:val="22"/>
          <w:szCs w:val="22"/>
          <w:color w:val="auto"/>
        </w:rPr>
        <w:t>“ “Bridge Benefit” shall mean the Jazz Pharmaceuticals’ or Authorized Generic Partner sponsored program that provides Product at no cost to eligible patients who are at risk of an interruption in therapy due to a change in their insurance circumstances.”</w:t>
      </w:r>
    </w:p>
    <w:p>
      <w:pPr>
        <w:spacing w:after="0" w:line="185" w:lineRule="exact"/>
        <w:rPr>
          <w:rFonts w:ascii="Arial" w:cs="Arial" w:eastAsia="Arial" w:hAnsi="Arial"/>
          <w:sz w:val="22"/>
          <w:szCs w:val="22"/>
          <w:color w:val="auto"/>
        </w:rPr>
      </w:pPr>
    </w:p>
    <w:p>
      <w:pPr>
        <w:ind w:left="740" w:right="800" w:hanging="31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Patient Assistance Program</w:t>
      </w:r>
      <w:r>
        <w:rPr>
          <w:rFonts w:ascii="Arial" w:cs="Arial" w:eastAsia="Arial" w:hAnsi="Arial"/>
          <w:sz w:val="22"/>
          <w:szCs w:val="22"/>
          <w:color w:val="auto"/>
        </w:rPr>
        <w:t>. Section 1.19 of the Agreement is hereby amended and restated in its entirety as follows:</w:t>
      </w:r>
    </w:p>
    <w:p>
      <w:pPr>
        <w:spacing w:after="0" w:line="179" w:lineRule="exact"/>
        <w:rPr>
          <w:rFonts w:ascii="Arial" w:cs="Arial" w:eastAsia="Arial" w:hAnsi="Arial"/>
          <w:sz w:val="22"/>
          <w:szCs w:val="22"/>
          <w:color w:val="auto"/>
        </w:rPr>
      </w:pPr>
    </w:p>
    <w:p>
      <w:pPr>
        <w:jc w:val="both"/>
        <w:ind w:left="1400" w:right="120"/>
        <w:spacing w:after="0" w:line="225" w:lineRule="auto"/>
        <w:rPr>
          <w:rFonts w:ascii="Arial" w:cs="Arial" w:eastAsia="Arial" w:hAnsi="Arial"/>
          <w:sz w:val="22"/>
          <w:szCs w:val="22"/>
          <w:color w:val="auto"/>
        </w:rPr>
      </w:pPr>
      <w:r>
        <w:rPr>
          <w:rFonts w:ascii="Arial" w:cs="Arial" w:eastAsia="Arial" w:hAnsi="Arial"/>
          <w:sz w:val="22"/>
          <w:szCs w:val="22"/>
          <w:b w:val="1"/>
          <w:bCs w:val="1"/>
          <w:color w:val="auto"/>
        </w:rPr>
        <w:t>“ “</w:t>
      </w:r>
      <w:r>
        <w:rPr>
          <w:rFonts w:ascii="Arial" w:cs="Arial" w:eastAsia="Arial" w:hAnsi="Arial"/>
          <w:sz w:val="22"/>
          <w:szCs w:val="22"/>
          <w:color w:val="auto"/>
        </w:rPr>
        <w:t>Patient Assistance Program” or “PAP” shall mean the Jazz Pharmaceuticals’ sponsored program that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provides Xyrem or Xywav at no cost to eligible patients. Jazz Pharmaceuticals has sole discretion over the eligibility criteria and operation</w:t>
      </w:r>
    </w:p>
    <w:p>
      <w:pPr>
        <w:sectPr>
          <w:pgSz w:w="11900" w:h="16838" w:orient="portrait"/>
          <w:cols w:equalWidth="0" w:num="1">
            <w:col w:w="11240"/>
          </w:cols>
          <w:pgMar w:left="320" w:top="1300" w:right="339" w:bottom="1440" w:gutter="0" w:footer="0" w:header="0"/>
        </w:sectPr>
      </w:pPr>
    </w:p>
    <w:bookmarkStart w:id="50" w:name="page51"/>
    <w:bookmarkEnd w:id="50"/>
    <w:p>
      <w:pPr>
        <w:ind w:left="980"/>
        <w:spacing w:after="0"/>
        <w:rPr>
          <w:sz w:val="20"/>
          <w:szCs w:val="20"/>
          <w:color w:val="auto"/>
        </w:rPr>
      </w:pPr>
      <w:r>
        <w:rPr>
          <w:rFonts w:ascii="Arial" w:cs="Arial" w:eastAsia="Arial" w:hAnsi="Arial"/>
          <w:sz w:val="19"/>
          <w:szCs w:val="19"/>
          <w:color w:val="auto"/>
        </w:rPr>
        <w:t>of the PAP. “PAP Patient” shall mean a Patient who has been approved as eligible to participate in the PAP.”</w:t>
      </w:r>
    </w:p>
    <w:p>
      <w:pPr>
        <w:spacing w:after="0" w:line="281" w:lineRule="exact"/>
        <w:rPr>
          <w:sz w:val="20"/>
          <w:szCs w:val="20"/>
          <w:color w:val="auto"/>
        </w:rPr>
      </w:pPr>
    </w:p>
    <w:p>
      <w:pPr>
        <w:ind w:left="320" w:right="22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PAP Order</w:t>
      </w:r>
      <w:r>
        <w:rPr>
          <w:rFonts w:ascii="Arial" w:cs="Arial" w:eastAsia="Arial" w:hAnsi="Arial"/>
          <w:sz w:val="22"/>
          <w:szCs w:val="22"/>
          <w:color w:val="auto"/>
        </w:rPr>
        <w:t>. Section 1.20 of the Agreement is hereby amended and restated in its entirety as follows:</w:t>
      </w:r>
    </w:p>
    <w:p>
      <w:pPr>
        <w:spacing w:after="0" w:line="195" w:lineRule="exact"/>
        <w:rPr>
          <w:rFonts w:ascii="Arial" w:cs="Arial" w:eastAsia="Arial" w:hAnsi="Arial"/>
          <w:sz w:val="22"/>
          <w:szCs w:val="22"/>
          <w:color w:val="auto"/>
        </w:rPr>
      </w:pPr>
    </w:p>
    <w:p>
      <w:pPr>
        <w:ind w:left="980" w:right="20"/>
        <w:spacing w:after="0" w:line="269" w:lineRule="auto"/>
        <w:rPr>
          <w:rFonts w:ascii="Arial" w:cs="Arial" w:eastAsia="Arial" w:hAnsi="Arial"/>
          <w:sz w:val="22"/>
          <w:szCs w:val="22"/>
          <w:color w:val="auto"/>
        </w:rPr>
      </w:pPr>
      <w:r>
        <w:rPr>
          <w:rFonts w:ascii="Arial" w:cs="Arial" w:eastAsia="Arial" w:hAnsi="Arial"/>
          <w:sz w:val="22"/>
          <w:szCs w:val="22"/>
          <w:b w:val="1"/>
          <w:bCs w:val="1"/>
          <w:color w:val="auto"/>
        </w:rPr>
        <w:t>“ “</w:t>
      </w:r>
      <w:r>
        <w:rPr>
          <w:rFonts w:ascii="Arial" w:cs="Arial" w:eastAsia="Arial" w:hAnsi="Arial"/>
          <w:sz w:val="22"/>
          <w:szCs w:val="22"/>
          <w:color w:val="auto"/>
        </w:rPr>
        <w:t>PAP Order” shall mean each shipment of Xyrem or Xywav by ESSDS to any PAP Patient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w:t>
      </w:r>
    </w:p>
    <w:p>
      <w:pPr>
        <w:spacing w:after="0" w:line="194" w:lineRule="exact"/>
        <w:rPr>
          <w:rFonts w:ascii="Arial" w:cs="Arial" w:eastAsia="Arial" w:hAnsi="Arial"/>
          <w:sz w:val="22"/>
          <w:szCs w:val="22"/>
          <w:color w:val="auto"/>
        </w:rPr>
      </w:pPr>
    </w:p>
    <w:p>
      <w:pPr>
        <w:ind w:left="320" w:right="26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Product</w:t>
      </w:r>
      <w:r>
        <w:rPr>
          <w:rFonts w:ascii="Arial" w:cs="Arial" w:eastAsia="Arial" w:hAnsi="Arial"/>
          <w:sz w:val="22"/>
          <w:szCs w:val="22"/>
          <w:color w:val="auto"/>
        </w:rPr>
        <w:t>. Section 1.25 of the Agreement is hereby amended and restated in its entirety as follows:</w:t>
      </w:r>
    </w:p>
    <w:p>
      <w:pPr>
        <w:spacing w:after="0" w:line="215" w:lineRule="exact"/>
        <w:rPr>
          <w:rFonts w:ascii="Arial" w:cs="Arial" w:eastAsia="Arial" w:hAnsi="Arial"/>
          <w:sz w:val="22"/>
          <w:szCs w:val="22"/>
          <w:color w:val="auto"/>
        </w:rPr>
      </w:pPr>
    </w:p>
    <w:p>
      <w:pPr>
        <w:jc w:val="both"/>
        <w:ind w:left="980"/>
        <w:spacing w:after="0" w:line="265" w:lineRule="auto"/>
        <w:rPr>
          <w:rFonts w:ascii="Arial" w:cs="Arial" w:eastAsia="Arial" w:hAnsi="Arial"/>
          <w:sz w:val="22"/>
          <w:szCs w:val="22"/>
          <w:color w:val="auto"/>
        </w:rPr>
      </w:pPr>
      <w:r>
        <w:rPr>
          <w:rFonts w:ascii="Arial" w:cs="Arial" w:eastAsia="Arial" w:hAnsi="Arial"/>
          <w:sz w:val="21"/>
          <w:szCs w:val="21"/>
          <w:color w:val="auto"/>
        </w:rPr>
        <w:t>“ “Product” shall mean (a) Xyrem® (sodium oxybate) oral solution (“Xyrem”) and dosing kit, (b) Xywav™ (calcium, magnesium, potassium, and sodium oxybates) oral solution (“Xywav”) and dosing kit, and/or (c) for all purposes of this Agreement an Authorized Generic Product. However, references to Xyrem, Xywav, or Authorized Generic Product shall mean the specific product or products referenced.”</w:t>
      </w:r>
    </w:p>
    <w:p>
      <w:pPr>
        <w:spacing w:after="0" w:line="202" w:lineRule="exact"/>
        <w:rPr>
          <w:rFonts w:ascii="Arial" w:cs="Arial" w:eastAsia="Arial" w:hAnsi="Arial"/>
          <w:sz w:val="22"/>
          <w:szCs w:val="22"/>
          <w:color w:val="auto"/>
        </w:rPr>
      </w:pPr>
    </w:p>
    <w:p>
      <w:pPr>
        <w:ind w:left="320" w:right="24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REMS Documents</w:t>
      </w:r>
      <w:r>
        <w:rPr>
          <w:rFonts w:ascii="Arial" w:cs="Arial" w:eastAsia="Arial" w:hAnsi="Arial"/>
          <w:sz w:val="22"/>
          <w:szCs w:val="22"/>
          <w:color w:val="auto"/>
        </w:rPr>
        <w:t>. Section 1.28 of the Agreement is hereby amended and restated in its entirety as follows:</w:t>
      </w:r>
    </w:p>
    <w:p>
      <w:pPr>
        <w:spacing w:after="0" w:line="215" w:lineRule="exact"/>
        <w:rPr>
          <w:rFonts w:ascii="Arial" w:cs="Arial" w:eastAsia="Arial" w:hAnsi="Arial"/>
          <w:sz w:val="22"/>
          <w:szCs w:val="22"/>
          <w:color w:val="auto"/>
        </w:rPr>
      </w:pPr>
    </w:p>
    <w:p>
      <w:pPr>
        <w:jc w:val="both"/>
        <w:ind w:left="980" w:right="20"/>
        <w:spacing w:after="0" w:line="271" w:lineRule="auto"/>
        <w:rPr>
          <w:rFonts w:ascii="Arial" w:cs="Arial" w:eastAsia="Arial" w:hAnsi="Arial"/>
          <w:sz w:val="22"/>
          <w:szCs w:val="22"/>
          <w:color w:val="auto"/>
        </w:rPr>
      </w:pPr>
      <w:r>
        <w:rPr>
          <w:rFonts w:ascii="Arial" w:cs="Arial" w:eastAsia="Arial" w:hAnsi="Arial"/>
          <w:sz w:val="21"/>
          <w:szCs w:val="21"/>
          <w:color w:val="auto"/>
        </w:rPr>
        <w:t>“ “REMS Documents” shall mean the approved XYWAV and XYREM REMS Documents, including both the XYWAV and XYREM REMS Document and the XYWAV and XYREM REMS Supporting Document, as well as any modifications or successors documents thereto as approved by the FDA.”</w:t>
      </w:r>
    </w:p>
    <w:p>
      <w:pPr>
        <w:spacing w:after="0" w:line="207" w:lineRule="exact"/>
        <w:rPr>
          <w:rFonts w:ascii="Arial" w:cs="Arial" w:eastAsia="Arial" w:hAnsi="Arial"/>
          <w:sz w:val="22"/>
          <w:szCs w:val="22"/>
          <w:color w:val="auto"/>
        </w:rPr>
      </w:pPr>
    </w:p>
    <w:p>
      <w:pPr>
        <w:ind w:left="320" w:right="48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REMS Program</w:t>
      </w:r>
      <w:r>
        <w:rPr>
          <w:rFonts w:ascii="Arial" w:cs="Arial" w:eastAsia="Arial" w:hAnsi="Arial"/>
          <w:sz w:val="22"/>
          <w:szCs w:val="22"/>
          <w:color w:val="auto"/>
        </w:rPr>
        <w:t>. Section 1.30 of the Agreement is hereby amended and restated in its entirety as follows:</w:t>
      </w:r>
    </w:p>
    <w:p>
      <w:pPr>
        <w:spacing w:after="0" w:line="201" w:lineRule="exact"/>
        <w:rPr>
          <w:rFonts w:ascii="Arial" w:cs="Arial" w:eastAsia="Arial" w:hAnsi="Arial"/>
          <w:sz w:val="22"/>
          <w:szCs w:val="22"/>
          <w:color w:val="auto"/>
        </w:rPr>
      </w:pPr>
    </w:p>
    <w:p>
      <w:pPr>
        <w:jc w:val="both"/>
        <w:ind w:left="980"/>
        <w:spacing w:after="0" w:line="253" w:lineRule="auto"/>
        <w:rPr>
          <w:rFonts w:ascii="Arial" w:cs="Arial" w:eastAsia="Arial" w:hAnsi="Arial"/>
          <w:sz w:val="22"/>
          <w:szCs w:val="22"/>
          <w:color w:val="auto"/>
        </w:rPr>
      </w:pPr>
      <w:r>
        <w:rPr>
          <w:rFonts w:ascii="Arial" w:cs="Arial" w:eastAsia="Arial" w:hAnsi="Arial"/>
          <w:sz w:val="22"/>
          <w:szCs w:val="22"/>
          <w:color w:val="auto"/>
        </w:rPr>
        <w:t>“ “REMS Program” shall mean the XYWAV and XYREM REMS Program, as approved by the FDA, or any successor entity thereto as approved by the FDA, including successor entities including additional oxybate formulations, as described in the REMS Documents.”</w:t>
      </w:r>
    </w:p>
    <w:p>
      <w:pPr>
        <w:spacing w:after="0" w:line="225" w:lineRule="exact"/>
        <w:rPr>
          <w:rFonts w:ascii="Arial" w:cs="Arial" w:eastAsia="Arial" w:hAnsi="Arial"/>
          <w:sz w:val="22"/>
          <w:szCs w:val="22"/>
          <w:color w:val="auto"/>
        </w:rPr>
      </w:pPr>
    </w:p>
    <w:p>
      <w:pPr>
        <w:ind w:left="320" w:right="44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WAC</w:t>
      </w:r>
      <w:r>
        <w:rPr>
          <w:rFonts w:ascii="Arial" w:cs="Arial" w:eastAsia="Arial" w:hAnsi="Arial"/>
          <w:sz w:val="22"/>
          <w:szCs w:val="22"/>
          <w:color w:val="auto"/>
        </w:rPr>
        <w:t>. Section 1.40 of the Agreement is hereby amended and restated in its entirety as follows:</w:t>
      </w:r>
    </w:p>
    <w:p>
      <w:pPr>
        <w:spacing w:after="0" w:line="215" w:lineRule="exact"/>
        <w:rPr>
          <w:rFonts w:ascii="Arial" w:cs="Arial" w:eastAsia="Arial" w:hAnsi="Arial"/>
          <w:sz w:val="22"/>
          <w:szCs w:val="22"/>
          <w:color w:val="auto"/>
        </w:rPr>
      </w:pPr>
    </w:p>
    <w:p>
      <w:pPr>
        <w:jc w:val="both"/>
        <w:ind w:left="980" w:right="20"/>
        <w:spacing w:after="0" w:line="253" w:lineRule="auto"/>
        <w:rPr>
          <w:rFonts w:ascii="Arial" w:cs="Arial" w:eastAsia="Arial" w:hAnsi="Arial"/>
          <w:sz w:val="22"/>
          <w:szCs w:val="22"/>
          <w:color w:val="auto"/>
        </w:rPr>
      </w:pPr>
      <w:r>
        <w:rPr>
          <w:rFonts w:ascii="Arial" w:cs="Arial" w:eastAsia="Arial" w:hAnsi="Arial"/>
          <w:sz w:val="22"/>
          <w:szCs w:val="22"/>
          <w:color w:val="auto"/>
        </w:rPr>
        <w:t>“ “WAC” shall mean the current wholesale acquisition cost of Xyrem or Xywav as provided by Jazz Pharmaceuticals. WAC does not include discounts, rebates or chargebacks. WAC may not be the actual acquisition cost.”</w:t>
      </w:r>
    </w:p>
    <w:p>
      <w:pPr>
        <w:spacing w:after="0" w:line="212" w:lineRule="exact"/>
        <w:rPr>
          <w:rFonts w:ascii="Arial" w:cs="Arial" w:eastAsia="Arial" w:hAnsi="Arial"/>
          <w:sz w:val="22"/>
          <w:szCs w:val="22"/>
          <w:color w:val="auto"/>
        </w:rPr>
      </w:pPr>
    </w:p>
    <w:p>
      <w:pPr>
        <w:ind w:left="320" w:right="320" w:hanging="318"/>
        <w:spacing w:after="0" w:line="263"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Amendment to Definition of Work Instructions</w:t>
      </w:r>
      <w:r>
        <w:rPr>
          <w:rFonts w:ascii="Arial" w:cs="Arial" w:eastAsia="Arial" w:hAnsi="Arial"/>
          <w:sz w:val="22"/>
          <w:szCs w:val="22"/>
          <w:color w:val="auto"/>
        </w:rPr>
        <w:t>. Section 1.42 of the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20"/>
          </w:cols>
          <w:pgMar w:left="740" w:top="1428" w:right="439" w:bottom="1440" w:gutter="0" w:footer="0" w:header="0"/>
        </w:sectPr>
      </w:pPr>
    </w:p>
    <w:bookmarkStart w:id="51" w:name="page52"/>
    <w:bookmarkEnd w:id="51"/>
    <w:p>
      <w:pPr>
        <w:jc w:val="both"/>
        <w:ind w:left="980" w:right="20"/>
        <w:spacing w:after="0" w:line="250" w:lineRule="auto"/>
        <w:rPr>
          <w:sz w:val="20"/>
          <w:szCs w:val="20"/>
          <w:color w:val="auto"/>
        </w:rPr>
      </w:pPr>
      <w:r>
        <w:rPr>
          <w:rFonts w:ascii="Arial" w:cs="Arial" w:eastAsia="Arial" w:hAnsi="Arial"/>
          <w:sz w:val="22"/>
          <w:szCs w:val="22"/>
          <w:color w:val="auto"/>
        </w:rPr>
        <w:t>“ “Work Instructions” or “WIs” shall mean written work instructions of ESSDS, as of the Effective Date, or any others mutually agreed to by the Parties after the Effective Date, which provide detailed descriptions of the performance of certain tasks and Services that ESSDS will perform with respect to specific Product(s) (i.e., Xyrem, Xywav and/or Authorized Generic Product(s)).”</w:t>
      </w:r>
    </w:p>
    <w:p>
      <w:pPr>
        <w:spacing w:after="0" w:line="228" w:lineRule="exact"/>
        <w:rPr>
          <w:sz w:val="20"/>
          <w:szCs w:val="20"/>
          <w:color w:val="auto"/>
        </w:rPr>
      </w:pPr>
    </w:p>
    <w:p>
      <w:pPr>
        <w:ind w:left="320" w:right="40" w:hanging="318"/>
        <w:spacing w:after="0" w:line="263" w:lineRule="auto"/>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Addition of New Definitions</w:t>
      </w:r>
      <w:r>
        <w:rPr>
          <w:rFonts w:ascii="Arial" w:cs="Arial" w:eastAsia="Arial" w:hAnsi="Arial"/>
          <w:sz w:val="22"/>
          <w:szCs w:val="22"/>
          <w:color w:val="auto"/>
        </w:rPr>
        <w:t>. Article I of this Agreement is hereby amended by adding the following definitions as new Sections 1.43 and 1.44 of the Agreement, respectively:</w:t>
      </w:r>
    </w:p>
    <w:p>
      <w:pPr>
        <w:spacing w:after="0" w:line="202" w:lineRule="exact"/>
        <w:rPr>
          <w:sz w:val="20"/>
          <w:szCs w:val="20"/>
          <w:color w:val="auto"/>
        </w:rPr>
      </w:pPr>
    </w:p>
    <w:p>
      <w:pPr>
        <w:jc w:val="both"/>
        <w:ind w:left="980" w:hanging="485"/>
        <w:spacing w:after="0" w:line="265" w:lineRule="auto"/>
        <w:rPr>
          <w:sz w:val="20"/>
          <w:szCs w:val="20"/>
          <w:color w:val="auto"/>
        </w:rPr>
      </w:pPr>
      <w:r>
        <w:rPr>
          <w:rFonts w:ascii="Arial" w:cs="Arial" w:eastAsia="Arial" w:hAnsi="Arial"/>
          <w:sz w:val="21"/>
          <w:szCs w:val="21"/>
          <w:color w:val="auto"/>
        </w:rPr>
        <w:t>1.43 “ “Authorized Generic Partner” shall mean a third party pharmaceutical company that Jazz Pharmaceuticals has appointed as a distributor of Authorized Generic Product in the Territory, and to whom Jazz Pharmaceuticals will supply Authorized Generic Product, in each case, pursuant to certain written agreements between Jazz Pharmaceuticals and such third party pharmaceutical company.”</w:t>
      </w:r>
    </w:p>
    <w:p>
      <w:pPr>
        <w:spacing w:after="0" w:line="216" w:lineRule="exact"/>
        <w:rPr>
          <w:sz w:val="20"/>
          <w:szCs w:val="20"/>
          <w:color w:val="auto"/>
        </w:rPr>
      </w:pPr>
    </w:p>
    <w:p>
      <w:pPr>
        <w:jc w:val="both"/>
        <w:ind w:left="980" w:hanging="485"/>
        <w:spacing w:after="0" w:line="263" w:lineRule="auto"/>
        <w:rPr>
          <w:sz w:val="20"/>
          <w:szCs w:val="20"/>
          <w:color w:val="auto"/>
        </w:rPr>
      </w:pPr>
      <w:r>
        <w:rPr>
          <w:rFonts w:ascii="Arial" w:cs="Arial" w:eastAsia="Arial" w:hAnsi="Arial"/>
          <w:sz w:val="21"/>
          <w:szCs w:val="21"/>
          <w:color w:val="auto"/>
        </w:rPr>
        <w:t>1.44 “ “Authorized Generic Product” shall mean a generic product that: (a) contains 500 mg/mL sodium oxybate oral solution as the sole active ingredient; (b) is marketed in the Territory without use of the Trademarks (with the limited exception of REMS Program Items and syringes that bear the Trademarks); (c) is marketed by an Authorized Generic Partner in the Territory pursuant to the NDA 021196; and (d) is supplied by or on behalf of Jazz Pharmaceuticals to the Authorized Generic Partner.”</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Amendment to Section 2.1</w:t>
      </w:r>
      <w:r>
        <w:rPr>
          <w:rFonts w:ascii="Arial" w:cs="Arial" w:eastAsia="Arial" w:hAnsi="Arial"/>
          <w:sz w:val="19"/>
          <w:szCs w:val="19"/>
          <w:color w:val="auto"/>
        </w:rPr>
        <w:t>. Section 2.1 of the Agreement is hereby amended and restated in its entirety as follows:</w:t>
      </w:r>
    </w:p>
    <w:p>
      <w:pPr>
        <w:spacing w:after="0" w:line="281" w:lineRule="exact"/>
        <w:rPr>
          <w:sz w:val="20"/>
          <w:szCs w:val="20"/>
          <w:color w:val="auto"/>
        </w:rPr>
      </w:pPr>
    </w:p>
    <w:p>
      <w:pPr>
        <w:jc w:val="both"/>
        <w:ind w:left="980"/>
        <w:spacing w:after="0" w:line="294" w:lineRule="auto"/>
        <w:rPr>
          <w:sz w:val="20"/>
          <w:szCs w:val="20"/>
          <w:color w:val="auto"/>
        </w:rPr>
      </w:pP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During the term of the Agreement, all commercial, non-clinical trial Product sold by Jazz Pharmaceuticals or an Authorized Generic Partner, or made available by Jazz Pharmaceuticals through the PAP, in the Territory will be dispensed exclusively through ESSDS pursuant to the terms of this Agreement. ESSDS agrees to provide those pharmacy and REMS services described in this Agreement and written Work Orders hereunder (the “Pharmacy Services”), including but not limited to pharmacy dispensing services, safety and support services, ancillary supply services, certain education services, and data reporting.</w:t>
      </w:r>
    </w:p>
    <w:p>
      <w:pPr>
        <w:spacing w:after="0" w:line="190" w:lineRule="exact"/>
        <w:rPr>
          <w:sz w:val="20"/>
          <w:szCs w:val="20"/>
          <w:color w:val="auto"/>
        </w:rPr>
      </w:pPr>
    </w:p>
    <w:p>
      <w:pPr>
        <w:jc w:val="both"/>
        <w:ind w:left="980" w:firstLine="656"/>
        <w:spacing w:after="0" w:line="250" w:lineRule="auto"/>
        <w:rPr>
          <w:sz w:val="20"/>
          <w:szCs w:val="20"/>
          <w:color w:val="auto"/>
        </w:rPr>
      </w:pPr>
      <w:r>
        <w:rPr>
          <w:rFonts w:ascii="Arial" w:cs="Arial" w:eastAsia="Arial" w:hAnsi="Arial"/>
          <w:sz w:val="22"/>
          <w:szCs w:val="22"/>
          <w:color w:val="auto"/>
        </w:rPr>
        <w:t>During the term of the Agreement, ESSDS agrees to provide other REMS services described in this Agreement and written Work Orders hereunder (the “REMS Pharmacy Services”), including but not limited to activities directed towards ensuring Jazz Pharmaceuticals’ and each Authorized Generic Partner’s compliance with the requirements of the REMS Program.</w:t>
      </w:r>
    </w:p>
    <w:p>
      <w:pPr>
        <w:spacing w:after="0" w:line="215" w:lineRule="exact"/>
        <w:rPr>
          <w:sz w:val="20"/>
          <w:szCs w:val="20"/>
          <w:color w:val="auto"/>
        </w:rPr>
      </w:pPr>
    </w:p>
    <w:p>
      <w:pPr>
        <w:jc w:val="both"/>
        <w:ind w:left="980" w:firstLine="643"/>
        <w:spacing w:after="0" w:line="263" w:lineRule="auto"/>
        <w:rPr>
          <w:sz w:val="20"/>
          <w:szCs w:val="20"/>
          <w:color w:val="auto"/>
        </w:rPr>
      </w:pPr>
      <w:r>
        <w:rPr>
          <w:rFonts w:ascii="Arial" w:cs="Arial" w:eastAsia="Arial" w:hAnsi="Arial"/>
          <w:sz w:val="22"/>
          <w:szCs w:val="22"/>
          <w:color w:val="auto"/>
        </w:rPr>
        <w:t>The Pharmacy and REMS Pharmacy Services (collectively, the “Services”) to be provided as of the Effective Date are described in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20"/>
          </w:cols>
          <w:pgMar w:left="740" w:top="1428" w:right="439" w:bottom="1440" w:gutter="0" w:footer="0" w:header="0"/>
        </w:sectPr>
      </w:pPr>
    </w:p>
    <w:bookmarkStart w:id="52" w:name="page53"/>
    <w:bookmarkEnd w:id="52"/>
    <w:p>
      <w:pPr>
        <w:jc w:val="both"/>
        <w:ind w:left="980"/>
        <w:spacing w:after="0" w:line="247" w:lineRule="auto"/>
        <w:rPr>
          <w:sz w:val="20"/>
          <w:szCs w:val="20"/>
          <w:color w:val="auto"/>
        </w:rPr>
      </w:pPr>
      <w:r>
        <w:rPr>
          <w:rFonts w:ascii="Arial" w:cs="Arial" w:eastAsia="Arial" w:hAnsi="Arial"/>
          <w:sz w:val="22"/>
          <w:szCs w:val="22"/>
          <w:color w:val="auto"/>
        </w:rPr>
        <w:t>Work Orders hereunder. These Services may be amended from time to time through the addition of a Work Order. Each Work Order will be numbered in consecutive order. Each Work Order will be deemed incorporated into this Agreement. In the event of a conflict between the terms of this Agreement and the terms of the Work Order, the</w:t>
      </w:r>
    </w:p>
    <w:p>
      <w:pPr>
        <w:spacing w:after="0" w:line="3" w:lineRule="exact"/>
        <w:rPr>
          <w:sz w:val="20"/>
          <w:szCs w:val="20"/>
          <w:color w:val="auto"/>
        </w:rPr>
      </w:pPr>
    </w:p>
    <w:p>
      <w:pPr>
        <w:jc w:val="both"/>
        <w:ind w:left="980" w:right="20"/>
        <w:spacing w:after="0" w:line="245" w:lineRule="auto"/>
        <w:rPr>
          <w:sz w:val="20"/>
          <w:szCs w:val="20"/>
          <w:color w:val="auto"/>
        </w:rPr>
      </w:pPr>
      <w:r>
        <w:rPr>
          <w:rFonts w:ascii="Arial" w:cs="Arial" w:eastAsia="Arial" w:hAnsi="Arial"/>
          <w:sz w:val="22"/>
          <w:szCs w:val="22"/>
          <w:color w:val="auto"/>
        </w:rPr>
        <w:t>terms of this Agreement will govern, unless the Parties have expressly agreed in the Work Order that the Work Order shall amend a specified section of this Agreement, in which case such amendment will only apply to such Work Order.</w:t>
      </w:r>
    </w:p>
    <w:p>
      <w:pPr>
        <w:spacing w:after="0" w:line="233" w:lineRule="exact"/>
        <w:rPr>
          <w:sz w:val="20"/>
          <w:szCs w:val="20"/>
          <w:color w:val="auto"/>
        </w:rPr>
      </w:pPr>
    </w:p>
    <w:p>
      <w:pPr>
        <w:jc w:val="both"/>
        <w:ind w:left="980" w:firstLine="648"/>
        <w:spacing w:after="0" w:line="294" w:lineRule="auto"/>
        <w:rPr>
          <w:sz w:val="20"/>
          <w:szCs w:val="20"/>
          <w:color w:val="auto"/>
        </w:rPr>
      </w:pPr>
      <w:r>
        <w:rPr>
          <w:rFonts w:ascii="Arial" w:cs="Arial" w:eastAsia="Arial" w:hAnsi="Arial"/>
          <w:sz w:val="19"/>
          <w:szCs w:val="19"/>
          <w:color w:val="auto"/>
        </w:rPr>
        <w:t>In addition to the Services set forth in the following, fully executed Work Orders to the Prior Master Services Agreement between the Parties, and for which services are ongoing, shall henceforth be considered Work Orders under this Agreement. Each of these Work Orders shall be subject to the terms and conditions set forth in this Agreement as if they were originally executed hereunder, except that the fees associated with these Work Orders are subject to the annual adjustment specified in Section 3.1, meaning that the fees charged at execution will be those fees agreed upon for calendar year 2020, [***].</w:t>
      </w:r>
    </w:p>
    <w:p>
      <w:pPr>
        <w:spacing w:after="0" w:line="176" w:lineRule="exact"/>
        <w:rPr>
          <w:sz w:val="20"/>
          <w:szCs w:val="20"/>
          <w:color w:val="auto"/>
        </w:rPr>
      </w:pPr>
    </w:p>
    <w:p>
      <w:pPr>
        <w:jc w:val="both"/>
        <w:ind w:left="980" w:firstLine="533"/>
        <w:spacing w:after="0" w:line="290" w:lineRule="auto"/>
        <w:rPr>
          <w:sz w:val="20"/>
          <w:szCs w:val="20"/>
          <w:color w:val="auto"/>
        </w:rPr>
      </w:pPr>
      <w:r>
        <w:rPr>
          <w:rFonts w:ascii="Arial" w:cs="Arial" w:eastAsia="Arial" w:hAnsi="Arial"/>
          <w:sz w:val="19"/>
          <w:szCs w:val="19"/>
          <w:color w:val="auto"/>
        </w:rPr>
        <w:t>For the avoidance of doubt, Jazz Pharmaceuticals’ commercial function shall have responsibility for Jazz’ Pharmaceuticals oversight of Pharmacy Services, and decisions related to changes to Pharmacy Services shall be directed by personnel in that function. For the avoidance of doubt, Jazz Pharmaceuticals’ non-commercial function of Pharmacovigilance, Quality and Safety shall have responsibility for Jazz Pharmaceuticals’ oversight of the REMS Pharmacy Services, and decisions related to changes to REMS Pharmacy Services shall be directed by personnel in that function. The Services provided by ESSDS pursuant to this Agreement and the Work Orders entered into by the Parties shall include the provision of Services by ESSDS on behalf of Authorized Generic Partners solely with respect to Authorized Generic Product(s).”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Amendment to Section 2.3</w:t>
      </w:r>
      <w:r>
        <w:rPr>
          <w:rFonts w:ascii="Arial" w:cs="Arial" w:eastAsia="Arial" w:hAnsi="Arial"/>
          <w:sz w:val="19"/>
          <w:szCs w:val="19"/>
          <w:color w:val="auto"/>
        </w:rPr>
        <w:t>. Section 2.3 of the Agreement is hereby amended and restated in its entirety as follows:</w:t>
      </w:r>
    </w:p>
    <w:p>
      <w:pPr>
        <w:spacing w:after="0" w:line="281" w:lineRule="exact"/>
        <w:rPr>
          <w:sz w:val="20"/>
          <w:szCs w:val="20"/>
          <w:color w:val="auto"/>
        </w:rPr>
      </w:pPr>
    </w:p>
    <w:p>
      <w:pPr>
        <w:jc w:val="both"/>
        <w:ind w:left="980"/>
        <w:spacing w:after="0" w:line="258" w:lineRule="auto"/>
        <w:rPr>
          <w:sz w:val="20"/>
          <w:szCs w:val="20"/>
          <w:color w:val="auto"/>
        </w:rPr>
      </w:pPr>
      <w:r>
        <w:rPr>
          <w:rFonts w:ascii="Arial" w:cs="Arial" w:eastAsia="Arial" w:hAnsi="Arial"/>
          <w:sz w:val="21"/>
          <w:szCs w:val="21"/>
          <w:u w:val="single" w:color="auto"/>
          <w:color w:val="auto"/>
        </w:rPr>
        <w:t>“Exclusive Pharmacy.</w:t>
      </w:r>
      <w:r>
        <w:rPr>
          <w:rFonts w:ascii="Arial" w:cs="Arial" w:eastAsia="Arial" w:hAnsi="Arial"/>
          <w:sz w:val="21"/>
          <w:szCs w:val="21"/>
          <w:color w:val="auto"/>
        </w:rPr>
        <w:t xml:space="preserve"> During the term of this Agreement, all commercial, non- clinical trial Product sold by Jazz Pharmaceuticals or an Authorized Generic Partner, or made available by Jazz Pharmaceuticals through the PAP, in the Territory will be dispensed exclusively through ESSDS pursuant to this Agreement. [***] Notwithstanding the foregoing, Jazz Pharmaceuticals may establish a third party pharmacy to make available commercial, non-clinical trial Product in the Territory if ESSDS does not,</w:t>
      </w:r>
    </w:p>
    <w:p>
      <w:pPr>
        <w:spacing w:after="0" w:line="2" w:lineRule="exact"/>
        <w:rPr>
          <w:sz w:val="20"/>
          <w:szCs w:val="20"/>
          <w:color w:val="auto"/>
        </w:rPr>
      </w:pPr>
    </w:p>
    <w:p>
      <w:pPr>
        <w:jc w:val="both"/>
        <w:ind w:left="980"/>
        <w:spacing w:after="0" w:line="246" w:lineRule="auto"/>
        <w:rPr>
          <w:sz w:val="20"/>
          <w:szCs w:val="20"/>
          <w:color w:val="auto"/>
        </w:rPr>
      </w:pPr>
      <w:r>
        <w:rPr>
          <w:rFonts w:ascii="Arial" w:cs="Arial" w:eastAsia="Arial" w:hAnsi="Arial"/>
          <w:sz w:val="22"/>
          <w:szCs w:val="22"/>
          <w:color w:val="auto"/>
        </w:rPr>
        <w:t>or cannot, meet Jazz Pharmaceuticals requirements for dispensing the Product in the Territory in accordance with the terms and conditions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20"/>
          </w:cols>
          <w:pgMar w:left="740" w:top="1428" w:right="439" w:bottom="1440" w:gutter="0" w:footer="0" w:header="0"/>
        </w:sectPr>
      </w:pPr>
    </w:p>
    <w:bookmarkStart w:id="53" w:name="page54"/>
    <w:bookmarkEnd w:id="53"/>
    <w:p>
      <w:pPr>
        <w:ind w:left="320" w:right="160" w:hanging="318"/>
        <w:spacing w:after="0" w:line="454" w:lineRule="auto"/>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Section 2.4.1</w:t>
      </w:r>
      <w:r>
        <w:rPr>
          <w:rFonts w:ascii="Arial" w:cs="Arial" w:eastAsia="Arial" w:hAnsi="Arial"/>
          <w:sz w:val="22"/>
          <w:szCs w:val="22"/>
          <w:color w:val="auto"/>
        </w:rPr>
        <w:t>. Section 2.4.1 of the Agreement is hereby amended and restated in its entirety as follows: [***]</w:t>
      </w:r>
    </w:p>
    <w:p>
      <w:pPr>
        <w:spacing w:after="0" w:line="1" w:lineRule="exact"/>
        <w:rPr>
          <w:rFonts w:ascii="Arial" w:cs="Arial" w:eastAsia="Arial" w:hAnsi="Arial"/>
          <w:sz w:val="22"/>
          <w:szCs w:val="22"/>
          <w:color w:val="auto"/>
        </w:rPr>
      </w:pPr>
    </w:p>
    <w:p>
      <w:pPr>
        <w:ind w:left="320" w:right="740" w:hanging="318"/>
        <w:spacing w:after="0" w:line="263" w:lineRule="auto"/>
        <w:tabs>
          <w:tab w:leader="none" w:pos="3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Section 4.1(b).</w:t>
      </w:r>
      <w:r>
        <w:rPr>
          <w:rFonts w:ascii="Arial" w:cs="Arial" w:eastAsia="Arial" w:hAnsi="Arial"/>
          <w:sz w:val="22"/>
          <w:szCs w:val="22"/>
          <w:color w:val="auto"/>
        </w:rPr>
        <w:t xml:space="preserve"> Section 4.1(b) of the Agreement is hereby amended and restated in its entirety as follows:</w:t>
      </w:r>
    </w:p>
    <w:p>
      <w:pPr>
        <w:spacing w:after="0" w:line="202" w:lineRule="exact"/>
        <w:rPr>
          <w:sz w:val="20"/>
          <w:szCs w:val="20"/>
          <w:color w:val="auto"/>
        </w:rPr>
      </w:pPr>
    </w:p>
    <w:p>
      <w:pPr>
        <w:jc w:val="both"/>
        <w:ind w:left="98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of Title</w:t>
      </w:r>
      <w:r>
        <w:rPr>
          <w:rFonts w:ascii="Arial" w:cs="Arial" w:eastAsia="Arial" w:hAnsi="Arial"/>
          <w:sz w:val="19"/>
          <w:szCs w:val="19"/>
          <w:color w:val="auto"/>
        </w:rPr>
        <w:t>. Upon removal of the consigned Xyrem or Xywav by ESSDS from the product storage area to fulfill a Non-PAP Order, title to such Xyrem or Xywav shall pass to ESSDS and ESSDS shall be deemed to have purchased from Jazz Pharmaceuticals such Xyrem or Xywav. ESSDS shall confirm all such purchases and shipments of Xyrem and Xywav in writing to Jazz Pharmaceuticals on a weekly basis via purchase order, which will document all purchases of Xyrem and Xywav by ESSDS during the previous week. If a month ends in the beginning or middle of a week, ESSDS shall send an additional purchase order to Jazz Pharmaceuticals to confirm purchases of Xyrem and Xywav made as of the last day of each month. This transfer of title process applies only to Xyrem and Xywav that has not already been purchased as part of a Buy In option, as described in Section 4.2, where title transfers upon submission of a relevant purchase order.”</w:t>
      </w:r>
    </w:p>
    <w:p>
      <w:pPr>
        <w:spacing w:after="0" w:line="8" w:lineRule="exact"/>
        <w:rPr>
          <w:sz w:val="20"/>
          <w:szCs w:val="20"/>
          <w:color w:val="auto"/>
        </w:rPr>
      </w:pPr>
    </w:p>
    <w:p>
      <w:pPr>
        <w:jc w:val="both"/>
        <w:ind w:left="980"/>
        <w:spacing w:after="0" w:line="285" w:lineRule="auto"/>
        <w:rPr>
          <w:sz w:val="20"/>
          <w:szCs w:val="20"/>
          <w:color w:val="auto"/>
        </w:rPr>
      </w:pPr>
      <w:r>
        <w:rPr>
          <w:rFonts w:ascii="Arial" w:cs="Arial" w:eastAsia="Arial" w:hAnsi="Arial"/>
          <w:sz w:val="19"/>
          <w:szCs w:val="19"/>
          <w:color w:val="auto"/>
        </w:rPr>
        <w:t>Upon removal of the consigned Authorized Generic Product by ESSDS from the product storage area to fulfill a Non-PAP Order, title to such Authorized Generic Product shall pass to the applicable Authorized Generic Partner, and then to ESSDS and ESSDS shall be deemed to have purchased from the applicable Authorized Generic Partner such Authorized Generic Product. ESSDS shall confirm all purchases and shipments of each Authorized Generic Product in writing to Jazz Pharmaceuticals on a weekly basis via written confirmation in a format substantially similar to Exhibit E, which will document all purchases of Authorized Generic Product by ESSDS during the previous week. For clarity, there shall be a separate written confirmation for purchases and shipments of each specific Authorized Generic Product. If a month ends in the beginning or middle of a week, ESSDS shall send an additional written confirmation to Jazz Pharmaceuticals to confirm purchases of each Authorized Generic Product made as of the last day of each month. This transfer of title process applies only to Authorized Generic Product that has not already been purchased as part of an agreement reached between an Authorized Generic Partner and ESSDS, where title transfers upon submission of a relevant purchase order.”</w:t>
      </w:r>
    </w:p>
    <w:p>
      <w:pPr>
        <w:spacing w:after="0" w:line="28" w:lineRule="exact"/>
        <w:rPr>
          <w:sz w:val="20"/>
          <w:szCs w:val="20"/>
          <w:color w:val="auto"/>
        </w:rPr>
      </w:pPr>
    </w:p>
    <w:p>
      <w:pPr>
        <w:ind w:left="320" w:right="760" w:hanging="318"/>
        <w:spacing w:after="0" w:line="263" w:lineRule="auto"/>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Amendment to Section 4.1(c)</w:t>
      </w:r>
      <w:r>
        <w:rPr>
          <w:rFonts w:ascii="Arial" w:cs="Arial" w:eastAsia="Arial" w:hAnsi="Arial"/>
          <w:sz w:val="22"/>
          <w:szCs w:val="22"/>
          <w:color w:val="auto"/>
        </w:rPr>
        <w:t>. Section 4.1(c) of the Agreement is hereby amended and restated in its entirety as follows:</w:t>
      </w:r>
    </w:p>
    <w:p>
      <w:pPr>
        <w:spacing w:after="0" w:line="202" w:lineRule="exact"/>
        <w:rPr>
          <w:sz w:val="20"/>
          <w:szCs w:val="20"/>
          <w:color w:val="auto"/>
        </w:rPr>
      </w:pPr>
    </w:p>
    <w:p>
      <w:pPr>
        <w:jc w:val="both"/>
        <w:ind w:left="980" w:right="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of Non-PAP Orders</w:t>
      </w:r>
      <w:r>
        <w:rPr>
          <w:rFonts w:ascii="Arial" w:cs="Arial" w:eastAsia="Arial" w:hAnsi="Arial"/>
          <w:sz w:val="22"/>
          <w:szCs w:val="22"/>
          <w:color w:val="auto"/>
        </w:rPr>
        <w:t>. Subject to the restrictions set forth in Section 6.2 of this Agreement and any FDA requirement or other Applicable Law, ESSDS shall have the sole authority to determine pricing to Patients for Xyrem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20"/>
          </w:cols>
          <w:pgMar w:left="740" w:top="1428" w:right="439" w:bottom="1440" w:gutter="0" w:footer="0" w:header="0"/>
        </w:sectPr>
      </w:pPr>
    </w:p>
    <w:bookmarkStart w:id="54" w:name="page55"/>
    <w:bookmarkEnd w:id="54"/>
    <w:p>
      <w:pPr>
        <w:jc w:val="both"/>
        <w:ind w:left="980" w:right="20"/>
        <w:spacing w:after="0" w:line="263" w:lineRule="auto"/>
        <w:rPr>
          <w:sz w:val="20"/>
          <w:szCs w:val="20"/>
          <w:color w:val="auto"/>
        </w:rPr>
      </w:pPr>
      <w:r>
        <w:rPr>
          <w:rFonts w:ascii="Arial" w:cs="Arial" w:eastAsia="Arial" w:hAnsi="Arial"/>
          <w:sz w:val="22"/>
          <w:szCs w:val="22"/>
          <w:color w:val="auto"/>
        </w:rPr>
        <w:t>Xywav for Non-PAP Orders. Pricing to Patients for each Authorized Generic Product shall be subject to negotiation between ESSDS and each Authorized Generic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Amendment to Section 4.1(d)</w:t>
      </w:r>
      <w:r>
        <w:rPr>
          <w:rFonts w:ascii="Arial" w:cs="Arial" w:eastAsia="Arial" w:hAnsi="Arial"/>
          <w:sz w:val="22"/>
          <w:szCs w:val="22"/>
          <w:color w:val="auto"/>
        </w:rPr>
        <w:t>. A new Section 4.1(d) is hereby added to the Agreement as follows:</w:t>
      </w:r>
    </w:p>
    <w:p>
      <w:pPr>
        <w:spacing w:after="0" w:line="247" w:lineRule="exact"/>
        <w:rPr>
          <w:sz w:val="20"/>
          <w:szCs w:val="20"/>
          <w:color w:val="auto"/>
        </w:rPr>
      </w:pPr>
    </w:p>
    <w:p>
      <w:pPr>
        <w:jc w:val="both"/>
        <w:ind w:left="980"/>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Ordered Quantities</w:t>
      </w:r>
      <w:r>
        <w:rPr>
          <w:rFonts w:ascii="Arial" w:cs="Arial" w:eastAsia="Arial" w:hAnsi="Arial"/>
          <w:sz w:val="21"/>
          <w:szCs w:val="21"/>
          <w:color w:val="auto"/>
        </w:rPr>
        <w:t>. In order to ensure that ESSDS is able to properly fulfill Non- PAP orders with any Authorized Generic Product, during the term of this Agreement, Jazz shall provide ESSDS periodic updates setting forth the number of units of Product that each Authorized Generic Partner has agreed to purchase from Jazz Pharmaceuticals for the period of time covered by the particular update (the “AG Quantities”). In the event there are changes to the AG Quantities, Jazz Pharmaceuticals shall provide additional updates to ESSDS. ESSDS will not fulfill Non-PAP Orders with Authorized Generic Product in excess of the identified AG Quantities, except to the extent that ESSDS has received written permission from Jazz Pharmaceuticals to do so; and to avoid disruptions in patient care Jazz Pharmaceuticals will not unreasonably withhold consent. The process for Jazz Pharmaceuticals to provide the AG Quantities to ESSDS will be mutually agreed upon and captured in Work Instructions.</w:t>
      </w:r>
    </w:p>
    <w:p>
      <w:pPr>
        <w:spacing w:after="0" w:line="212" w:lineRule="exact"/>
        <w:rPr>
          <w:sz w:val="20"/>
          <w:szCs w:val="20"/>
          <w:color w:val="auto"/>
        </w:rPr>
      </w:pPr>
    </w:p>
    <w:p>
      <w:pPr>
        <w:ind w:left="980" w:right="480" w:hanging="978"/>
        <w:spacing w:after="0" w:line="507" w:lineRule="auto"/>
        <w:tabs>
          <w:tab w:leader="none" w:pos="33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Amendment to Section 4.2</w:t>
      </w:r>
      <w:r>
        <w:rPr>
          <w:rFonts w:ascii="Arial" w:cs="Arial" w:eastAsia="Arial" w:hAnsi="Arial"/>
          <w:sz w:val="22"/>
          <w:szCs w:val="22"/>
          <w:color w:val="auto"/>
        </w:rPr>
        <w:t xml:space="preserve">. Section 4.2 of the Agreement is hereby amended and restated in its entirety as follows: </w:t>
      </w:r>
      <w:r>
        <w:rPr>
          <w:rFonts w:ascii="Arial" w:cs="Arial" w:eastAsia="Arial" w:hAnsi="Arial"/>
          <w:sz w:val="22"/>
          <w:szCs w:val="22"/>
          <w:u w:val="single" w:color="auto"/>
          <w:color w:val="auto"/>
        </w:rPr>
        <w:t>“Buy In</w:t>
      </w:r>
      <w:r>
        <w:rPr>
          <w:rFonts w:ascii="Arial" w:cs="Arial" w:eastAsia="Arial" w:hAnsi="Arial"/>
          <w:sz w:val="22"/>
          <w:szCs w:val="22"/>
          <w:color w:val="auto"/>
        </w:rPr>
        <w:t>. ESSDS shall be offered an [***].</w:t>
      </w:r>
    </w:p>
    <w:p>
      <w:pPr>
        <w:spacing w:after="0" w:line="11" w:lineRule="exact"/>
        <w:rPr>
          <w:rFonts w:ascii="Arial" w:cs="Arial" w:eastAsia="Arial" w:hAnsi="Arial"/>
          <w:sz w:val="22"/>
          <w:szCs w:val="22"/>
          <w:color w:val="auto"/>
        </w:rPr>
      </w:pPr>
    </w:p>
    <w:p>
      <w:pPr>
        <w:ind w:left="320" w:hanging="318"/>
        <w:spacing w:after="0"/>
        <w:tabs>
          <w:tab w:leader="none" w:pos="32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Amendment to Section 4.3</w:t>
      </w:r>
      <w:r>
        <w:rPr>
          <w:rFonts w:ascii="Arial" w:cs="Arial" w:eastAsia="Arial" w:hAnsi="Arial"/>
          <w:sz w:val="19"/>
          <w:szCs w:val="19"/>
          <w:color w:val="auto"/>
        </w:rPr>
        <w:t>. Section 4.3 of the Agreement is hereby amended and restated in its entirety as follows:</w:t>
      </w:r>
    </w:p>
    <w:p>
      <w:pPr>
        <w:spacing w:after="0" w:line="281" w:lineRule="exact"/>
        <w:rPr>
          <w:sz w:val="20"/>
          <w:szCs w:val="20"/>
          <w:color w:val="auto"/>
        </w:rPr>
      </w:pPr>
    </w:p>
    <w:p>
      <w:pPr>
        <w:jc w:val="both"/>
        <w:ind w:left="980"/>
        <w:spacing w:after="0" w:line="259" w:lineRule="auto"/>
        <w:rPr>
          <w:sz w:val="20"/>
          <w:szCs w:val="20"/>
          <w:color w:val="auto"/>
        </w:rPr>
      </w:pPr>
      <w:r>
        <w:rPr>
          <w:rFonts w:ascii="Arial" w:cs="Arial" w:eastAsia="Arial" w:hAnsi="Arial"/>
          <w:sz w:val="21"/>
          <w:szCs w:val="21"/>
          <w:u w:val="single" w:color="auto"/>
          <w:color w:val="auto"/>
        </w:rPr>
        <w:t>“PAP Orders</w:t>
      </w:r>
      <w:r>
        <w:rPr>
          <w:rFonts w:ascii="Arial" w:cs="Arial" w:eastAsia="Arial" w:hAnsi="Arial"/>
          <w:sz w:val="21"/>
          <w:szCs w:val="21"/>
          <w:color w:val="auto"/>
        </w:rPr>
        <w:t>. Subject to available space as determined by ESSDS, Jazz Pharmaceuticals will deliver to ESSDS at the Certified Pharmacy, at Jazz Pharmaceuticals’ own expense, sufficient quantities of Xyrem and Xywav to fulfill PAP orders. ESSDS will maintain a reasonable quantity of components on-site or nearby to allow product disbursements to occur in a timely and efficient manner. The Xyrem or Xywav shipped pursuant to PAP Orders shall be for the account of Jazz Pharmaceuticals, and title to such Xyrem or Xywav shall remain with Jazz Pharmaceuticals until confirmation of the PAP Order in ESSDS’ internal order processing system, at which time title will pass to the PAP Patient. ESSDS will fulfill PAP Orders as set forth in the applicable SOP and Business Rules.”</w:t>
      </w:r>
    </w:p>
    <w:p>
      <w:pPr>
        <w:spacing w:after="0" w:line="210" w:lineRule="exact"/>
        <w:rPr>
          <w:sz w:val="20"/>
          <w:szCs w:val="20"/>
          <w:color w:val="auto"/>
        </w:rPr>
      </w:pPr>
    </w:p>
    <w:p>
      <w:pPr>
        <w:ind w:left="320" w:hanging="318"/>
        <w:spacing w:after="0"/>
        <w:tabs>
          <w:tab w:leader="none" w:pos="32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Amendment to Section 4.4</w:t>
      </w:r>
      <w:r>
        <w:rPr>
          <w:rFonts w:ascii="Arial" w:cs="Arial" w:eastAsia="Arial" w:hAnsi="Arial"/>
          <w:sz w:val="19"/>
          <w:szCs w:val="19"/>
          <w:color w:val="auto"/>
        </w:rPr>
        <w:t>. Section 4.4 of the Agreement is hereby amended and restated in its entirety as follows: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left="5160"/>
        <w:spacing w:after="0"/>
        <w:rPr>
          <w:rFonts w:ascii="Arial" w:cs="Arial" w:eastAsia="Arial" w:hAnsi="Arial"/>
          <w:sz w:val="19"/>
          <w:szCs w:val="19"/>
          <w:color w:val="auto"/>
        </w:rPr>
      </w:pPr>
      <w:r>
        <w:rPr>
          <w:rFonts w:ascii="Arial" w:cs="Arial" w:eastAsia="Arial" w:hAnsi="Arial"/>
          <w:sz w:val="20"/>
          <w:szCs w:val="20"/>
          <w:color w:val="auto"/>
        </w:rPr>
        <w:t>6</w:t>
      </w:r>
    </w:p>
    <w:p>
      <w:pPr>
        <w:sectPr>
          <w:pgSz w:w="11900" w:h="16838" w:orient="portrait"/>
          <w:cols w:equalWidth="0" w:num="1">
            <w:col w:w="10720"/>
          </w:cols>
          <w:pgMar w:left="740" w:top="1428" w:right="439" w:bottom="1440" w:gutter="0" w:footer="0" w:header="0"/>
        </w:sectPr>
      </w:pPr>
    </w:p>
    <w:bookmarkStart w:id="55" w:name="page56"/>
    <w:bookmarkEnd w:id="55"/>
    <w:p>
      <w:pPr>
        <w:jc w:val="both"/>
        <w:ind w:left="980"/>
        <w:spacing w:after="0" w:line="246" w:lineRule="auto"/>
        <w:rPr>
          <w:sz w:val="20"/>
          <w:szCs w:val="20"/>
          <w:color w:val="auto"/>
        </w:rPr>
      </w:pPr>
      <w:r>
        <w:rPr>
          <w:rFonts w:ascii="Arial" w:cs="Arial" w:eastAsia="Arial" w:hAnsi="Arial"/>
          <w:sz w:val="22"/>
          <w:szCs w:val="22"/>
          <w:u w:val="single" w:color="auto"/>
          <w:color w:val="auto"/>
        </w:rPr>
        <w:t>“Risk of Loss.</w:t>
      </w:r>
      <w:r>
        <w:rPr>
          <w:rFonts w:ascii="Arial" w:cs="Arial" w:eastAsia="Arial" w:hAnsi="Arial"/>
          <w:sz w:val="22"/>
          <w:szCs w:val="22"/>
          <w:color w:val="auto"/>
        </w:rPr>
        <w:t xml:space="preserve"> All risk of Product loss or damage during the time that such Product is at the Certified Pharmacy prior to the transfer of title to ESSDS pursuant to Section 4.1(b) shall be borne by Jazz Pharmaceuticals, except to the extent caused by the negligence or willful misconduct of ESSDS or its Affiliates. Payment to Jazz Pharmaceuticals by ESSDS (i) for Xyrem or Xywav lost or damaged while at the Certified Pharmacy after title to such Xyrem or Xywav has transferred to ESSDS pursuant to Section 4.1(b); or (ii) for Product that is lost or damaged as the result of ESSDS’ or its Affiliates’ negligence or willful misconduct shall be based on Jazz Pharmaceuticals’ actual replacement costs, as reasonably determined and documented by Jazz Pharmaceuticals.”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20. </w:t>
      </w:r>
      <w:r>
        <w:rPr>
          <w:rFonts w:ascii="Arial" w:cs="Arial" w:eastAsia="Arial" w:hAnsi="Arial"/>
          <w:sz w:val="19"/>
          <w:szCs w:val="19"/>
          <w:u w:val="single" w:color="auto"/>
          <w:color w:val="auto"/>
        </w:rPr>
        <w:t>Amendment to Section 4.5</w:t>
      </w:r>
      <w:r>
        <w:rPr>
          <w:rFonts w:ascii="Arial" w:cs="Arial" w:eastAsia="Arial" w:hAnsi="Arial"/>
          <w:sz w:val="19"/>
          <w:szCs w:val="19"/>
          <w:color w:val="auto"/>
        </w:rPr>
        <w:t>. Section 4.5 of the Agreement is hereby amended and restated in its entirety as follows:</w:t>
      </w:r>
    </w:p>
    <w:p>
      <w:pPr>
        <w:spacing w:after="0" w:line="295" w:lineRule="exact"/>
        <w:rPr>
          <w:sz w:val="20"/>
          <w:szCs w:val="20"/>
          <w:color w:val="auto"/>
        </w:rPr>
      </w:pPr>
    </w:p>
    <w:p>
      <w:pPr>
        <w:jc w:val="both"/>
        <w:ind w:left="98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Returns and Replacement.</w:t>
      </w:r>
      <w:r>
        <w:rPr>
          <w:rFonts w:ascii="Arial" w:cs="Arial" w:eastAsia="Arial" w:hAnsi="Arial"/>
          <w:sz w:val="19"/>
          <w:szCs w:val="19"/>
          <w:color w:val="auto"/>
        </w:rPr>
        <w:t xml:space="preserve"> In the event that (a) Xyrem or Xywav is damaged or destroyed after the product was dispensed and shipped to the Patient pursuant to Section 4.1(b) and (b) such damage or destruction [***], ESSDS shall replace the Xyrem or Xywav to the Patient free of charge once the damaged Xyrem or Xywav is returned to ESSDS. ESSDS shall monitor all reports of lost Product for the potential for abuse or diversion in compliance with relevant SOPs and WIs. ESSDS will cooperate with state and federal authorities fully in any investigations of lost Product, and will promptly provide reports of such loss to Jazz Pharmaceuticals within one</w:t>
      </w:r>
    </w:p>
    <w:p>
      <w:pPr>
        <w:jc w:val="both"/>
        <w:ind w:left="980" w:hanging="6"/>
        <w:spacing w:after="0" w:line="244" w:lineRule="auto"/>
        <w:tabs>
          <w:tab w:leader="none" w:pos="13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week from ESSDS’ conclusion of its investigation. Where abuse or diversion is not suspected and the damage or destruction is the direct result of a defect [***], ESSDS will promptly replace the Xyrem or Xywav at no charge to the Patient once approved by the pharmacy. Such replacement of Xyrem or Xywav shall be considered a Non-PAP order and title to such product</w:t>
      </w:r>
    </w:p>
    <w:p>
      <w:pPr>
        <w:spacing w:after="0" w:line="290" w:lineRule="exact"/>
        <w:rPr>
          <w:sz w:val="20"/>
          <w:szCs w:val="20"/>
          <w:color w:val="auto"/>
        </w:rPr>
      </w:pPr>
    </w:p>
    <w:p>
      <w:pPr>
        <w:jc w:val="both"/>
        <w:ind w:left="980" w:right="20"/>
        <w:spacing w:after="0" w:line="253" w:lineRule="auto"/>
        <w:rPr>
          <w:sz w:val="20"/>
          <w:szCs w:val="20"/>
          <w:color w:val="auto"/>
        </w:rPr>
      </w:pPr>
      <w:r>
        <w:rPr>
          <w:rFonts w:ascii="Arial" w:cs="Arial" w:eastAsia="Arial" w:hAnsi="Arial"/>
          <w:sz w:val="22"/>
          <w:szCs w:val="22"/>
          <w:color w:val="auto"/>
        </w:rPr>
        <w:t>shall pass to ESSDS and ESSDS shall be deemed to have purchased such product from Jazz Pharmaceuticals upon removal of the consigned product to fulfill the product replacement Jazz Pharmaceuticals shall reimburse ESSDS for [***].</w:t>
      </w:r>
    </w:p>
    <w:p>
      <w:pPr>
        <w:spacing w:after="0" w:line="226" w:lineRule="exact"/>
        <w:rPr>
          <w:sz w:val="20"/>
          <w:szCs w:val="20"/>
          <w:color w:val="auto"/>
        </w:rPr>
      </w:pPr>
    </w:p>
    <w:p>
      <w:pPr>
        <w:jc w:val="both"/>
        <w:ind w:left="980"/>
        <w:spacing w:after="0" w:line="292" w:lineRule="auto"/>
        <w:rPr>
          <w:sz w:val="20"/>
          <w:szCs w:val="20"/>
          <w:color w:val="auto"/>
        </w:rPr>
      </w:pPr>
      <w:r>
        <w:rPr>
          <w:rFonts w:ascii="Arial" w:cs="Arial" w:eastAsia="Arial" w:hAnsi="Arial"/>
          <w:sz w:val="19"/>
          <w:szCs w:val="19"/>
          <w:color w:val="auto"/>
        </w:rPr>
        <w:t>All Return or Replacement activities will be conducted in accordance with applicable SOPs, Work Instructions, and the REMS Documents. Applicable fees will apply to the processing and shipping of replacement Xyrem and Xywav and WAC price will be applied to the replacement Xyrem or Xywav, and record of the shipment will be kept in the Patient file. Upon receipt of damaged Product, ESSDS will keep damaged Product in a secure locked area in compliance with applicable SOPs, and will dispose of it using Jazz Pharmaceuticals’ reverse distributor vendor in compliance with applicable SOPs and Applicable Law. ESSDS will be responsible for covering any shipping costs associated with getting such Product to the reverse distributor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20"/>
          </w:cols>
          <w:pgMar w:left="740" w:top="1428" w:right="439" w:bottom="1440" w:gutter="0" w:footer="0" w:header="0"/>
        </w:sectPr>
      </w:pPr>
    </w:p>
    <w:bookmarkStart w:id="56" w:name="page57"/>
    <w:bookmarkEnd w:id="56"/>
    <w:p>
      <w:pPr>
        <w:jc w:val="both"/>
        <w:ind w:left="980"/>
        <w:spacing w:after="0" w:line="263" w:lineRule="auto"/>
        <w:rPr>
          <w:sz w:val="20"/>
          <w:szCs w:val="20"/>
          <w:color w:val="auto"/>
        </w:rPr>
      </w:pPr>
      <w:r>
        <w:rPr>
          <w:rFonts w:ascii="Arial" w:cs="Arial" w:eastAsia="Arial" w:hAnsi="Arial"/>
          <w:sz w:val="22"/>
          <w:szCs w:val="22"/>
          <w:color w:val="auto"/>
        </w:rPr>
        <w:t>destruction. All other costs associated with the utilization of Jazz Pharmaceuticals’ reverse distributor vendor will be covered by Jazz Pharmaceuticals.”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Amendment to Section 4.6</w:t>
      </w:r>
      <w:r>
        <w:rPr>
          <w:rFonts w:ascii="Arial" w:cs="Arial" w:eastAsia="Arial" w:hAnsi="Arial"/>
          <w:sz w:val="19"/>
          <w:szCs w:val="19"/>
          <w:color w:val="auto"/>
        </w:rPr>
        <w:t>. Section 4.6 of the Agreement is hereby amended and restated in its entirety as follows:</w:t>
      </w:r>
    </w:p>
    <w:p>
      <w:pPr>
        <w:spacing w:after="0" w:line="281" w:lineRule="exact"/>
        <w:rPr>
          <w:sz w:val="20"/>
          <w:szCs w:val="20"/>
          <w:color w:val="auto"/>
        </w:rPr>
      </w:pPr>
    </w:p>
    <w:p>
      <w:pPr>
        <w:jc w:val="both"/>
        <w:ind w:left="980"/>
        <w:spacing w:after="0" w:line="297" w:lineRule="auto"/>
        <w:rPr>
          <w:sz w:val="20"/>
          <w:szCs w:val="20"/>
          <w:color w:val="auto"/>
        </w:rPr>
      </w:pPr>
      <w:r>
        <w:rPr>
          <w:rFonts w:ascii="Arial" w:cs="Arial" w:eastAsia="Arial" w:hAnsi="Arial"/>
          <w:sz w:val="19"/>
          <w:szCs w:val="19"/>
          <w:u w:val="single" w:color="auto"/>
          <w:color w:val="auto"/>
        </w:rPr>
        <w:t>“Expired Product.</w:t>
      </w:r>
      <w:r>
        <w:rPr>
          <w:rFonts w:ascii="Arial" w:cs="Arial" w:eastAsia="Arial" w:hAnsi="Arial"/>
          <w:sz w:val="19"/>
          <w:szCs w:val="19"/>
          <w:color w:val="auto"/>
        </w:rPr>
        <w:t xml:space="preserve"> Jazz Pharmaceuticals will, at its cost, replace Product that expires prior to the purchase thereof by ESSDS. Jazz Pharmaceuticals will not replace expired Xyrem or Xywav once it has been purchased by ESSDS. ESSDS will dispose of or return expired Product as reasonably directed by Jazz Pharmaceuticals, in accordance with Applicable Law and applicable SOPs and WIs, and Jazz Pharmaceuticals shall promptly reimburse ESSDS for all reasonable out-of-pocket expenses incurred in complying with this Section.”</w:t>
      </w:r>
    </w:p>
    <w:p>
      <w:pPr>
        <w:spacing w:after="0" w:line="174" w:lineRule="exact"/>
        <w:rPr>
          <w:sz w:val="20"/>
          <w:szCs w:val="20"/>
          <w:color w:val="auto"/>
        </w:rPr>
      </w:pPr>
    </w:p>
    <w:p>
      <w:pPr>
        <w:ind w:left="320" w:right="480" w:hanging="318"/>
        <w:spacing w:after="0" w:line="494" w:lineRule="auto"/>
        <w:tabs>
          <w:tab w:leader="none" w:pos="32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Amendment to Section 6.1</w:t>
      </w:r>
      <w:r>
        <w:rPr>
          <w:rFonts w:ascii="Arial" w:cs="Arial" w:eastAsia="Arial" w:hAnsi="Arial"/>
          <w:sz w:val="22"/>
          <w:szCs w:val="22"/>
          <w:color w:val="auto"/>
        </w:rPr>
        <w:t xml:space="preserve">. Section 6.1 of the Agreement is hereby amended and restated in its entirety as follows: </w:t>
      </w:r>
      <w:r>
        <w:rPr>
          <w:rFonts w:ascii="Arial" w:cs="Arial" w:eastAsia="Arial" w:hAnsi="Arial"/>
          <w:sz w:val="22"/>
          <w:szCs w:val="22"/>
          <w:u w:val="single" w:color="auto"/>
          <w:color w:val="auto"/>
        </w:rPr>
        <w:t>“6.1 Purchase Price of Products.</w:t>
      </w:r>
    </w:p>
    <w:p>
      <w:pPr>
        <w:spacing w:after="0" w:line="38" w:lineRule="exact"/>
        <w:rPr>
          <w:rFonts w:ascii="Arial" w:cs="Arial" w:eastAsia="Arial" w:hAnsi="Arial"/>
          <w:sz w:val="22"/>
          <w:szCs w:val="22"/>
          <w:color w:val="auto"/>
        </w:rPr>
      </w:pPr>
    </w:p>
    <w:p>
      <w:pPr>
        <w:jc w:val="both"/>
        <w:ind w:left="1300" w:hanging="326"/>
        <w:spacing w:after="0" w:line="312" w:lineRule="auto"/>
        <w:tabs>
          <w:tab w:leader="none" w:pos="1297"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Price of Product Purchased from Jazz Pharmaceuticals</w:t>
      </w:r>
      <w:r>
        <w:rPr>
          <w:rFonts w:ascii="Arial" w:cs="Arial" w:eastAsia="Arial" w:hAnsi="Arial"/>
          <w:sz w:val="19"/>
          <w:szCs w:val="19"/>
          <w:color w:val="auto"/>
        </w:rPr>
        <w:t>. With respect to all Xyrem or Xywav purchased by ESSDS from Jazz Pharmaceuticals pursuant to Section 4.1, ESSDS shall pay a purchase price to Jazz Pharmaceuticals [***]. Notwithstanding, ESSDS shall pay Jazz Pharmaceuticals [***].</w:t>
      </w:r>
    </w:p>
    <w:p>
      <w:pPr>
        <w:spacing w:after="0" w:line="160" w:lineRule="exact"/>
        <w:rPr>
          <w:rFonts w:ascii="Arial" w:cs="Arial" w:eastAsia="Arial" w:hAnsi="Arial"/>
          <w:sz w:val="19"/>
          <w:szCs w:val="19"/>
          <w:color w:val="auto"/>
        </w:rPr>
      </w:pPr>
    </w:p>
    <w:p>
      <w:pPr>
        <w:ind w:left="1300" w:right="20" w:hanging="326"/>
        <w:spacing w:after="0" w:line="263" w:lineRule="auto"/>
        <w:tabs>
          <w:tab w:leader="none" w:pos="129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Price of Product Purchased from Authorized Generic Partners</w:t>
      </w:r>
      <w:r>
        <w:rPr>
          <w:rFonts w:ascii="Arial" w:cs="Arial" w:eastAsia="Arial" w:hAnsi="Arial"/>
          <w:sz w:val="22"/>
          <w:szCs w:val="22"/>
          <w:color w:val="auto"/>
        </w:rPr>
        <w:t>. The Parties understand and agree that ESSDS will enter into separate agreements with each</w:t>
      </w:r>
    </w:p>
    <w:p>
      <w:pPr>
        <w:spacing w:after="0" w:line="282" w:lineRule="exact"/>
        <w:rPr>
          <w:rFonts w:ascii="Arial" w:cs="Arial" w:eastAsia="Arial" w:hAnsi="Arial"/>
          <w:sz w:val="22"/>
          <w:szCs w:val="22"/>
          <w:color w:val="auto"/>
        </w:rPr>
      </w:pPr>
    </w:p>
    <w:p>
      <w:pPr>
        <w:ind w:left="1300"/>
        <w:spacing w:after="0" w:line="263" w:lineRule="auto"/>
        <w:rPr>
          <w:rFonts w:ascii="Arial" w:cs="Arial" w:eastAsia="Arial" w:hAnsi="Arial"/>
          <w:sz w:val="22"/>
          <w:szCs w:val="22"/>
          <w:color w:val="auto"/>
        </w:rPr>
      </w:pPr>
      <w:r>
        <w:rPr>
          <w:rFonts w:ascii="Arial" w:cs="Arial" w:eastAsia="Arial" w:hAnsi="Arial"/>
          <w:sz w:val="22"/>
          <w:szCs w:val="22"/>
          <w:color w:val="auto"/>
        </w:rPr>
        <w:t>Authorized Generic Partner for the supply and pricing of each such Authorized Generic Partner’s Authorized Generic Product.”</w:t>
      </w:r>
    </w:p>
    <w:p>
      <w:pPr>
        <w:spacing w:after="0" w:line="201" w:lineRule="exact"/>
        <w:rPr>
          <w:rFonts w:ascii="Arial" w:cs="Arial" w:eastAsia="Arial" w:hAnsi="Arial"/>
          <w:sz w:val="22"/>
          <w:szCs w:val="22"/>
          <w:color w:val="auto"/>
        </w:rPr>
      </w:pPr>
    </w:p>
    <w:p>
      <w:pPr>
        <w:ind w:left="320" w:hanging="318"/>
        <w:spacing w:after="0"/>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Amendment to Section 6.2</w:t>
      </w:r>
      <w:r>
        <w:rPr>
          <w:rFonts w:ascii="Arial" w:cs="Arial" w:eastAsia="Arial" w:hAnsi="Arial"/>
          <w:sz w:val="19"/>
          <w:szCs w:val="19"/>
          <w:color w:val="auto"/>
        </w:rPr>
        <w:t>. Section 6.2 of the Agreement is hereby amended and restated in its entirety as follows:</w:t>
      </w:r>
    </w:p>
    <w:p>
      <w:pPr>
        <w:spacing w:after="0" w:line="281" w:lineRule="exact"/>
        <w:rPr>
          <w:sz w:val="20"/>
          <w:szCs w:val="20"/>
          <w:color w:val="auto"/>
        </w:rPr>
      </w:pPr>
    </w:p>
    <w:p>
      <w:pPr>
        <w:jc w:val="both"/>
        <w:ind w:left="98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Terms.</w:t>
      </w:r>
      <w:r>
        <w:rPr>
          <w:rFonts w:ascii="Arial" w:cs="Arial" w:eastAsia="Arial" w:hAnsi="Arial"/>
          <w:sz w:val="22"/>
          <w:szCs w:val="22"/>
          <w:color w:val="auto"/>
        </w:rPr>
        <w:t xml:space="preserve"> ESSDS shall have the right to establish the price at which it resells Xyrem and Xywav to Non-PAP Patients, and shall have all right title and interest in and to any amounts that ESSDS receives from third parties in connection with Xyrem and Xywav dispensed or distributed pursuant to Non-PAP Orders; provided, however, that the price at which ESSDS sells Xyrem and Xywav shall not exceed [***]. This limitation is intended solely to create an upper limit, and is not intended by either Party to indicate a desire, intent, or belief that the practice of pricing at, or near, this upper limit is sufficient to meet current marketplace demands. The Parties acknowledge the vast complexities of pricing within the pharmaceutical marketplace, and ESSDS represents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20"/>
          </w:cols>
          <w:pgMar w:left="740" w:top="1428" w:right="439" w:bottom="1440" w:gutter="0" w:footer="0" w:header="0"/>
        </w:sectPr>
      </w:pPr>
    </w:p>
    <w:bookmarkStart w:id="57" w:name="page58"/>
    <w:bookmarkEnd w:id="57"/>
    <w:p>
      <w:pPr>
        <w:jc w:val="both"/>
        <w:ind w:left="980"/>
        <w:spacing w:after="0" w:line="258" w:lineRule="auto"/>
        <w:rPr>
          <w:sz w:val="20"/>
          <w:szCs w:val="20"/>
          <w:color w:val="auto"/>
        </w:rPr>
      </w:pPr>
      <w:r>
        <w:rPr>
          <w:rFonts w:ascii="Arial" w:cs="Arial" w:eastAsia="Arial" w:hAnsi="Arial"/>
          <w:sz w:val="21"/>
          <w:szCs w:val="21"/>
          <w:color w:val="auto"/>
        </w:rPr>
        <w:t>typical pricing conventions will apply (example: larger customers may receive better pricing). ESSDS shall make best efforts in all cases to negotiate in good faith with any third party payer in connection with the purchase of Xyrem or Xywav on terms that are commercially reasonable. The Parties have a shared desire to ensure Patients receive drug in a timely manner. From time to time Jazz Pharmaceuticals may become aware of specific third party payer issues that could impact Patients. In the event that Jazz Pharmaceuticals becomes aware of such issues, Jazz Pharmaceuticals may escalate those concerns through the Jazz Pharmaceuticals’ Head of US Market Access, directly to the ESSDS VP of Commercial Activity. ESSDS agrees to use best efforts to ensure such issues are quickly resolved. Nothing in this section shall be interpreted as Jazz Pharmaceuticals setting pharmacy pricing or taking any action inconsistent with provisions contained in Article 4.1(c), titled “Pricing of Non-PAP Orders”.”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Amendment to Section 8.6</w:t>
      </w:r>
      <w:r>
        <w:rPr>
          <w:rFonts w:ascii="Arial" w:cs="Arial" w:eastAsia="Arial" w:hAnsi="Arial"/>
          <w:sz w:val="19"/>
          <w:szCs w:val="19"/>
          <w:color w:val="auto"/>
        </w:rPr>
        <w:t>. Section 8.6 of the Agreement is hereby amended and restated in its entirety as follows:</w:t>
      </w:r>
    </w:p>
    <w:p>
      <w:pPr>
        <w:spacing w:after="0" w:line="281" w:lineRule="exact"/>
        <w:rPr>
          <w:sz w:val="20"/>
          <w:szCs w:val="20"/>
          <w:color w:val="auto"/>
        </w:rPr>
      </w:pPr>
    </w:p>
    <w:p>
      <w:pPr>
        <w:jc w:val="both"/>
        <w:ind w:left="98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w:t>
      </w:r>
      <w:r>
        <w:rPr>
          <w:rFonts w:ascii="Arial" w:cs="Arial" w:eastAsia="Arial" w:hAnsi="Arial"/>
          <w:sz w:val="19"/>
          <w:szCs w:val="19"/>
          <w:color w:val="auto"/>
        </w:rPr>
        <w:t>. ESSDS agrees to maintain the security and confidentiality of all Data, including any Personal Data, in accordance with all Applicable Laws, applicable agreements, patient release forms, consents, the provisions of this Agreement, the SOPs and all Work Orders. For the purposes of this Section, “Personal Data” shall mean computerized or electronic records as well as paper-based files in any medium or format collected by ESSDS in connection with the performance of Services, including but not limited to information received from any patient, health care professional, and other business-to-business customers or vendors that specifically identifies, or when used together with other available information identifies, a particular individual. Personal Data includes name, address, telephone number, fax number, Social Security number, DEA number, other government issued identifier, credit card information, insurance identification number, IP address, email address and information relating to the past, present or future health</w:t>
      </w:r>
    </w:p>
    <w:p>
      <w:pPr>
        <w:spacing w:after="0" w:line="267" w:lineRule="exact"/>
        <w:rPr>
          <w:sz w:val="20"/>
          <w:szCs w:val="20"/>
          <w:color w:val="auto"/>
        </w:rPr>
      </w:pPr>
    </w:p>
    <w:p>
      <w:pPr>
        <w:jc w:val="both"/>
        <w:ind w:left="980"/>
        <w:spacing w:after="0" w:line="292" w:lineRule="auto"/>
        <w:rPr>
          <w:sz w:val="20"/>
          <w:szCs w:val="20"/>
          <w:color w:val="auto"/>
        </w:rPr>
      </w:pPr>
      <w:r>
        <w:rPr>
          <w:rFonts w:ascii="Arial" w:cs="Arial" w:eastAsia="Arial" w:hAnsi="Arial"/>
          <w:sz w:val="19"/>
          <w:szCs w:val="19"/>
          <w:color w:val="auto"/>
        </w:rPr>
        <w:t>or condition (physical or mental) of an individual, but does not include information that is deidentified, encoded or made anonymous. The parties agree that Jazz Pharmaceuticals will not have any ownership in Personal Data created, collected or recorded by ESSDS in connection with the Services. ESSDS agrees that it will not utilize Personal Data outside the scope of this Agreement, provided however, that ESSDS and/or its Affiliates may use Personal Data in the aggregate or on a deidentified basis with other drug-use data, to the extent permitted by Applicable Law, without charge, for research, cost analysis and other internal purposes of ESSDS; provided that said use does not in any way compete with the business of Jazz Pharmaceuticals.</w:t>
      </w:r>
    </w:p>
    <w:p>
      <w:pPr>
        <w:spacing w:after="0" w:line="178" w:lineRule="exact"/>
        <w:rPr>
          <w:sz w:val="20"/>
          <w:szCs w:val="20"/>
          <w:color w:val="auto"/>
        </w:rPr>
      </w:pPr>
    </w:p>
    <w:p>
      <w:pPr>
        <w:jc w:val="both"/>
        <w:ind w:left="980"/>
        <w:spacing w:after="0" w:line="263" w:lineRule="auto"/>
        <w:rPr>
          <w:sz w:val="20"/>
          <w:szCs w:val="20"/>
          <w:color w:val="auto"/>
        </w:rPr>
      </w:pPr>
      <w:r>
        <w:rPr>
          <w:rFonts w:ascii="Arial" w:cs="Arial" w:eastAsia="Arial" w:hAnsi="Arial"/>
          <w:sz w:val="22"/>
          <w:szCs w:val="22"/>
          <w:color w:val="auto"/>
        </w:rPr>
        <w:t>ESSDS will establish commercially reasonable controls to ensure the confidentiality of Confidential Information, Personal Data and Data,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20"/>
          </w:cols>
          <w:pgMar w:left="740" w:top="1428" w:right="439" w:bottom="1440" w:gutter="0" w:footer="0" w:header="0"/>
        </w:sectPr>
      </w:pPr>
    </w:p>
    <w:bookmarkStart w:id="58" w:name="page59"/>
    <w:bookmarkEnd w:id="58"/>
    <w:p>
      <w:pPr>
        <w:jc w:val="both"/>
        <w:ind w:left="980"/>
        <w:spacing w:after="0" w:line="290" w:lineRule="auto"/>
        <w:rPr>
          <w:sz w:val="20"/>
          <w:szCs w:val="20"/>
          <w:color w:val="auto"/>
        </w:rPr>
      </w:pPr>
      <w:r>
        <w:rPr>
          <w:rFonts w:ascii="Arial" w:cs="Arial" w:eastAsia="Arial" w:hAnsi="Arial"/>
          <w:sz w:val="19"/>
          <w:szCs w:val="19"/>
          <w:color w:val="auto"/>
        </w:rPr>
        <w:t>ensure that Confidential Information, Personal Data and Data is not disclosed to any Authorized Generic Partner contrary to the provisions of this Agreement; provided, further, without limiting the foregoing, that ESSDS shall implement and/or maintain a comprehensive written information privacy and security program that includes appropriate administrative, technical and physical safeguards and other security measures appropriate to the size and complexity of ESSDS’ operations and the nature and scope of its activities that are designed to (a) ensure the security and confidentiality of Data; (b) protect against any anticipated threats or hazards to the security, confidentiality and integrity of Data; and (c) protect against unauthorized access to or use of Data that could result in the destruction, use, modification or unauthorized disclosure of Data.</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Amendment to Section 9.3.4</w:t>
      </w:r>
      <w:r>
        <w:rPr>
          <w:rFonts w:ascii="Arial" w:cs="Arial" w:eastAsia="Arial" w:hAnsi="Arial"/>
          <w:sz w:val="19"/>
          <w:szCs w:val="19"/>
          <w:color w:val="auto"/>
        </w:rPr>
        <w:t>. Section 9.3.4 of the Agreement is hereby amended and restated in its entirety as follows:</w:t>
      </w:r>
    </w:p>
    <w:p>
      <w:pPr>
        <w:spacing w:after="0" w:line="295" w:lineRule="exact"/>
        <w:rPr>
          <w:sz w:val="20"/>
          <w:szCs w:val="20"/>
          <w:color w:val="auto"/>
        </w:rPr>
      </w:pPr>
    </w:p>
    <w:p>
      <w:pPr>
        <w:jc w:val="both"/>
        <w:ind w:left="980" w:right="20"/>
        <w:spacing w:after="0" w:line="288" w:lineRule="auto"/>
        <w:rPr>
          <w:sz w:val="20"/>
          <w:szCs w:val="20"/>
          <w:color w:val="auto"/>
        </w:rPr>
      </w:pPr>
      <w:r>
        <w:rPr>
          <w:rFonts w:ascii="Arial" w:cs="Arial" w:eastAsia="Arial" w:hAnsi="Arial"/>
          <w:sz w:val="19"/>
          <w:szCs w:val="19"/>
          <w:color w:val="auto"/>
        </w:rPr>
        <w:t>“Jazz Pharmaceuticals represents and warrants that: (i) all programs initiated by Jazz Pharmaceuticals (and not on behalf of an Authorized Generic Partner) and included as part of the Services, including any eligibility criteria for participation in any such programs, shall be structured in accordance with Applicable Law; and</w:t>
      </w:r>
    </w:p>
    <w:p>
      <w:pPr>
        <w:spacing w:after="0" w:line="1" w:lineRule="exact"/>
        <w:rPr>
          <w:sz w:val="20"/>
          <w:szCs w:val="20"/>
          <w:color w:val="auto"/>
        </w:rPr>
      </w:pPr>
    </w:p>
    <w:p>
      <w:pPr>
        <w:jc w:val="both"/>
        <w:ind w:left="980" w:hanging="6"/>
        <w:spacing w:after="0" w:line="244" w:lineRule="auto"/>
        <w:tabs>
          <w:tab w:leader="none" w:pos="13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Jazz Pharmaceuticals is responsible for the content of all materials provided by Jazz Pharmaceuticals for use or distribution in connection with the Services, including REMS Program Items, and Jazz Pharmaceuticals shall ensure that all such materials have received any required regulatory approvals, are educational and not promotional with respect to Xyrem or Xywav or providing Xyrem or Xywav- related or REMS Program-related information.”</w:t>
      </w:r>
    </w:p>
    <w:p>
      <w:pPr>
        <w:spacing w:after="0" w:line="181" w:lineRule="exact"/>
        <w:rPr>
          <w:rFonts w:ascii="Arial" w:cs="Arial" w:eastAsia="Arial" w:hAnsi="Arial"/>
          <w:sz w:val="22"/>
          <w:szCs w:val="22"/>
          <w:color w:val="auto"/>
        </w:rPr>
      </w:pPr>
    </w:p>
    <w:p>
      <w:pPr>
        <w:ind w:left="320" w:hanging="318"/>
        <w:spacing w:after="0" w:line="263" w:lineRule="auto"/>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Amendment to Section 10.1.</w:t>
      </w:r>
      <w:r>
        <w:rPr>
          <w:rFonts w:ascii="Arial" w:cs="Arial" w:eastAsia="Arial" w:hAnsi="Arial"/>
          <w:sz w:val="22"/>
          <w:szCs w:val="22"/>
          <w:color w:val="auto"/>
        </w:rPr>
        <w:t xml:space="preserve"> Section 10.1 of the Agreement is hereby amended to add “(including Services relating to Authorized Generic Product)” in clause (a) immediately after “Jazz Pharmaceuticals.”</w:t>
      </w:r>
    </w:p>
    <w:p>
      <w:pPr>
        <w:spacing w:after="0" w:line="215" w:lineRule="exact"/>
        <w:rPr>
          <w:rFonts w:ascii="Arial" w:cs="Arial" w:eastAsia="Arial" w:hAnsi="Arial"/>
          <w:sz w:val="22"/>
          <w:szCs w:val="22"/>
          <w:color w:val="auto"/>
        </w:rPr>
      </w:pPr>
    </w:p>
    <w:p>
      <w:pPr>
        <w:ind w:left="320" w:hanging="318"/>
        <w:spacing w:after="0"/>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Amendment to Section 12.1</w:t>
      </w:r>
      <w:r>
        <w:rPr>
          <w:rFonts w:ascii="Arial" w:cs="Arial" w:eastAsia="Arial" w:hAnsi="Arial"/>
          <w:sz w:val="19"/>
          <w:szCs w:val="19"/>
          <w:color w:val="auto"/>
        </w:rPr>
        <w:t>. Section 12.1 of the Agreement is hereby amended and restated in its entirety as follows:</w:t>
      </w:r>
    </w:p>
    <w:p>
      <w:pPr>
        <w:spacing w:after="0" w:line="349" w:lineRule="exact"/>
        <w:rPr>
          <w:sz w:val="20"/>
          <w:szCs w:val="20"/>
          <w:color w:val="auto"/>
        </w:rPr>
      </w:pPr>
    </w:p>
    <w:p>
      <w:pPr>
        <w:jc w:val="both"/>
        <w:ind w:left="980"/>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Indemnification by Jazz Pharmaceuticals</w:t>
      </w:r>
      <w:r>
        <w:rPr>
          <w:rFonts w:ascii="Arial" w:cs="Arial" w:eastAsia="Arial" w:hAnsi="Arial"/>
          <w:sz w:val="19"/>
          <w:szCs w:val="19"/>
          <w:color w:val="auto"/>
        </w:rPr>
        <w:t>. Subject to the terms hereof, Jazz Pharmaceuticals shall indemnify and defend ESSDS, its Affiliates, and their respective directors, officers, employees, agents, successors and permitted assigns, from and against any liabilities, damages, loss, judgments, settlements or expense (including reasonable attorney's fees) (collectively, “Losses”) as a result of any third-party claim, demand or action (collectively, “Claims”) to the extent arising from (a) the manufacture, sale or use of a Product; (b) the negligence, recklessness, or willful misconduct of Jazz Pharmaceuticals or any of its employees; (c) Jazz Pharmaceuticals’ failure to comply with its obligations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20"/>
          </w:cols>
          <w:pgMar w:left="740" w:top="1428" w:right="439" w:bottom="1440" w:gutter="0" w:footer="0" w:header="0"/>
        </w:sectPr>
      </w:pPr>
    </w:p>
    <w:bookmarkStart w:id="59" w:name="page60"/>
    <w:bookmarkEnd w:id="59"/>
    <w:p>
      <w:pPr>
        <w:jc w:val="both"/>
        <w:ind w:left="980" w:hanging="6"/>
        <w:spacing w:after="0" w:line="290" w:lineRule="auto"/>
        <w:tabs>
          <w:tab w:leader="none" w:pos="1299" w:val="left"/>
        </w:tabs>
        <w:numPr>
          <w:ilvl w:val="1"/>
          <w:numId w:val="29"/>
        </w:numPr>
        <w:rPr>
          <w:rFonts w:ascii="Arial" w:cs="Arial" w:eastAsia="Arial" w:hAnsi="Arial"/>
          <w:sz w:val="19"/>
          <w:szCs w:val="19"/>
          <w:color w:val="auto"/>
        </w:rPr>
      </w:pPr>
      <w:r>
        <w:rPr>
          <w:rFonts w:ascii="Arial" w:cs="Arial" w:eastAsia="Arial" w:hAnsi="Arial"/>
          <w:sz w:val="19"/>
          <w:szCs w:val="19"/>
          <w:color w:val="auto"/>
        </w:rPr>
        <w:t>Claims by an Authorized Generic Partner relating to the receipt by Jazz Pharmaceuticals of Data related to an Authorized Generic Product that is required to be transmitted by ESSDS to Jazz Pharmaceuticals under this Agreement (for clarity, this indemnification obligation does not apply to ESSDS’s transmission of any data or information that ESSDS should not disclose to Jazz Pharmaceuticals under this Agreement, such as confidential information or data, including the price at which an Authorized Generic Partner sells any Product to ESSDS, received by ESSDS pursuant to a separate agreement with an Authorized Generic Partner). Such obligation to indemnify, defend, and hold harmless shall not apply to the extent Losses or Claims are caused by ESSDS’ breach hereof, negligence, recklessness or willful misconduct.</w:t>
      </w:r>
    </w:p>
    <w:p>
      <w:pPr>
        <w:spacing w:after="0" w:line="88" w:lineRule="exact"/>
        <w:rPr>
          <w:rFonts w:ascii="Arial" w:cs="Arial" w:eastAsia="Arial" w:hAnsi="Arial"/>
          <w:sz w:val="19"/>
          <w:szCs w:val="19"/>
          <w:color w:val="auto"/>
        </w:rPr>
      </w:pPr>
    </w:p>
    <w:p>
      <w:pPr>
        <w:ind w:left="320" w:hanging="318"/>
        <w:spacing w:after="0"/>
        <w:tabs>
          <w:tab w:leader="none" w:pos="3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Amendment to Section 13.4</w:t>
      </w:r>
      <w:r>
        <w:rPr>
          <w:rFonts w:ascii="Arial" w:cs="Arial" w:eastAsia="Arial" w:hAnsi="Arial"/>
          <w:sz w:val="19"/>
          <w:szCs w:val="19"/>
          <w:color w:val="auto"/>
        </w:rPr>
        <w:t>. Section 13.4 of the Agreement is hereby amended and restated in its entirety as follows:</w:t>
      </w:r>
    </w:p>
    <w:p>
      <w:pPr>
        <w:spacing w:after="0" w:line="281" w:lineRule="exact"/>
        <w:rPr>
          <w:sz w:val="20"/>
          <w:szCs w:val="20"/>
          <w:color w:val="auto"/>
        </w:rPr>
      </w:pPr>
    </w:p>
    <w:p>
      <w:pPr>
        <w:jc w:val="both"/>
        <w:ind w:left="98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Exclusivity and Non-Competition</w:t>
      </w:r>
      <w:r>
        <w:rPr>
          <w:rFonts w:ascii="Arial" w:cs="Arial" w:eastAsia="Arial" w:hAnsi="Arial"/>
          <w:sz w:val="19"/>
          <w:szCs w:val="19"/>
          <w:color w:val="auto"/>
        </w:rPr>
        <w:t>. Except for Services performed by ESSDS in connection with an Authorized Generic Product as set forth in a Work Order, from the Effective Date until twelve (12) months after the termination or expiration of this Agreement, ESSDS will not accept or participate in Services related to products related to products related to oxybate and oxybate salts and their derivatives with any other Party without the prior written consent of Jazz Pharmaceuticals. Except for Services performed by ESSDS in connection with an Authorized Generic Product as set forth in a Work Order, from the Effective Date until the termination or expiration of this Agreement, ESSDS will not accept or participate in Services related to products indicated for the treatment of cataplexy or excessive daytime sleepiness in narcolepsy or idiopathic hypersomnia.</w:t>
      </w:r>
    </w:p>
    <w:p>
      <w:pPr>
        <w:spacing w:after="0" w:line="196" w:lineRule="exact"/>
        <w:rPr>
          <w:sz w:val="20"/>
          <w:szCs w:val="20"/>
          <w:color w:val="auto"/>
        </w:rPr>
      </w:pPr>
    </w:p>
    <w:p>
      <w:pPr>
        <w:ind w:left="320" w:hanging="318"/>
        <w:spacing w:after="0"/>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 to Exhibit A</w:t>
      </w:r>
      <w:r>
        <w:rPr>
          <w:rFonts w:ascii="Arial" w:cs="Arial" w:eastAsia="Arial" w:hAnsi="Arial"/>
          <w:sz w:val="22"/>
          <w:szCs w:val="22"/>
          <w:color w:val="auto"/>
        </w:rPr>
        <w:t>. Exhibit A is deleted in its entirety and replaced with the attached Exhibit A.</w:t>
      </w:r>
    </w:p>
    <w:p>
      <w:pPr>
        <w:spacing w:after="0" w:line="246" w:lineRule="exact"/>
        <w:rPr>
          <w:rFonts w:ascii="Arial" w:cs="Arial" w:eastAsia="Arial" w:hAnsi="Arial"/>
          <w:sz w:val="22"/>
          <w:szCs w:val="22"/>
          <w:color w:val="auto"/>
        </w:rPr>
      </w:pPr>
    </w:p>
    <w:p>
      <w:pPr>
        <w:ind w:left="320" w:hanging="318"/>
        <w:spacing w:after="0" w:line="263" w:lineRule="auto"/>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Amendment constitutes an amendment in writing to the Agreement in accordance with Section 14.1 of the Agreement.</w:t>
      </w:r>
    </w:p>
    <w:p>
      <w:pPr>
        <w:spacing w:after="0" w:line="201" w:lineRule="exact"/>
        <w:rPr>
          <w:rFonts w:ascii="Arial" w:cs="Arial" w:eastAsia="Arial" w:hAnsi="Arial"/>
          <w:sz w:val="22"/>
          <w:szCs w:val="22"/>
          <w:color w:val="auto"/>
        </w:rPr>
      </w:pPr>
    </w:p>
    <w:p>
      <w:pPr>
        <w:jc w:val="both"/>
        <w:ind w:left="320" w:right="20" w:hanging="318"/>
        <w:spacing w:after="0" w:line="253" w:lineRule="auto"/>
        <w:tabs>
          <w:tab w:leader="none" w:pos="3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dispute related hereto, will be governed and construed in accordance with the laws of the State of Delaware, excluding any choice of law rules which may direct the application of the laws of another jurisdiction. In the event</w:t>
      </w:r>
    </w:p>
    <w:p>
      <w:pPr>
        <w:spacing w:after="0" w:line="36" w:lineRule="exact"/>
        <w:rPr>
          <w:rFonts w:ascii="Arial" w:cs="Arial" w:eastAsia="Arial" w:hAnsi="Arial"/>
          <w:sz w:val="22"/>
          <w:szCs w:val="22"/>
          <w:color w:val="auto"/>
        </w:rPr>
      </w:pPr>
    </w:p>
    <w:p>
      <w:pPr>
        <w:jc w:val="both"/>
        <w:ind w:left="320" w:right="20"/>
        <w:spacing w:after="0" w:line="312" w:lineRule="auto"/>
        <w:rPr>
          <w:rFonts w:ascii="Arial" w:cs="Arial" w:eastAsia="Arial" w:hAnsi="Arial"/>
          <w:sz w:val="22"/>
          <w:szCs w:val="22"/>
          <w:color w:val="auto"/>
        </w:rPr>
      </w:pPr>
      <w:r>
        <w:rPr>
          <w:rFonts w:ascii="Arial" w:cs="Arial" w:eastAsia="Arial" w:hAnsi="Arial"/>
          <w:sz w:val="19"/>
          <w:szCs w:val="19"/>
          <w:color w:val="auto"/>
        </w:rPr>
        <w:t>of any dispute between the Parties, prior to any Party commencing an action for damages, each Party will designate a representative and the representatives will meet in person or telephonically in a good-faith attempt to resolve their differences. Prior to such meeting, the complaining Party will provide a written explanation of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20"/>
          </w:cols>
          <w:pgMar w:left="740" w:top="1428" w:right="439" w:bottom="1440" w:gutter="0" w:footer="0" w:header="0"/>
        </w:sectPr>
      </w:pPr>
    </w:p>
    <w:bookmarkStart w:id="60" w:name="page61"/>
    <w:bookmarkEnd w:id="60"/>
    <w:p>
      <w:pPr>
        <w:jc w:val="both"/>
        <w:ind w:left="320" w:hanging="318"/>
        <w:spacing w:after="0" w:line="290" w:lineRule="auto"/>
        <w:tabs>
          <w:tab w:leader="none" w:pos="32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 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 Agreement, shall mean and be a reference to the Agreement, as amended by this Amendment.</w:t>
      </w:r>
    </w:p>
    <w:p>
      <w:pPr>
        <w:spacing w:after="0" w:line="182" w:lineRule="exact"/>
        <w:rPr>
          <w:rFonts w:ascii="Arial" w:cs="Arial" w:eastAsia="Arial" w:hAnsi="Arial"/>
          <w:sz w:val="19"/>
          <w:szCs w:val="19"/>
          <w:color w:val="auto"/>
        </w:rPr>
      </w:pPr>
    </w:p>
    <w:p>
      <w:pPr>
        <w:jc w:val="both"/>
        <w:ind w:left="320" w:hanging="318"/>
        <w:spacing w:after="0" w:line="253" w:lineRule="auto"/>
        <w:tabs>
          <w:tab w:leader="none" w:pos="3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each of which will be deemed an original but all of which together will constitute one and the same instrument. Facsimile and pdf signatures will be considered original signatures.</w:t>
      </w:r>
    </w:p>
    <w:p>
      <w:pPr>
        <w:spacing w:after="0" w:line="22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20"/>
          </w:cols>
          <w:pgMar w:left="740" w:top="1428" w:right="439" w:bottom="1440" w:gutter="0" w:footer="0" w:header="0"/>
        </w:sectPr>
      </w:pPr>
    </w:p>
    <w:bookmarkStart w:id="61" w:name="page62"/>
    <w:bookmarkEnd w:id="61"/>
    <w:p>
      <w:pPr>
        <w:ind w:firstLine="647"/>
        <w:spacing w:after="0" w:line="232" w:lineRule="auto"/>
        <w:rPr>
          <w:sz w:val="20"/>
          <w:szCs w:val="20"/>
          <w:color w:val="auto"/>
        </w:rPr>
      </w:pPr>
      <w:r>
        <w:rPr>
          <w:rFonts w:ascii="Arial" w:cs="Arial" w:eastAsia="Arial" w:hAnsi="Arial"/>
          <w:sz w:val="22"/>
          <w:szCs w:val="22"/>
          <w:color w:val="auto"/>
        </w:rPr>
        <w:t>IN WITNESS WHEREOF, the undersigned have caused this Amendment to be executed, effective as of the Amendment Effective Date.</w:t>
      </w:r>
    </w:p>
    <w:p>
      <w:pPr>
        <w:sectPr>
          <w:pgSz w:w="11900" w:h="16838" w:orient="portrait"/>
          <w:cols w:equalWidth="0" w:num="1">
            <w:col w:w="11080"/>
          </w:cols>
          <w:pgMar w:left="420" w:top="130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JAZZ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EXPRESS SCRIPTS SPECIALTY</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 SERVICES, INC.</w:t>
      </w:r>
    </w:p>
    <w:p>
      <w:pPr>
        <w:spacing w:after="0" w:line="200" w:lineRule="exact"/>
        <w:rPr>
          <w:sz w:val="20"/>
          <w:szCs w:val="20"/>
          <w:color w:val="auto"/>
        </w:rPr>
      </w:pPr>
    </w:p>
    <w:p>
      <w:pPr>
        <w:sectPr>
          <w:pgSz w:w="11900" w:h="16838" w:orient="portrait"/>
          <w:cols w:equalWidth="0" w:num="2">
            <w:col w:w="5100" w:space="720"/>
            <w:col w:w="5260"/>
          </w:cols>
          <w:pgMar w:left="420" w:top="130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4200" w:type="dxa"/>
            <w:vAlign w:val="bottom"/>
            <w:gridSpan w:val="4"/>
          </w:tcPr>
          <w:p>
            <w:pPr>
              <w:spacing w:after="0"/>
              <w:rPr>
                <w:sz w:val="20"/>
                <w:szCs w:val="20"/>
                <w:color w:val="auto"/>
              </w:rPr>
            </w:pPr>
            <w:r>
              <w:rPr>
                <w:rFonts w:ascii="Arial" w:cs="Arial" w:eastAsia="Arial" w:hAnsi="Arial"/>
                <w:sz w:val="22"/>
                <w:szCs w:val="22"/>
                <w:color w:val="auto"/>
              </w:rPr>
              <w:t>By:   /s/ Ernie Ross</w:t>
            </w:r>
          </w:p>
        </w:tc>
        <w:tc>
          <w:tcPr>
            <w:tcW w:w="4220" w:type="dxa"/>
            <w:vAlign w:val="bottom"/>
            <w:gridSpan w:val="3"/>
          </w:tcPr>
          <w:p>
            <w:pPr>
              <w:ind w:left="1460"/>
              <w:spacing w:after="0"/>
              <w:rPr>
                <w:sz w:val="20"/>
                <w:szCs w:val="20"/>
                <w:color w:val="auto"/>
              </w:rPr>
            </w:pPr>
            <w:r>
              <w:rPr>
                <w:rFonts w:ascii="Arial" w:cs="Arial" w:eastAsia="Arial" w:hAnsi="Arial"/>
                <w:sz w:val="22"/>
                <w:szCs w:val="22"/>
                <w:color w:val="auto"/>
              </w:rPr>
              <w:t>By:   /s/ Joshua B. Parker</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82"/>
        </w:trPr>
        <w:tc>
          <w:tcPr>
            <w:tcW w:w="4200" w:type="dxa"/>
            <w:vAlign w:val="bottom"/>
            <w:gridSpan w:val="4"/>
          </w:tcPr>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6"/>
                <w:szCs w:val="16"/>
                <w:color w:val="auto"/>
              </w:rPr>
              <w:t>Ernie Ross</w:t>
            </w:r>
          </w:p>
        </w:tc>
        <w:tc>
          <w:tcPr>
            <w:tcW w:w="4220" w:type="dxa"/>
            <w:vAlign w:val="bottom"/>
            <w:gridSpan w:val="3"/>
          </w:tcPr>
          <w:p>
            <w:pPr>
              <w:ind w:left="14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6"/>
                <w:szCs w:val="16"/>
                <w:color w:val="auto"/>
              </w:rPr>
              <w:t>Joshua B. Parker</w:t>
            </w:r>
          </w:p>
        </w:tc>
      </w:tr>
      <w:tr>
        <w:trPr>
          <w:trHeight w:val="351"/>
        </w:trPr>
        <w:tc>
          <w:tcPr>
            <w:tcW w:w="4200" w:type="dxa"/>
            <w:vAlign w:val="bottom"/>
            <w:gridSpan w:val="4"/>
          </w:tcPr>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6"/>
                <w:szCs w:val="16"/>
                <w:color w:val="auto"/>
              </w:rPr>
              <w:t>Senior VP, U.S. Market Access</w:t>
            </w:r>
          </w:p>
        </w:tc>
        <w:tc>
          <w:tcPr>
            <w:tcW w:w="4220" w:type="dxa"/>
            <w:vAlign w:val="bottom"/>
            <w:gridSpan w:val="3"/>
          </w:tcPr>
          <w:p>
            <w:pPr>
              <w:ind w:left="14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6"/>
                <w:szCs w:val="16"/>
                <w:color w:val="auto"/>
              </w:rPr>
              <w:t>VP</w:t>
            </w:r>
          </w:p>
        </w:tc>
      </w:tr>
      <w:tr>
        <w:trPr>
          <w:trHeight w:val="335"/>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gridSpan w:val="2"/>
          </w:tcPr>
          <w:p>
            <w:pPr>
              <w:ind w:left="20"/>
              <w:spacing w:after="0"/>
              <w:rPr>
                <w:sz w:val="20"/>
                <w:szCs w:val="20"/>
                <w:color w:val="auto"/>
              </w:rPr>
            </w:pPr>
            <w:r>
              <w:rPr>
                <w:rFonts w:ascii="Arial" w:cs="Arial" w:eastAsia="Arial" w:hAnsi="Arial"/>
                <w:sz w:val="16"/>
                <w:szCs w:val="16"/>
                <w:color w:val="auto"/>
              </w:rPr>
              <w:t>05-Apr-2022</w:t>
            </w:r>
          </w:p>
        </w:tc>
        <w:tc>
          <w:tcPr>
            <w:tcW w:w="1980" w:type="dxa"/>
            <w:vAlign w:val="bottom"/>
          </w:tcPr>
          <w:p>
            <w:pPr>
              <w:spacing w:after="0"/>
              <w:rPr>
                <w:sz w:val="24"/>
                <w:szCs w:val="24"/>
                <w:color w:val="auto"/>
              </w:rPr>
            </w:pPr>
          </w:p>
        </w:tc>
        <w:tc>
          <w:tcPr>
            <w:tcW w:w="2240" w:type="dxa"/>
            <w:vAlign w:val="bottom"/>
            <w:gridSpan w:val="2"/>
          </w:tcPr>
          <w:p>
            <w:pPr>
              <w:ind w:left="320"/>
              <w:spacing w:after="0"/>
              <w:rPr>
                <w:sz w:val="20"/>
                <w:szCs w:val="20"/>
                <w:color w:val="auto"/>
              </w:rPr>
            </w:pPr>
            <w:r>
              <w:rPr>
                <w:rFonts w:ascii="Arial" w:cs="Arial" w:eastAsia="Arial" w:hAnsi="Arial"/>
                <w:sz w:val="16"/>
                <w:szCs w:val="16"/>
                <w:color w:val="auto"/>
                <w:w w:val="99"/>
              </w:rPr>
              <w:t>04/04/2022 | 1:56 PM CDT</w:t>
            </w:r>
          </w:p>
        </w:tc>
      </w:tr>
      <w:tr>
        <w:trPr>
          <w:trHeight w:val="856"/>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Borders>
              <w:bottom w:val="single" w:sz="8" w:color="auto"/>
            </w:tcBorders>
          </w:tcPr>
          <w:p>
            <w:pPr>
              <w:spacing w:after="0"/>
              <w:rPr>
                <w:sz w:val="24"/>
                <w:szCs w:val="24"/>
                <w:color w:val="auto"/>
              </w:rPr>
            </w:pPr>
          </w:p>
        </w:tc>
        <w:tc>
          <w:tcPr>
            <w:tcW w:w="3400" w:type="dxa"/>
            <w:vAlign w:val="bottom"/>
            <w:gridSpan w:val="2"/>
          </w:tcPr>
          <w:p>
            <w:pPr>
              <w:spacing w:after="0"/>
              <w:rPr>
                <w:sz w:val="24"/>
                <w:szCs w:val="24"/>
                <w:color w:val="auto"/>
              </w:rPr>
            </w:pPr>
          </w:p>
        </w:tc>
        <w:tc>
          <w:tcPr>
            <w:tcW w:w="4220" w:type="dxa"/>
            <w:vAlign w:val="bottom"/>
            <w:gridSpan w:val="3"/>
          </w:tcPr>
          <w:p>
            <w:pPr>
              <w:ind w:left="1980"/>
              <w:spacing w:after="0"/>
              <w:rPr>
                <w:sz w:val="20"/>
                <w:szCs w:val="20"/>
                <w:color w:val="auto"/>
              </w:rPr>
            </w:pPr>
            <w:r>
              <w:rPr>
                <w:rFonts w:ascii="Arial" w:cs="Arial" w:eastAsia="Arial" w:hAnsi="Arial"/>
                <w:sz w:val="16"/>
                <w:szCs w:val="16"/>
                <w:color w:val="auto"/>
              </w:rPr>
              <w:t>RPM for JLD 4.4.22</w:t>
            </w:r>
          </w:p>
        </w:tc>
      </w:tr>
      <w:tr>
        <w:trPr>
          <w:trHeight w:val="382"/>
        </w:trPr>
        <w:tc>
          <w:tcPr>
            <w:tcW w:w="4200" w:type="dxa"/>
            <w:vAlign w:val="bottom"/>
            <w:gridSpan w:val="4"/>
          </w:tcPr>
          <w:p>
            <w:pPr>
              <w:spacing w:after="0"/>
              <w:rPr>
                <w:sz w:val="20"/>
                <w:szCs w:val="20"/>
                <w:color w:val="auto"/>
              </w:rPr>
            </w:pPr>
            <w:r>
              <w:rPr>
                <w:rFonts w:ascii="Arial" w:cs="Arial" w:eastAsia="Arial" w:hAnsi="Arial"/>
                <w:sz w:val="22"/>
                <w:szCs w:val="22"/>
                <w:color w:val="auto"/>
              </w:rPr>
              <w:t>Name:</w:t>
            </w: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1"/>
        </w:trPr>
        <w:tc>
          <w:tcPr>
            <w:tcW w:w="4200" w:type="dxa"/>
            <w:vAlign w:val="bottom"/>
            <w:gridSpan w:val="4"/>
          </w:tcPr>
          <w:p>
            <w:pPr>
              <w:spacing w:after="0"/>
              <w:rPr>
                <w:sz w:val="20"/>
                <w:szCs w:val="20"/>
                <w:color w:val="auto"/>
              </w:rPr>
            </w:pPr>
            <w:r>
              <w:rPr>
                <w:rFonts w:ascii="Arial" w:cs="Arial" w:eastAsia="Arial" w:hAnsi="Arial"/>
                <w:sz w:val="22"/>
                <w:szCs w:val="22"/>
                <w:color w:val="auto"/>
              </w:rPr>
              <w:t>Title:</w:t>
            </w: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[Signature Page to Amendment No.2 to Pharmacy Master Services Agreement]</w:t>
      </w:r>
    </w:p>
    <w:p>
      <w:pPr>
        <w:sectPr>
          <w:pgSz w:w="11900" w:h="16838" w:orient="portrait"/>
          <w:cols w:equalWidth="0" w:num="1">
            <w:col w:w="11080"/>
          </w:cols>
          <w:pgMar w:left="420" w:top="1306" w:right="399" w:bottom="1440" w:gutter="0" w:footer="0" w:header="0"/>
          <w:type w:val="continuous"/>
        </w:sectPr>
      </w:pPr>
    </w:p>
    <w:bookmarkStart w:id="62" w:name="page63"/>
    <w:bookmarkEnd w:id="62"/>
    <w:p>
      <w:pPr>
        <w:ind w:left="50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334" w:lineRule="exact"/>
        <w:rPr>
          <w:sz w:val="20"/>
          <w:szCs w:val="20"/>
          <w:color w:val="auto"/>
        </w:rPr>
      </w:pPr>
    </w:p>
    <w:p>
      <w:pPr>
        <w:jc w:val="right"/>
        <w:ind w:right="3979"/>
        <w:spacing w:after="0"/>
        <w:rPr>
          <w:sz w:val="20"/>
          <w:szCs w:val="20"/>
          <w:color w:val="auto"/>
        </w:rPr>
      </w:pPr>
      <w:r>
        <w:rPr>
          <w:rFonts w:ascii="Arial" w:cs="Arial" w:eastAsia="Arial" w:hAnsi="Arial"/>
          <w:sz w:val="21"/>
          <w:szCs w:val="21"/>
          <w:b w:val="1"/>
          <w:bCs w:val="1"/>
          <w:color w:val="auto"/>
        </w:rPr>
        <w:t>Trademarks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XYREM® (sodium oxybate)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866-XYREM88</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Jazz</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Jazz Pharmaceuticals, Inc.</w:t>
      </w:r>
      <w:r>
        <w:rPr>
          <w:rFonts w:ascii="Arial" w:cs="Arial" w:eastAsia="Arial" w:hAnsi="Arial"/>
          <w:sz w:val="25"/>
          <w:szCs w:val="25"/>
          <w:color w:val="auto"/>
          <w:vertAlign w:val="superscript"/>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JP</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XYWAV</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JAZZ CARES</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MYWAV</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XYREM (SODIUM OXYBATE) ORAL SOLUTION CIII</w:t>
      </w:r>
      <w:r>
        <w:rPr>
          <w:rFonts w:ascii="Arial" w:cs="Arial" w:eastAsia="Arial" w:hAnsi="Arial"/>
          <w:sz w:val="25"/>
          <w:szCs w:val="25"/>
          <w:color w:val="auto"/>
          <w:vertAlign w:val="superscript"/>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XYREM PATIENT SUCCESS PROGRAM</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XYREM SUCCESS PROGRAM</w:t>
      </w:r>
      <w:r>
        <w:rPr>
          <w:rFonts w:ascii="Arial" w:cs="Arial" w:eastAsia="Arial" w:hAnsi="Arial"/>
          <w:sz w:val="25"/>
          <w:szCs w:val="25"/>
          <w:color w:val="auto"/>
          <w:vertAlign w:val="superscript"/>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And logos associated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039"/>
          </w:cols>
          <w:pgMar w:left="420" w:top="1309" w:right="1440" w:bottom="1440" w:gutter="0" w:footer="0" w:header="0"/>
        </w:sectPr>
      </w:pPr>
    </w:p>
    <w:bookmarkStart w:id="63" w:name="page64"/>
    <w:bookmarkEnd w:id="63"/>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EXHIBIT E</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820" w:type="dxa"/>
            <w:vAlign w:val="bottom"/>
            <w:tcBorders>
              <w:top w:val="single" w:sz="8" w:color="auto"/>
              <w:left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6"/>
              </w:rPr>
              <w:t>PRODUCT ID</w:t>
            </w:r>
          </w:p>
        </w:tc>
        <w:tc>
          <w:tcPr>
            <w:tcW w:w="1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DESCRIPTION</w:t>
            </w:r>
          </w:p>
        </w:tc>
        <w:tc>
          <w:tcPr>
            <w:tcW w:w="40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LOT NO.</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PRICE</w:t>
            </w:r>
          </w:p>
        </w:tc>
        <w:tc>
          <w:tcPr>
            <w:tcW w:w="18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UNITS</w:t>
            </w:r>
          </w:p>
        </w:tc>
        <w:tc>
          <w:tcPr>
            <w:tcW w:w="18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ORDERS</w:t>
            </w:r>
          </w:p>
        </w:tc>
      </w:tr>
      <w:tr>
        <w:trPr>
          <w:trHeight w:val="237"/>
        </w:trPr>
        <w:tc>
          <w:tcPr>
            <w:tcW w:w="1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SCHEDULE</w:t>
            </w:r>
          </w:p>
        </w:tc>
        <w:tc>
          <w:tcPr>
            <w:tcW w:w="18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r>
        <w:trPr>
          <w:trHeight w:val="202"/>
        </w:trPr>
        <w:tc>
          <w:tcPr>
            <w:tcW w:w="1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r>
      <w:tr>
        <w:trPr>
          <w:trHeight w:val="195"/>
        </w:trPr>
        <w:tc>
          <w:tcPr>
            <w:tcW w:w="1820" w:type="dxa"/>
            <w:vAlign w:val="bottom"/>
            <w:tcBorders>
              <w:left w:val="single" w:sz="8" w:color="auto"/>
              <w:right w:val="single" w:sz="8" w:color="auto"/>
            </w:tcBorders>
            <w:gridSpan w:val="2"/>
          </w:tcPr>
          <w:p>
            <w:pPr>
              <w:jc w:val="center"/>
              <w:ind w:right="360"/>
              <w:spacing w:after="0" w:line="195" w:lineRule="exact"/>
              <w:rPr>
                <w:sz w:val="20"/>
                <w:szCs w:val="20"/>
                <w:color w:val="auto"/>
              </w:rPr>
            </w:pPr>
            <w:r>
              <w:rPr>
                <w:rFonts w:ascii="Arial" w:cs="Arial" w:eastAsia="Arial" w:hAnsi="Arial"/>
                <w:sz w:val="18"/>
                <w:szCs w:val="18"/>
                <w:color w:val="auto"/>
                <w:w w:val="99"/>
              </w:rPr>
              <w:t>TOTAL</w:t>
            </w:r>
          </w:p>
        </w:tc>
        <w:tc>
          <w:tcPr>
            <w:tcW w:w="14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r>
      <w:tr>
        <w:trPr>
          <w:trHeight w:val="237"/>
        </w:trPr>
        <w:tc>
          <w:tcPr>
            <w:tcW w:w="1820" w:type="dxa"/>
            <w:vAlign w:val="bottom"/>
            <w:tcBorders>
              <w:left w:val="single" w:sz="8" w:color="auto"/>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ORDER</w:t>
            </w:r>
          </w:p>
        </w:tc>
        <w:tc>
          <w:tcPr>
            <w:tcW w:w="142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r>
        <w:trPr>
          <w:trHeight w:val="608"/>
        </w:trPr>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3"/>
          </w:tcPr>
          <w:p>
            <w:pPr>
              <w:spacing w:after="0"/>
              <w:rPr>
                <w:sz w:val="24"/>
                <w:szCs w:val="24"/>
                <w:color w:val="auto"/>
              </w:rPr>
            </w:pPr>
          </w:p>
        </w:tc>
        <w:tc>
          <w:tcPr>
            <w:tcW w:w="2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15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Lot No.</w:t>
            </w: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Bottles</w:t>
            </w:r>
          </w:p>
        </w:tc>
        <w:tc>
          <w:tcPr>
            <w:tcW w:w="1480" w:type="dxa"/>
            <w:vAlign w:val="bottom"/>
            <w:tcBorders>
              <w:top w:val="single" w:sz="8" w:color="auto"/>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Orders</w:t>
            </w:r>
          </w:p>
        </w:tc>
        <w:tc>
          <w:tcPr>
            <w:tcW w:w="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02"/>
        </w:trPr>
        <w:tc>
          <w:tcPr>
            <w:tcW w:w="1580" w:type="dxa"/>
            <w:vAlign w:val="bottom"/>
            <w:tcBorders>
              <w:left w:val="single" w:sz="8" w:color="auto"/>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580" w:type="dxa"/>
            <w:vAlign w:val="bottom"/>
            <w:tcBorders>
              <w:left w:val="single" w:sz="8" w:color="auto"/>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580" w:type="dxa"/>
            <w:vAlign w:val="bottom"/>
            <w:tcBorders>
              <w:top w:val="single" w:sz="8" w:color="auto"/>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Lot No.</w:t>
            </w:r>
          </w:p>
        </w:tc>
        <w:tc>
          <w:tcPr>
            <w:tcW w:w="168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Half Bottles</w:t>
            </w:r>
          </w:p>
        </w:tc>
      </w:tr>
      <w:tr>
        <w:trPr>
          <w:trHeight w:val="202"/>
        </w:trPr>
        <w:tc>
          <w:tcPr>
            <w:tcW w:w="158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96"/>
        </w:trPr>
        <w:tc>
          <w:tcPr>
            <w:tcW w:w="1580" w:type="dxa"/>
            <w:vAlign w:val="bottom"/>
            <w:tcBorders>
              <w:left w:val="single" w:sz="8" w:color="auto"/>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40"/>
          </w:cols>
          <w:pgMar w:left="420" w:top="14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80" w:hanging="327"/>
        <w:spacing w:after="0" w:line="30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lvl w:ilvl="1">
      <w:lvlJc w:val="left"/>
      <w:lvlText w:val="%2"/>
      <w:numFmt w:val="decimal"/>
      <w:start w:val="104"/>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lvl w:ilvl="1">
      <w:lvlJc w:val="left"/>
      <w:lvlText w:val="\ldblquote"/>
      <w:numFmt w:val="bullet"/>
      <w:start w:val="1"/>
    </w:lvl>
  </w:abstractNum>
  <w:abstractNum w:abstractNumId="18">
    <w:nsid w:val="71F32454"/>
    <w:multiLevelType w:val="hybridMultilevel"/>
    <w:lvl w:ilvl="0">
      <w:lvlJc w:val="left"/>
      <w:lvlText w:val="%1."/>
      <w:numFmt w:val="decimal"/>
      <w:start w:val="4"/>
    </w:lvl>
    <w:lvl w:ilvl="1">
      <w:lvlJc w:val="left"/>
      <w:lvlText w:val="\ldblquote"/>
      <w:numFmt w:val="bullet"/>
      <w:start w:val="1"/>
    </w:lvl>
  </w:abstractNum>
  <w:abstractNum w:abstractNumId="19">
    <w:nsid w:val="2CA88611"/>
    <w:multiLevelType w:val="hybridMultilevel"/>
    <w:lvl w:ilvl="0">
      <w:lvlJc w:val="left"/>
      <w:lvlText w:val="%1."/>
      <w:numFmt w:val="decimal"/>
      <w:start w:val="10"/>
    </w:lvl>
    <w:lvl w:ilvl="1">
      <w:lvlJc w:val="left"/>
      <w:lvlText w:val="\ldblquote"/>
      <w:numFmt w:val="bullet"/>
      <w:start w:val="1"/>
    </w:lvl>
  </w:abstractNum>
  <w:abstractNum w:abstractNumId="20">
    <w:nsid w:val="836C40E"/>
    <w:multiLevelType w:val="hybridMultilevel"/>
    <w:lvl w:ilvl="0">
      <w:lvlJc w:val="left"/>
      <w:lvlText w:val="%1."/>
      <w:numFmt w:val="decimal"/>
      <w:start w:val="13"/>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decimal"/>
      <w:start w:val="17"/>
    </w:lvl>
  </w:abstractNum>
  <w:abstractNum w:abstractNumId="23">
    <w:nsid w:val="8138641"/>
    <w:multiLevelType w:val="hybridMultilevel"/>
    <w:lvl w:ilvl="0">
      <w:lvlJc w:val="left"/>
      <w:lvlText w:val="%1."/>
      <w:numFmt w:val="decimal"/>
      <w:start w:val="19"/>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2"/>
    </w:lvl>
    <w:lvl w:ilvl="1">
      <w:lvlJc w:val="left"/>
      <w:lvlText w:val="(%2)"/>
      <w:numFmt w:val="lowerLetter"/>
      <w:start w:val="1"/>
    </w:lvl>
  </w:abstractNum>
  <w:abstractNum w:abstractNumId="26">
    <w:nsid w:val="737B8DDC"/>
    <w:multiLevelType w:val="hybridMultilevel"/>
    <w:lvl w:ilvl="0">
      <w:lvlJc w:val="left"/>
      <w:lvlText w:val="%1"/>
      <w:numFmt w:val="decimal"/>
      <w:start w:val="1"/>
    </w:lvl>
    <w:lvl w:ilvl="1">
      <w:lvlJc w:val="left"/>
      <w:lvlText w:val="(%2)"/>
      <w:numFmt w:val="lowerRoman"/>
      <w:start w:val="2"/>
    </w:lvl>
  </w:abstractNum>
  <w:abstractNum w:abstractNumId="27">
    <w:nsid w:val="6CEAF087"/>
    <w:multiLevelType w:val="hybridMultilevel"/>
    <w:lvl w:ilvl="0">
      <w:lvlJc w:val="left"/>
      <w:lvlText w:val="%1."/>
      <w:numFmt w:val="decimal"/>
      <w:start w:val="26"/>
    </w:lvl>
    <w:lvl w:ilvl="1">
      <w:lvlJc w:val="left"/>
      <w:lvlText w:val="%2"/>
      <w:numFmt w:val="lowerRoman"/>
      <w:start w:val="1"/>
    </w:lvl>
  </w:abstractNum>
  <w:abstractNum w:abstractNumId="28">
    <w:nsid w:val="22221A70"/>
    <w:multiLevelType w:val="hybridMultilevel"/>
    <w:lvl w:ilvl="0">
      <w:lvlJc w:val="left"/>
      <w:lvlText w:val="%1"/>
      <w:numFmt w:val="decimal"/>
      <w:start w:val="1"/>
    </w:lvl>
    <w:lvl w:ilvl="1">
      <w:lvlJc w:val="left"/>
      <w:lvlText w:val="(%2)"/>
      <w:numFmt w:val="lowerLetter"/>
      <w:start w:val="4"/>
    </w:lvl>
  </w:abstractNum>
  <w:abstractNum w:abstractNumId="29">
    <w:nsid w:val="4516DDE9"/>
    <w:multiLevelType w:val="hybridMultilevel"/>
    <w:lvl w:ilvl="0">
      <w:lvlJc w:val="left"/>
      <w:lvlText w:val="%1."/>
      <w:numFmt w:val="decimal"/>
      <w:start w:val="28"/>
    </w:lvl>
    <w:lvl w:ilvl="1">
      <w:lvlJc w:val="left"/>
      <w:lvlText w:val="%2"/>
      <w:numFmt w:val="lowerLetter"/>
      <w:start w:val="1"/>
    </w:lvl>
  </w:abstractNum>
  <w:abstractNum w:abstractNumId="30">
    <w:nsid w:val="3006C83E"/>
    <w:multiLevelType w:val="hybridMultilevel"/>
    <w:lvl w:ilvl="0">
      <w:lvlJc w:val="left"/>
      <w:lvlText w:val="%1."/>
      <w:numFmt w:val="decimal"/>
      <w:start w:val="29"/>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68" Type="http://schemas.openxmlformats.org/officeDocument/2006/relationships/hyperlink" Target="http://www.sec.gov/Archives/edgar/data/1232524/000119312511251468/d233902dex21.htm" TargetMode="External"/><Relationship Id="rId69" Type="http://schemas.openxmlformats.org/officeDocument/2006/relationships/hyperlink" Target="http://www.sec.gov/Archives/edgar/data/1232524/000119312512015521/d282897dex22.htm" TargetMode="External"/><Relationship Id="rId70" Type="http://schemas.openxmlformats.org/officeDocument/2006/relationships/hyperlink" Target="http://www.sec.gov/Archives/edgar/data/1232524/000119312512191724/d341488dex21.htm" TargetMode="External"/><Relationship Id="rId71" Type="http://schemas.openxmlformats.org/officeDocument/2006/relationships/hyperlink" Target="http://www.sec.gov/Archives/edgar/data/1232524/000119312512268244/d365702dex21b.htm" TargetMode="External"/><Relationship Id="rId72" Type="http://schemas.openxmlformats.org/officeDocument/2006/relationships/hyperlink" Target="http://www.sec.gov/Archives/edgar/data/1232524/000119312513481242/d647727dex21.htm" TargetMode="External"/><Relationship Id="rId73" Type="http://schemas.openxmlformats.org/officeDocument/2006/relationships/hyperlink" Target="http://www.sec.gov/Archives/edgar/data/1232524/000119312514008838/d656574dex21.htm" TargetMode="External"/><Relationship Id="rId74" Type="http://schemas.openxmlformats.org/officeDocument/2006/relationships/hyperlink" Target="http://www.sec.gov/Archives/edgar/data/1232524/000119312514295844/d768395dex21.htm" TargetMode="External"/><Relationship Id="rId75" Type="http://schemas.openxmlformats.org/officeDocument/2006/relationships/hyperlink" Target="http://www.sec.gov/Archives/edgar/data/1232524/000123252415000074/form8-kex21.htm" TargetMode="External"/><Relationship Id="rId76" Type="http://schemas.openxmlformats.org/officeDocument/2006/relationships/hyperlink" Target="http://www.sec.gov/Archives/edgar/data/1232524/000119312516607097/d203835dex21.htm" TargetMode="External"/><Relationship Id="rId77" Type="http://schemas.openxmlformats.org/officeDocument/2006/relationships/hyperlink" Target="https://www.sec.gov/Archives/edgar/data/1232524/000119312521027577/d117870dex21.htm" TargetMode="External"/><Relationship Id="rId78" Type="http://schemas.openxmlformats.org/officeDocument/2006/relationships/hyperlink" Target="http://www.sec.gov/Archives/edgar/data/1232524/000123252416000303/jazzq22016ex31.htm" TargetMode="External"/><Relationship Id="rId79" Type="http://schemas.openxmlformats.org/officeDocument/2006/relationships/hyperlink" Target="https://www.sec.gov/Archives/edgar/data/0001232524/000119312521140517/d191392dex41.htm" TargetMode="External"/><Relationship Id="rId80" Type="http://schemas.openxmlformats.org/officeDocument/2006/relationships/hyperlink" Target="https://www.sec.gov/Archives/edgar/data/0001232524/000123252421000045/jazzq22021ex45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2022-05-04T15:45:04Z</dcterms:created>
  <dcterms:modified xsi:type="dcterms:W3CDTF">2022-05-04T15:45:04Z</dcterms:modified>
</cp:coreProperties>
</file>