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154305</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147955</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001-33500</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JAZZ PHARMACEUTICALS PUBLIC LIMITED COMPANY</w:t>
      </w:r>
    </w:p>
    <w:p>
      <w:pPr>
        <w:spacing w:after="0" w:line="73" w:lineRule="exact"/>
        <w:rPr>
          <w:sz w:val="24"/>
          <w:szCs w:val="24"/>
          <w:color w:val="auto"/>
        </w:rPr>
      </w:pPr>
    </w:p>
    <w:tbl>
      <w:tblPr>
        <w:tblLayout w:type="fixed"/>
        <w:tblInd w:w="186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5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8"/>
                <w:szCs w:val="18"/>
                <w:b w:val="1"/>
                <w:bCs w:val="1"/>
                <w:color w:val="auto"/>
                <w:w w:val="98"/>
              </w:rPr>
              <w:t>98-1032470</w:t>
            </w:r>
          </w:p>
        </w:tc>
      </w:tr>
      <w:tr>
        <w:trPr>
          <w:trHeight w:val="148"/>
        </w:trPr>
        <w:tc>
          <w:tcPr>
            <w:tcW w:w="20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Fifth Floor, Waterloo Exchange,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116205</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$0.0001 per share</w:t>
            </w:r>
          </w:p>
        </w:tc>
        <w:tc>
          <w:tcPr>
            <w:tcW w:w="2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JAZZ</w:t>
            </w:r>
          </w:p>
        </w:tc>
        <w:tc>
          <w:tcPr>
            <w:tcW w:w="4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8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16" w:lineRule="exact"/>
        <w:rPr>
          <w:sz w:val="24"/>
          <w:szCs w:val="24"/>
          <w:color w:val="auto"/>
        </w:rPr>
      </w:pPr>
    </w:p>
    <w:p>
      <w:pPr>
        <w:ind w:right="4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 w:name="page2"/>
    <w:bookmarkEnd w:id="1"/>
    <w:p>
      <w:pPr>
        <w:ind w:right="479"/>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31, 2024, 60,454,592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262255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7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SEPTEMBER 30, 2024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8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80" w:type="dxa"/>
            <w:vAlign w:val="bottom"/>
            <w:gridSpan w:val="19"/>
            <w:vMerge w:val="continue"/>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0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520" w:type="dxa"/>
            <w:vAlign w:val="bottom"/>
            <w:gridSpan w:val="10"/>
          </w:tcPr>
          <w:p>
            <w:pPr>
              <w:spacing w:after="0"/>
              <w:rPr>
                <w:sz w:val="22"/>
                <w:szCs w:val="22"/>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3</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2024 and December 31, 2023</w:t>
            </w: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and Nine Months Ended September 30, 2024 and 2023</w:t>
            </w: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 Three and Nine Months Ended September</w:t>
            </w:r>
          </w:p>
        </w:tc>
        <w:tc>
          <w:tcPr>
            <w:tcW w:w="840" w:type="dxa"/>
            <w:vAlign w:val="bottom"/>
            <w:gridSpan w:val="4"/>
            <w:vMerge w:val="restart"/>
          </w:tcPr>
          <w:p>
            <w:pPr>
              <w:jc w:val="center"/>
              <w:ind w:left="592"/>
              <w:spacing w:after="0"/>
              <w:rPr>
                <w:sz w:val="20"/>
                <w:szCs w:val="20"/>
                <w:color w:val="auto"/>
              </w:rPr>
            </w:pPr>
            <w:r>
              <w:rPr>
                <w:rFonts w:ascii="Times New Roman" w:cs="Times New Roman" w:eastAsia="Times New Roman" w:hAnsi="Times New Roman"/>
                <w:sz w:val="18"/>
                <w:szCs w:val="18"/>
                <w:color w:val="0000FF"/>
                <w:w w:val="88"/>
              </w:rPr>
              <w:t>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32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30, 2024 and 2023</w:t>
            </w:r>
          </w:p>
        </w:tc>
        <w:tc>
          <w:tcPr>
            <w:tcW w:w="6960" w:type="dxa"/>
            <w:vAlign w:val="bottom"/>
            <w:tcBorders>
              <w:top w:val="single" w:sz="8" w:color="0000FF"/>
            </w:tcBorders>
            <w:gridSpan w:val="13"/>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tcPr>
          <w:p>
            <w:pPr>
              <w:spacing w:after="0"/>
              <w:rPr>
                <w:sz w:val="17"/>
                <w:szCs w:val="17"/>
                <w:color w:val="auto"/>
              </w:rPr>
            </w:pPr>
          </w:p>
        </w:tc>
        <w:tc>
          <w:tcPr>
            <w:tcW w:w="8560" w:type="dxa"/>
            <w:vAlign w:val="bottom"/>
            <w:gridSpan w:val="18"/>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 Three and Nine Months Ended September 30, 2024</w:t>
            </w:r>
          </w:p>
        </w:tc>
        <w:tc>
          <w:tcPr>
            <w:tcW w:w="840" w:type="dxa"/>
            <w:vAlign w:val="bottom"/>
            <w:gridSpan w:val="4"/>
            <w:vMerge w:val="restart"/>
          </w:tcPr>
          <w:p>
            <w:pPr>
              <w:jc w:val="center"/>
              <w:ind w:left="592"/>
              <w:spacing w:after="0"/>
              <w:rPr>
                <w:sz w:val="20"/>
                <w:szCs w:val="20"/>
                <w:color w:val="auto"/>
              </w:rPr>
            </w:pPr>
            <w:r>
              <w:rPr>
                <w:rFonts w:ascii="Times New Roman" w:cs="Times New Roman" w:eastAsia="Times New Roman" w:hAnsi="Times New Roman"/>
                <w:sz w:val="18"/>
                <w:szCs w:val="18"/>
                <w:color w:val="0000FF"/>
                <w:w w:val="88"/>
              </w:rPr>
              <w:t>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8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and 2023</w:t>
            </w:r>
          </w:p>
        </w:tc>
        <w:tc>
          <w:tcPr>
            <w:tcW w:w="7380" w:type="dxa"/>
            <w:vAlign w:val="bottom"/>
            <w:tcBorders>
              <w:top w:val="single" w:sz="8" w:color="0000FF"/>
            </w:tcBorders>
            <w:gridSpan w:val="13"/>
          </w:tcPr>
          <w:p>
            <w:pPr>
              <w:spacing w:after="0"/>
              <w:rPr>
                <w:sz w:val="13"/>
                <w:szCs w:val="13"/>
                <w:color w:val="auto"/>
              </w:rPr>
            </w:pPr>
          </w:p>
        </w:tc>
        <w:tc>
          <w:tcPr>
            <w:tcW w:w="300" w:type="dxa"/>
            <w:vAlign w:val="bottom"/>
            <w:gridSpan w:val="2"/>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Borders>
              <w:right w:val="single" w:sz="8" w:color="0000FF"/>
            </w:tcBorders>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gridSpan w:val="4"/>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8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Nine Months Ended September 30, 2024 and 2023</w:t>
            </w: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540" w:type="dxa"/>
            <w:vAlign w:val="bottom"/>
            <w:gridSpan w:val="5"/>
          </w:tcPr>
          <w:p>
            <w:pPr>
              <w:spacing w:after="0"/>
              <w:rPr>
                <w:sz w:val="18"/>
                <w:szCs w:val="18"/>
                <w:color w:val="auto"/>
              </w:rPr>
            </w:pPr>
          </w:p>
        </w:tc>
        <w:tc>
          <w:tcPr>
            <w:tcW w:w="1040" w:type="dxa"/>
            <w:vAlign w:val="bottom"/>
            <w:gridSpan w:val="4"/>
          </w:tcPr>
          <w:p>
            <w:pPr>
              <w:spacing w:after="0"/>
              <w:rPr>
                <w:sz w:val="18"/>
                <w:szCs w:val="18"/>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20" w:type="dxa"/>
            <w:vAlign w:val="bottom"/>
            <w:gridSpan w:val="5"/>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80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420" w:type="dxa"/>
            <w:vAlign w:val="bottom"/>
            <w:tcBorders>
              <w:top w:val="single" w:sz="8" w:color="0000FF"/>
            </w:tcBorders>
            <w:gridSpan w:val="2"/>
          </w:tcPr>
          <w:p>
            <w:pPr>
              <w:spacing w:after="0"/>
              <w:rPr>
                <w:sz w:val="22"/>
                <w:szCs w:val="22"/>
                <w:color w:val="auto"/>
              </w:rPr>
            </w:pPr>
          </w:p>
        </w:tc>
        <w:tc>
          <w:tcPr>
            <w:tcW w:w="682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color w:val="0000FF"/>
                <w:w w:val="99"/>
              </w:rPr>
              <w:t>52</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4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color w:val="0000FF"/>
                <w:w w:val="99"/>
              </w:rPr>
              <w:t>54</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5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3"/>
              </w:rPr>
              <w:t>Exhibits</w:t>
            </w:r>
          </w:p>
        </w:tc>
        <w:tc>
          <w:tcPr>
            <w:tcW w:w="3740" w:type="dxa"/>
            <w:vAlign w:val="bottom"/>
            <w:tcBorders>
              <w:top w:val="single" w:sz="8" w:color="0000FF"/>
            </w:tcBorders>
            <w:gridSpan w:val="9"/>
          </w:tcPr>
          <w:p>
            <w:pPr>
              <w:spacing w:after="0"/>
              <w:rPr>
                <w:sz w:val="22"/>
                <w:szCs w:val="22"/>
                <w:color w:val="auto"/>
              </w:rPr>
            </w:pPr>
          </w:p>
        </w:tc>
        <w:tc>
          <w:tcPr>
            <w:tcW w:w="4240" w:type="dxa"/>
            <w:vAlign w:val="bottom"/>
            <w:gridSpan w:val="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8560" w:type="dxa"/>
            <w:vAlign w:val="bottom"/>
            <w:gridSpan w:val="1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20" w:firstLine="445"/>
        <w:spacing w:after="0" w:line="222" w:lineRule="exact"/>
        <w:rPr>
          <w:sz w:val="20"/>
          <w:szCs w:val="20"/>
          <w:color w:val="auto"/>
        </w:rPr>
      </w:pPr>
      <w:r>
        <w:rPr>
          <w:rFonts w:ascii="Times New Roman" w:cs="Times New Roman" w:eastAsia="Times New Roman" w:hAnsi="Times New Roman"/>
          <w:sz w:val="18"/>
          <w:szCs w:val="18"/>
          <w:color w:val="auto"/>
        </w:rPr>
        <w:t>We own or have rights to various copyrights, trademarks, and trade names used in our business in the U.S. and/or other countries, including the following: Jazz Pharmaceuticals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Xywav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(calcium, magnesium, potassium, and sodium oxybates) oral solution,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oxybate) oral solution, Epidiolex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(cannabidiol) oral solution, Epidyolex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trade name in Europe and other countries outside the U.S. for Epidiolex), Rylaze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(asparaginase erwinia chrysanthemi (recombinant)-rywn), Enrylaze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trade name in Europe and other countries outside the U.S. and Canada for Rylaze), Zepzelca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(lurbinectedin), Defitelio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(defibrotide sodium), Defitelio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(defibrotide), Vyxeos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(daunorubicin and cytarabine) liposome for injection, Vyxeos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liposomal 44 mg/100 mg powder for concentrate for solution for infusion, CombiPlex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Sativex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(nabiximols) oral solution. This Quarterly Report on Form 10-Q also includes trademarks, service marks and trade names of other companies. Trademarks, service marks and trade names appearing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1,506,310</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705,794</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597,039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185,476</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320,809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3,435,428</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1,753,130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477,834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12,255,716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11,393,359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793,914</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604,954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w:t>
            </w:r>
          </w:p>
        </w:tc>
        <w:tc>
          <w:tcPr>
            <w:tcW w:w="0" w:type="dxa"/>
            <w:vAlign w:val="bottom"/>
          </w:tcPr>
          <w:p>
            <w:pPr>
              <w:spacing w:after="0"/>
              <w:rPr>
                <w:sz w:val="1"/>
                <w:szCs w:val="1"/>
                <w:color w:val="auto"/>
              </w:rPr>
            </w:pPr>
          </w:p>
        </w:tc>
      </w:tr>
      <w:tr>
        <w:trPr>
          <w:trHeight w:val="223"/>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1,536,692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5,107,988</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847,706</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Non-voting euro deferred shares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3,699,954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(842,147)</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878,656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3,736,997</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12,255,716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11,393,359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989,707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2,795,953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2,769,604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52,665</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2,980,777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2,822,269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product sales (excluding amortization of acquired developed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947,071</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633,050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456,731</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794,759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799,748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2,454,917</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2,366,186</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456,083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(219,114)</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benefit and equity in loss (gain) of investees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236,403</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loss (gain) of investees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215,055</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146,820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369,005</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320,678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ordinary share: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basic</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63,174</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71,293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67,511</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72,866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320,678</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82,952</w:t>
            </w:r>
          </w:p>
        </w:tc>
      </w:tr>
      <w:tr>
        <w:trPr>
          <w:trHeight w:val="24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cash flow hedging activities, net of income tax</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(benefit) expense of $(1,727), $1,176, $522 and $3,063 respectively</w:t>
      </w:r>
    </w:p>
    <w:p>
      <w:pPr>
        <w:spacing w:after="0" w:line="31" w:lineRule="exact"/>
        <w:rPr>
          <w:sz w:val="20"/>
          <w:szCs w:val="20"/>
          <w:color w:val="auto"/>
        </w:rPr>
      </w:pPr>
    </w:p>
    <w:p>
      <w:pPr>
        <w:ind w:left="140" w:right="120"/>
        <w:spacing w:after="0" w:line="222" w:lineRule="auto"/>
        <w:rPr>
          <w:sz w:val="20"/>
          <w:szCs w:val="20"/>
          <w:color w:val="auto"/>
        </w:rPr>
      </w:pPr>
      <w:r>
        <w:rPr>
          <w:rFonts w:ascii="Times New Roman" w:cs="Times New Roman" w:eastAsia="Times New Roman" w:hAnsi="Times New Roman"/>
          <w:sz w:val="18"/>
          <w:szCs w:val="18"/>
          <w:color w:val="auto"/>
        </w:rPr>
        <w:t>Gain on cash flow hedging activities reclassified from accumulated other comprehensive loss to interest expense, net of income tax expense of $445,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$428, $1,342 and $684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(5,197)</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3,539</w:t>
            </w: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1,572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r>
      <w:tr>
        <w:trPr>
          <w:trHeight w:val="594"/>
        </w:trPr>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(1,340)</w:t>
            </w: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(1,289)</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(4,040)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r>
    </w:tbl>
    <w:p>
      <w:pPr>
        <w:spacing w:after="0" w:line="1" w:lineRule="exact"/>
        <w:rPr>
          <w:sz w:val="20"/>
          <w:szCs w:val="20"/>
          <w:color w:val="auto"/>
        </w:rPr>
      </w:pPr>
    </w:p>
    <w:p>
      <w:pPr>
        <w:sectPr>
          <w:pgSz w:w="11900" w:h="16838" w:orient="portrait"/>
          <w:cols w:equalWidth="0" w:num="2">
            <w:col w:w="5680" w:space="720"/>
            <w:col w:w="4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284,830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(168,576)</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238,750</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410,788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1780" w:type="dxa"/>
            <w:vAlign w:val="bottom"/>
            <w:gridSpan w:val="5"/>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780" w:type="dxa"/>
            <w:vAlign w:val="bottom"/>
            <w:gridSpan w:val="5"/>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5"/>
                <w:szCs w:val="5"/>
                <w:color w:val="auto"/>
              </w:rPr>
            </w:pPr>
          </w:p>
        </w:tc>
        <w:tc>
          <w:tcPr>
            <w:tcW w:w="92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5"/>
                <w:szCs w:val="5"/>
                <w:color w:val="auto"/>
              </w:rPr>
            </w:pPr>
          </w:p>
        </w:tc>
        <w:tc>
          <w:tcPr>
            <w:tcW w:w="780" w:type="dxa"/>
            <w:vAlign w:val="bottom"/>
            <w:vMerge w:val="restart"/>
          </w:tcPr>
          <w:p>
            <w:pPr>
              <w:jc w:val="right"/>
              <w:ind w:right="268"/>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3,699,954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878,656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3,736,997</w:t>
            </w: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performance-based restricted</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units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(49,296)</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63,131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63,131</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(40,247)</w:t>
            </w: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w:t>
            </w:r>
          </w:p>
        </w:tc>
        <w:tc>
          <w:tcPr>
            <w:tcW w:w="0" w:type="dxa"/>
            <w:vAlign w:val="bottom"/>
          </w:tcPr>
          <w:p>
            <w:pPr>
              <w:spacing w:after="0"/>
              <w:rPr>
                <w:sz w:val="1"/>
                <w:szCs w:val="1"/>
                <w:color w:val="auto"/>
              </w:rPr>
            </w:pPr>
          </w:p>
        </w:tc>
      </w:tr>
      <w:tr>
        <w:trPr>
          <w:trHeight w:val="203"/>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63,028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3,714,283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(882,394)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864,038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3,696,461</w:t>
            </w: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10,886</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56,738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56,738</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(161,428)</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168,568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168,568</w:t>
            </w: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61,745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3,779,114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(888,227)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871,178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3,762,599</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60,172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60,172</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(150,001)</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284,830</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215,055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215,055</w:t>
            </w:r>
          </w:p>
        </w:tc>
        <w:tc>
          <w:tcPr>
            <w:tcW w:w="0" w:type="dxa"/>
            <w:vAlign w:val="bottom"/>
          </w:tcPr>
          <w:p>
            <w:pPr>
              <w:spacing w:after="0"/>
              <w:rPr>
                <w:sz w:val="1"/>
                <w:szCs w:val="1"/>
                <w:color w:val="auto"/>
              </w:rPr>
            </w:pPr>
          </w:p>
        </w:tc>
      </w:tr>
      <w:tr>
        <w:trPr>
          <w:trHeight w:val="20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60,443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3,837,698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(603,397)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936,232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4,171,067</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7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760" w:type="dxa"/>
            <w:vAlign w:val="bottom"/>
            <w:vMerge w:val="restart"/>
          </w:tcPr>
          <w:p>
            <w:pPr>
              <w:jc w:val="right"/>
              <w:ind w:right="24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6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3,477,124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(1,125,509)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733,586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3,085,734</w:t>
            </w: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(43,266)</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56,646</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145,279</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69,420</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63,987</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3,511,732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(980,230)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803,006</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3,335,041</w:t>
            </w: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8,863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8,863</w:t>
            </w:r>
          </w:p>
        </w:tc>
        <w:tc>
          <w:tcPr>
            <w:tcW w:w="0" w:type="dxa"/>
            <w:vAlign w:val="bottom"/>
          </w:tcPr>
          <w:p>
            <w:pPr>
              <w:spacing w:after="0"/>
              <w:rPr>
                <w:sz w:val="1"/>
                <w:szCs w:val="1"/>
                <w:color w:val="auto"/>
              </w:rPr>
            </w:pPr>
          </w:p>
        </w:tc>
      </w:tr>
      <w:tr>
        <w:trPr>
          <w:trHeight w:val="19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61,705</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(95,594)</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113,407</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104,438</w:t>
            </w:r>
          </w:p>
        </w:tc>
        <w:tc>
          <w:tcPr>
            <w:tcW w:w="0" w:type="dxa"/>
            <w:vAlign w:val="bottom"/>
          </w:tcPr>
          <w:p>
            <w:pPr>
              <w:spacing w:after="0"/>
              <w:rPr>
                <w:sz w:val="1"/>
                <w:szCs w:val="1"/>
                <w:color w:val="auto"/>
              </w:rPr>
            </w:pPr>
          </w:p>
        </w:tc>
      </w:tr>
      <w:tr>
        <w:trPr>
          <w:trHeight w:val="203"/>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3,580,115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(866,823)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811,849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3,525,675</w:t>
            </w: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56,197</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(168,576)</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146,820</w:t>
            </w:r>
          </w:p>
        </w:tc>
        <w:tc>
          <w:tcPr>
            <w:tcW w:w="0" w:type="dxa"/>
            <w:vAlign w:val="bottom"/>
          </w:tcPr>
          <w:p>
            <w:pPr>
              <w:spacing w:after="0"/>
              <w:rPr>
                <w:sz w:val="1"/>
                <w:szCs w:val="1"/>
                <w:color w:val="auto"/>
              </w:rPr>
            </w:pPr>
          </w:p>
        </w:tc>
      </w:tr>
      <w:tr>
        <w:trPr>
          <w:trHeight w:val="228"/>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3,639,940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(1,035,399)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884,298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3,489,373</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22225</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369,005</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320,678</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456,731</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173,900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accounting inventory fair value step-up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119,094</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22,764</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16,255</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for losses on accounts receivable and inventory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7,732</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tax benefit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(224,317)</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non-cash transactions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54,262</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23,581</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(12,016)</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(37,327)</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14,423</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non-current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(20,881)</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17,705</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(76,261)</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taxes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61,159</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revenue</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(13,855)</w:t>
            </w:r>
          </w:p>
        </w:tc>
      </w:tr>
      <w:tr>
        <w:trPr>
          <w:trHeight w:val="226"/>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20,500</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997,328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924,668</w:t>
            </w:r>
          </w:p>
        </w:tc>
      </w:tr>
      <w:tr>
        <w:trPr>
          <w:trHeight w:val="20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investments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(835,125)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(270,000)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(13,860)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6"/>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Proceeds from maturity of investments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(314,908)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(264,860)</w:t>
            </w:r>
          </w:p>
        </w:tc>
      </w:tr>
      <w:tr>
        <w:trPr>
          <w:trHeight w:val="20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proceeds from issuance of exchangeable senior notes, due 2030</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980,767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employee equity incentive and purchase 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37,606</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employee withholding taxes related to share-based awards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(49,338)</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 repurchases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(311,429)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(169,966)</w:t>
            </w:r>
          </w:p>
        </w:tc>
      </w:tr>
      <w:tr>
        <w:trPr>
          <w:trHeight w:val="226"/>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Repayment of exchangeable senior notes, due 2024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(204,948)</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454,208</w:t>
            </w: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1,506,310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881,482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1,335,690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w:t>
      </w:r>
    </w:p>
    <w:p>
      <w:pPr>
        <w:spacing w:after="0" w:line="12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17" w:lineRule="exact"/>
        <w:rPr>
          <w:sz w:val="20"/>
          <w:szCs w:val="20"/>
          <w:color w:val="auto"/>
        </w:rPr>
      </w:pPr>
    </w:p>
    <w:p>
      <w:pPr>
        <w:ind w:left="740" w:right="40" w:hanging="327"/>
        <w:spacing w:after="0" w:line="259"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Xywav® (calcium, magnesium, potassium, and sodium oxybates) oral solution</w:t>
      </w:r>
      <w:r>
        <w:rPr>
          <w:rFonts w:ascii="Times New Roman" w:cs="Times New Roman" w:eastAsia="Times New Roman" w:hAnsi="Times New Roman"/>
          <w:sz w:val="18"/>
          <w:szCs w:val="18"/>
          <w:color w:val="auto"/>
        </w:rPr>
        <w:t>, a product approved by the U.S. Food and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or FDA, in July 2020, and launched in the U.S. in November 2020 for the treatment of cataplexy or excessive daytime sleepiness, or EDS, in patients seven years of age and older with narcolepsy, and also approved by FDA in August 2021 for the treatment of idiopathic hypersomnia, or IH, in adults and launched in the U.S. in November 2021. Xywav contains 92% less sodium than Xyrem®. Xywav is also approved in Canada for the treatment of cataplexy in patients with narcolepsy.</w:t>
      </w:r>
    </w:p>
    <w:p>
      <w:pPr>
        <w:spacing w:after="0" w:line="71" w:lineRule="exact"/>
        <w:rPr>
          <w:rFonts w:ascii="Times New Roman" w:cs="Times New Roman" w:eastAsia="Times New Roman" w:hAnsi="Times New Roman"/>
          <w:sz w:val="18"/>
          <w:szCs w:val="18"/>
          <w:color w:val="auto"/>
        </w:rPr>
      </w:pPr>
    </w:p>
    <w:p>
      <w:pPr>
        <w:ind w:left="740" w:right="20" w:hanging="327"/>
        <w:spacing w:after="0" w:line="259"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Epidiolex® (cannabidiol) oral solution</w:t>
      </w:r>
      <w:r>
        <w:rPr>
          <w:rFonts w:ascii="Times New Roman" w:cs="Times New Roman" w:eastAsia="Times New Roman" w:hAnsi="Times New Roman"/>
          <w:sz w:val="18"/>
          <w:szCs w:val="18"/>
          <w:color w:val="auto"/>
        </w:rPr>
        <w:t>, a product approved by FDA and launched in the U.S. in 2018 by GW Pharmaceuticals plc, or GW,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indicated for the treatment of seizures associated with Lennox-Gastaut syndrome, or LGS, Dravet syndrome, or DS, or tuberous sclerosis complex,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17" w:lineRule="exact"/>
        <w:rPr>
          <w:sz w:val="20"/>
          <w:szCs w:val="20"/>
          <w:color w:val="auto"/>
        </w:rPr>
      </w:pPr>
    </w:p>
    <w:p>
      <w:pPr>
        <w:ind w:left="740" w:hanging="327"/>
        <w:spacing w:after="0" w:line="259"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Rylaze® (asparaginase erwinia chrysanthemi (recombinant)-rywn)</w:t>
      </w:r>
      <w:r>
        <w:rPr>
          <w:rFonts w:ascii="Times New Roman" w:cs="Times New Roman" w:eastAsia="Times New Roman" w:hAnsi="Times New Roman"/>
          <w:sz w:val="18"/>
          <w:szCs w:val="18"/>
          <w:color w:val="auto"/>
        </w:rPr>
        <w:t>, a product approved by FDA in June 2021 and launched in the 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July 2021 for use as a component of a multi-agent chemotherapeutic regimen for the treatment of acute lymphoblastic leukemia or lymphoblastic lymphoma in adults and pediatric patients aged one month or older who have developed hypersensitivity to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-derived asparaginase. In September 2023, the European Commission granted marketing authorization under the trade name Enrylaze. This therapy is also approved in Great Britain, Canada and Switzerland.</w:t>
      </w:r>
    </w:p>
    <w:p>
      <w:pPr>
        <w:spacing w:after="0" w:line="71" w:lineRule="exact"/>
        <w:rPr>
          <w:rFonts w:ascii="Times New Roman" w:cs="Times New Roman" w:eastAsia="Times New Roman" w:hAnsi="Times New Roman"/>
          <w:sz w:val="18"/>
          <w:szCs w:val="18"/>
          <w:color w:val="auto"/>
        </w:rPr>
      </w:pPr>
    </w:p>
    <w:p>
      <w:pPr>
        <w:ind w:left="740" w:hanging="327"/>
        <w:spacing w:after="0" w:line="262"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Zepzelca® (lurbinectedin)</w:t>
      </w:r>
      <w:r>
        <w:rPr>
          <w:rFonts w:ascii="Times New Roman" w:cs="Times New Roman" w:eastAsia="Times New Roman" w:hAnsi="Times New Roman"/>
          <w:sz w:val="18"/>
          <w:szCs w:val="18"/>
          <w:color w:val="auto"/>
        </w:rPr>
        <w:t>, a product approved by FDA in June 2020 under FDA's accelerated approval pathway and launched in the 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72"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Throughout this Quarterly Report on Form 10-Q, unless otherwise indicated or the context otherwise requires, all references to “Jazz Pharmaceuticals,” “the registrant,” “the Company,” “we,” “us,” and “our” refer to Jazz Pharmaceuticals plc and its consolidated subsidiaries. Throughout this Quarterly Report on Form 10-Q, all references to “ordinary shares” refer to Jazz Pharmaceuticals plc’s ordinary shares.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0" w:firstLine="445"/>
        <w:spacing w:after="0" w:line="226" w:lineRule="exact"/>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should be read in conjunction with our annual audited consolidated financial statements and accompanying notes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w:t>
      </w:r>
    </w:p>
    <w:p>
      <w:pPr>
        <w:spacing w:after="0" w:line="63" w:lineRule="exact"/>
        <w:rPr>
          <w:sz w:val="20"/>
          <w:szCs w:val="20"/>
          <w:color w:val="auto"/>
        </w:rPr>
      </w:pPr>
    </w:p>
    <w:p>
      <w:pPr>
        <w:ind w:right="540" w:firstLine="44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these condensed consolidated financial statements have been prepared on the same basis as the annual audited consolidated financial statements and include all adjustments, consisting only of normal recurring adjustments, considered necessary for the fair presentation of our financial position and operating results. The results for the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three and nine months ended September 30, 2024, are not necessarily indicative of the results to be expected for the year ending December 31, 2024, for any other interim period or for any future period.</w:t>
      </w:r>
    </w:p>
    <w:p>
      <w:pPr>
        <w:spacing w:after="0" w:line="13" w:lineRule="exact"/>
        <w:rPr>
          <w:sz w:val="20"/>
          <w:szCs w:val="20"/>
          <w:color w:val="auto"/>
        </w:rPr>
      </w:pPr>
    </w:p>
    <w:p>
      <w:pPr>
        <w:ind w:right="120" w:firstLine="445"/>
        <w:spacing w:after="0" w:line="245" w:lineRule="exact"/>
        <w:rPr>
          <w:sz w:val="20"/>
          <w:szCs w:val="20"/>
          <w:color w:val="auto"/>
        </w:rPr>
      </w:pPr>
      <w:r>
        <w:rPr>
          <w:rFonts w:ascii="Times New Roman" w:cs="Times New Roman" w:eastAsia="Times New Roman" w:hAnsi="Times New Roman"/>
          <w:sz w:val="18"/>
          <w:szCs w:val="18"/>
          <w:color w:val="auto"/>
        </w:rPr>
        <w:t>Our significant accounting policies have not changed substantially from those previously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w:t>
      </w:r>
    </w:p>
    <w:p>
      <w:pPr>
        <w:spacing w:after="0" w:line="9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Jazz Pharmaceuticals plc and our subsidiaries, and intercompany transactions and balances have been eliminated.</w:t>
      </w:r>
    </w:p>
    <w:p>
      <w:pPr>
        <w:spacing w:after="0" w:line="5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21"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or FASB, issued ASU 2023-07, “Segment Reporting (Topic 280) - Improvements to Reportable Segment Disclosures”, which requires enhanced disclosures about significant segment expenses. The amendments are effective retrospectively to all prior periods presented in the financial statements, for fiscal years beginning after December 15, 2023. The new guidance is not expected to have a material impact on our financial statement disclosures.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We expect that our business will continue to meaningfully depend on oxybate revenues; however, there is no guarantee that oxybate revenues will remain at current levels. In this regard, our ability to maintain oxybate revenues and realize the anticipated benefits from our investment in Xywav are subject to a number of risks and uncertainties including, without limitation, those related to the commercialization of Xywav for the treatment of IH in adults and adoption in that indication; competition from the introduction of two authorized generic, or AG, versions of high-sodium oxybate and a branded fixed-dose, high-sodium oxybate, Avadel’s Lumryz, for treatment of cataplexy and/or EDS in narcolepsy in the U.S. market, as well as potential future competition from additional AG versions of high-sodium oxybate and from generic versions of high-sodium oxybate and from other competitors;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Xywav and/or Xyrem, including from pending antitrust and intellectual property litigation; and continued acceptance of Xywav and Xyrem by physicians and patients. A significant decline in oxybate revenues could cause us to reduce our operating expenses or seek to raise additional funds and would have a material adverse effect on our business, financial condition, results of operations and growth prospects, including on our ability to acquire, in-license or develop new products to grow our business.</w:t>
      </w:r>
    </w:p>
    <w:p>
      <w:pPr>
        <w:spacing w:after="0" w:line="8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such as zanidatamab; effectively commercializing our approved products such as Epidiolex, Rylaze and Zepzelca; obtaining and maintaining adequate coverage and reimbursement for our products; contracting and rebates to pharmacy benefit managers and similar organizations that reduce our net revenue; increasing scrutiny of pharmaceutical product pricing and resulting changes in healthcare laws and policy; market acceptance; regulatory concerns with controlled substances generally and the potential for abuse; future legislation; action by the U.S. Federal Government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our ability to realize the anticipated benefits of acquired or in-licensed products or product candidates, such as Epidiolex and zanidatamab, at the expected levels, with the expected costs and within the expected timeframe; pharmaceutical product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21"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79" w:lineRule="exact"/>
        <w:rPr>
          <w:sz w:val="20"/>
          <w:szCs w:val="20"/>
          <w:color w:val="auto"/>
        </w:rPr>
      </w:pPr>
    </w:p>
    <w:p>
      <w:pPr>
        <w:ind w:right="40" w:firstLine="445"/>
        <w:spacing w:after="0" w:line="270" w:lineRule="auto"/>
        <w:rPr>
          <w:sz w:val="20"/>
          <w:szCs w:val="20"/>
          <w:color w:val="auto"/>
        </w:rPr>
      </w:pPr>
      <w:r>
        <w:rPr>
          <w:rFonts w:ascii="Times New Roman" w:cs="Times New Roman" w:eastAsia="Times New Roman" w:hAnsi="Times New Roman"/>
          <w:sz w:val="17"/>
          <w:szCs w:val="17"/>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September 30, 2024, we had foreign exchange forward contracts with notional amounts totaling $292.7 million. As of September 30, 2024, the outstanding foreign exchange forward contracts had a net asset fair value of $8.4 million. As of September 30, 2024, we had interest rate swap contracts with notional amounts totaling</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$500.0 million with a liability fair value of $3.0 million. The counterparties to these contracts are large multinational commercial banks, and we believe the risk of nonperformance is not significant.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also subject to credit risk from our accounts receivable related to our product sales. We monitor our exposure within accounts receivable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a reserve against uncollectible accounts receivable as necessary. We extend credit to pharmaceutical wholesale distributors and specialty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distribution companies, primarily in the U.S., and to other international distributors and hospitals. Customer creditworthiness is monitored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collateral is not required. We monitor economic conditions in certain European countries which may result in variability of the timing of cash receipts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 increase in the average length of time that it takes to collect accounts receivable outstanding. Historically, we have not experienced significant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on our accounts receivable and, as of September 30, 2024 and December 31, 2023, allowances on receivables were not material.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five customers accounted for 81% of gross accounts receivable, including Express Scripts Specialty Distribution Services, Inc.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or ESSDS, which accounted for 41% of gross accounts receivable, ASD Specialty Healthcare LLC, or ASD, which accounted for 14% of gross</w:t>
      </w:r>
    </w:p>
    <w:p>
      <w:pPr>
        <w:spacing w:after="0" w:line="9" w:lineRule="exact"/>
        <w:rPr>
          <w:sz w:val="20"/>
          <w:szCs w:val="20"/>
          <w:color w:val="auto"/>
        </w:rPr>
      </w:pPr>
    </w:p>
    <w:p>
      <w:pPr>
        <w:ind w:right="600"/>
        <w:spacing w:after="0" w:line="255" w:lineRule="auto"/>
        <w:rPr>
          <w:sz w:val="20"/>
          <w:szCs w:val="20"/>
          <w:color w:val="auto"/>
        </w:rPr>
      </w:pPr>
      <w:r>
        <w:rPr>
          <w:rFonts w:ascii="Times New Roman" w:cs="Times New Roman" w:eastAsia="Times New Roman" w:hAnsi="Times New Roman"/>
          <w:sz w:val="18"/>
          <w:szCs w:val="18"/>
          <w:color w:val="auto"/>
        </w:rPr>
        <w:t>accounts receivable and McKesson Corporation and affiliates, or McKesson, which accounted for 14% of gross accounts receivable. As of December 31, 2023, five customers accounted for 79% of gross accounts receivable, including ESSDS, which accounted for 41% of gross accounts receivable, ASD, which accounted for 13% of gross accounts receivable and McKesson, which accounted for 11% of gross accounts receivable.</w:t>
      </w:r>
    </w:p>
    <w:p>
      <w:pPr>
        <w:spacing w:after="0" w:line="78"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requires enhanced tax disclosures providing greater disaggregation of information in the Company's effective tax rate reconciliation and disaggregates income taxes paid by jurisdiction. The amendments are effective on a prospective basis, with the option to apply it retrospectively, for fiscal years beginning after December 15, 2024. We are currently evaluating the impact of adopting this new accounting guidance.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Cash and Available-for-Sale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cash equivalents and investments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797,583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797,583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2,618,135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2,618,135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2,218,135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1,626,310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1,506,310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Our investment balances represent time deposits with original maturities of greater than three months and less than one year. Interest income from available-for-sale securities was $26.0 million and $74.6 million in the three and nine months ended September 30, 2024, respectively, and $19.2 million and $44.4 million in the three and nine months ended September 30, 2023, respectively.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by major security type, our available-for-sale securities and derivative contracts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that were measured at fair value on a recurring basis and were categorized using the fair value hierarchy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8"/>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Active</w:t>
            </w: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00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6"/>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1,210,405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00" w:firstLine="445"/>
        <w:spacing w:after="0" w:line="258" w:lineRule="auto"/>
        <w:rPr>
          <w:sz w:val="20"/>
          <w:szCs w:val="20"/>
          <w:color w:val="auto"/>
        </w:rPr>
      </w:pPr>
      <w:r>
        <w:rPr>
          <w:rFonts w:ascii="Times New Roman" w:cs="Times New Roman" w:eastAsia="Times New Roman" w:hAnsi="Times New Roman"/>
          <w:sz w:val="18"/>
          <w:szCs w:val="18"/>
          <w:color w:val="auto"/>
        </w:rPr>
        <w:t>As of September 30, 2024,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spacing w:after="0" w:line="75" w:lineRule="exact"/>
        <w:rPr>
          <w:sz w:val="20"/>
          <w:szCs w:val="20"/>
          <w:color w:val="auto"/>
        </w:rPr>
      </w:pPr>
    </w:p>
    <w:p>
      <w:pPr>
        <w:ind w:right="340" w:firstLine="445"/>
        <w:spacing w:after="0" w:line="266" w:lineRule="auto"/>
        <w:rPr>
          <w:sz w:val="20"/>
          <w:szCs w:val="20"/>
          <w:color w:val="auto"/>
        </w:rPr>
      </w:pPr>
      <w:r>
        <w:rPr>
          <w:rFonts w:ascii="Times New Roman" w:cs="Times New Roman" w:eastAsia="Times New Roman" w:hAnsi="Times New Roman"/>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different levels of the fair value hierarchy in 2024 or 2023.</w:t>
      </w:r>
    </w:p>
    <w:p>
      <w:pPr>
        <w:spacing w:after="0" w:line="117"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carrying amount of investments measured using the measurement alternative for equity investments without a readily determinable fair value was $4.3 million and $4.7 million, respectively. The carrying amount, which is recorded within other non-current assets, is based on the latest observable transaction price.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As of September 30, 2024, the estimated fair values of the 2.000% exchangeable senior notes due 2026, or 2026 Notes, and the 3.125% exchangeable senior notes due 2030, or 2030 Notes, were approximately $1.0 billion and $1.0 billion, respectively. The 2030 Notes together with the 2026 Notes and the 1.50% exchangeable senior notes due 2024, or 2024 Notes, that were repaid upon maturity on August 15, 2024, are collectively known as the Exchangeable Senior Notes. As of September 30, 2024, the estimated fair values of the 4.375% senior secured notes, due 2029, or the Secured Notes, and the seven-year U.S. dollar term loan B facility were approximately $1.4 billion and $2.7 billion, respectively. The fair values of each of these debt facilities was estimated using quoted market prices obtained from brokers (Level 2).</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Instruments and Hedging Activities</w:t>
      </w:r>
    </w:p>
    <w:p>
      <w:pPr>
        <w:spacing w:after="0" w:line="121" w:lineRule="exact"/>
        <w:rPr>
          <w:sz w:val="20"/>
          <w:szCs w:val="20"/>
          <w:color w:val="auto"/>
        </w:rPr>
      </w:pPr>
    </w:p>
    <w:p>
      <w:pPr>
        <w:ind w:right="20" w:firstLine="445"/>
        <w:spacing w:after="0" w:line="281" w:lineRule="auto"/>
        <w:rPr>
          <w:sz w:val="20"/>
          <w:szCs w:val="20"/>
          <w:color w:val="auto"/>
        </w:rPr>
      </w:pPr>
      <w:r>
        <w:rPr>
          <w:rFonts w:ascii="Times New Roman" w:cs="Times New Roman" w:eastAsia="Times New Roman" w:hAnsi="Times New Roman"/>
          <w:sz w:val="17"/>
          <w:szCs w:val="17"/>
          <w:color w:val="auto"/>
        </w:rPr>
        <w:t>We are exposed to certain risks arising from operating internationally, including fluctuations in foreign exchange rates primarily related to the translation of sterling and euro 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spacing w:after="0" w:line="56"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September 30, 2024 and December 31, 2023, the notional amount of foreign exchange contracts where hedge accounting is not applied was $292.7 million and $511.7 million, respectively.</w:t>
      </w:r>
    </w:p>
    <w:p>
      <w:pPr>
        <w:spacing w:after="0" w:line="75" w:lineRule="exact"/>
        <w:rPr>
          <w:sz w:val="20"/>
          <w:szCs w:val="20"/>
          <w:color w:val="auto"/>
        </w:rPr>
      </w:pPr>
    </w:p>
    <w:p>
      <w:pPr>
        <w:ind w:right="680" w:firstLine="445"/>
        <w:spacing w:after="0" w:line="282" w:lineRule="auto"/>
        <w:rPr>
          <w:sz w:val="20"/>
          <w:szCs w:val="20"/>
          <w:color w:val="auto"/>
        </w:rPr>
      </w:pPr>
      <w:r>
        <w:rPr>
          <w:rFonts w:ascii="Times New Roman" w:cs="Times New Roman" w:eastAsia="Times New Roman" w:hAnsi="Times New Roman"/>
          <w:sz w:val="18"/>
          <w:szCs w:val="18"/>
          <w:color w:val="auto"/>
        </w:rPr>
        <w:t>The foreign exchange loss in our condensed consolidated statements of income included the following gains (losses) associated with foreign exchange contracts not designated as hedging instruments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4"/>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Forward Contracts: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recognized in foreign exchange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r>
    </w:tbl>
    <w:p>
      <w:pPr>
        <w:spacing w:after="0" w:line="184"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To achieve a desired mix of floating and fixed interest rates on our variable rate debt, we entered into interest rate swap agreements in April 2023, which are effective until April 2026. These agreements hedge contractual term loan interest rates. As of September 30, 2024, the interest rate swap agreements had a notional amount of $500.0 million. As a result of these agreements, the interest rate on a portion of our term loan borrowings is fixed at 3.9086%, plus the borrowing spread, until April 30, 2026.</w:t>
      </w:r>
    </w:p>
    <w:p>
      <w:pPr>
        <w:spacing w:after="0" w:line="72"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impact on accumulated other comprehensive loss and earnings from derivative instruments that qualified as cash flow hedges for the three and nine months ended September 30, 2024 was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6"/>
        </w:trPr>
        <w:tc>
          <w:tcPr>
            <w:tcW w:w="5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62"/>
        </w:trPr>
        <w:tc>
          <w:tcPr>
            <w:tcW w:w="5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Gain (loss) recognized in accumulated other comprehensive loss, net of</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w:t>
            </w:r>
          </w:p>
        </w:tc>
      </w:tr>
      <w:tr>
        <w:trPr>
          <w:trHeight w:val="176"/>
        </w:trPr>
        <w:tc>
          <w:tcPr>
            <w:tcW w:w="5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reclassified from accumulated other comprehensive loss to</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tax</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Assuming no change in the U.S dollar Secured Overnight Financing Rate, or Term SOFR, based interest rates from market rates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$0.5 million of loss, net of tax, recognized in accumulated other comprehensive loss will be reclassified to earnings over the next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w:t>
      </w:r>
    </w:p>
    <w:p>
      <w:pPr>
        <w:spacing w:after="0" w:line="99"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cash flow effects of our derivative contracts for the nine months ended September 30, 2024 and 2023 are included within net cash provided by operating activities in the condensed consolidated statements of cash flows.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fair value of outstanding derivatives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37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asset instruments</w:t>
            </w:r>
          </w:p>
        </w:tc>
        <w:tc>
          <w:tcPr>
            <w:tcW w:w="37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liability instruments</w:t>
            </w:r>
          </w:p>
        </w:tc>
        <w:tc>
          <w:tcPr>
            <w:tcW w:w="3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 summarizes the potential effect on our condensed consolidated balance sheets of offsetting our interest rate and foreign exchange forward contracts subject to such provisions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9"/>
          </w:tcPr>
          <w:p>
            <w:pPr>
              <w:jc w:val="center"/>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1"/>
                <w:szCs w:val="11"/>
                <w:color w:val="auto"/>
              </w:rPr>
            </w:pPr>
          </w:p>
        </w:tc>
        <w:tc>
          <w:tcPr>
            <w:tcW w:w="11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center"/>
              <w:ind w:left="382"/>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(2,976)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left="402"/>
              <w:spacing w:after="0"/>
              <w:rPr>
                <w:sz w:val="20"/>
                <w:szCs w:val="20"/>
                <w:color w:val="auto"/>
              </w:rPr>
            </w:pPr>
            <w:r>
              <w:rPr>
                <w:rFonts w:ascii="Times New Roman" w:cs="Times New Roman" w:eastAsia="Times New Roman" w:hAnsi="Times New Roman"/>
                <w:sz w:val="18"/>
                <w:szCs w:val="18"/>
                <w:color w:val="auto"/>
                <w:w w:val="98"/>
              </w:rPr>
              <w:t>1,830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9"/>
          </w:tcPr>
          <w:p>
            <w:pPr>
              <w:jc w:val="center"/>
              <w:ind w:right="55"/>
              <w:spacing w:after="0" w:line="158"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2"/>
                <w:szCs w:val="12"/>
                <w:color w:val="auto"/>
              </w:rPr>
            </w:pPr>
          </w:p>
        </w:tc>
        <w:tc>
          <w:tcPr>
            <w:tcW w:w="11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1"/>
                <w:szCs w:val="11"/>
                <w:color w:val="auto"/>
              </w:rPr>
            </w:pPr>
          </w:p>
        </w:tc>
        <w:tc>
          <w:tcPr>
            <w:tcW w:w="114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1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center"/>
              <w:ind w:left="382"/>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(4,091)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left="402"/>
              <w:spacing w:after="0"/>
              <w:rPr>
                <w:sz w:val="20"/>
                <w:szCs w:val="20"/>
                <w:color w:val="auto"/>
              </w:rPr>
            </w:pPr>
            <w:r>
              <w:rPr>
                <w:rFonts w:ascii="Times New Roman" w:cs="Times New Roman" w:eastAsia="Times New Roman" w:hAnsi="Times New Roman"/>
                <w:sz w:val="18"/>
                <w:szCs w:val="18"/>
                <w:color w:val="auto"/>
                <w:w w:val="98"/>
              </w:rPr>
              <w:t>4,091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23"/>
                <w:szCs w:val="23"/>
                <w:color w:val="auto"/>
              </w:rPr>
            </w:pPr>
          </w:p>
        </w:tc>
        <w:tc>
          <w:tcPr>
            <w:tcW w:w="128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539,302</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inventories included $243.4 million and $328.0 million, respectively, related to the purchase accounting inventory fair value step-up on inventory acquired as part of our acquisition of GW.</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9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gross carrying amount of goodwill was as follows (in thousands):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5"/>
        </w:trPr>
        <w:tc>
          <w:tcPr>
            <w:tcW w:w="9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1,753,130</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51,516</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1,804,646</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gross carrying amounts and net book values of our intangible assets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2"/>
        </w:trPr>
        <w:tc>
          <w:tcPr>
            <w:tcW w:w="22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Acquired developed</w:t>
            </w: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8,064,193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(2,919,976)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5,144,217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7,785,495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finite-lived intangible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8,079,066</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(2,934,849)</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5,144,217</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7,800,209</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(2,382,170)</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0" w:type="dxa"/>
            <w:vAlign w:val="bottom"/>
          </w:tcPr>
          <w:p>
            <w:pPr>
              <w:spacing w:after="0"/>
              <w:rPr>
                <w:sz w:val="1"/>
                <w:szCs w:val="1"/>
                <w:color w:val="auto"/>
              </w:rPr>
            </w:pPr>
          </w:p>
        </w:tc>
      </w:tr>
      <w:tr>
        <w:trPr>
          <w:trHeight w:val="221"/>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The increase in the gross carrying amount of intangible assets as of September 30, 2024, compared to December 31, 2023, relates to the positive impact of foreign currency translation adjustments due to the strengthening of sterling against the U.S. dollar.</w:t>
      </w:r>
    </w:p>
    <w:p>
      <w:pPr>
        <w:spacing w:after="0" w:line="5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68"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Based on finite-lived intangible assets recorded as of September 30, 2024, and assuming the underlying assets will not be impaired and that we will not change the expected lives of the assets, future amortization expenses were estimated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492"/>
              <w:spacing w:after="0" w:line="127"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60" w:type="dxa"/>
            <w:vAlign w:val="bottom"/>
            <w:tcBorders>
              <w:top w:val="single" w:sz="8" w:color="auto"/>
              <w:bottom w:val="single" w:sz="8" w:color="CCEEFF"/>
            </w:tcBorders>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162,109</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648,436</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648,436</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648,436</w:t>
            </w:r>
          </w:p>
        </w:tc>
        <w:tc>
          <w:tcPr>
            <w:tcW w:w="0" w:type="dxa"/>
            <w:vAlign w:val="bottom"/>
          </w:tcPr>
          <w:p>
            <w:pPr>
              <w:spacing w:after="0"/>
              <w:rPr>
                <w:sz w:val="1"/>
                <w:szCs w:val="1"/>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647,104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2,389,696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5,144,217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Certain Balance Sheet Items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equipment and machinery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82,897</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70,912</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302,997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(133,351)</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176,422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169,646</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3"/>
                <w:szCs w:val="23"/>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 and other sales deductions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325,711</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30,706</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 accruals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return reserve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accruals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Inventory-related accruals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collaboration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construction-in-progress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facilities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55,455</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75,513</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858,578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793,914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carrying amount of our indebtedness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0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Notes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30"/>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3"/>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74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net</w:t>
            </w: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573,954</w:t>
            </w:r>
          </w:p>
        </w:tc>
      </w:tr>
      <w:tr>
        <w:trPr>
          <w:trHeight w:val="270"/>
        </w:trPr>
        <w:tc>
          <w:tcPr>
            <w:tcW w:w="4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993,600</w:t>
            </w:r>
          </w:p>
        </w:tc>
      </w:tr>
      <w:tr>
        <w:trPr>
          <w:trHeight w:val="270"/>
        </w:trPr>
        <w:tc>
          <w:tcPr>
            <w:tcW w:w="4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1,480,214</w:t>
            </w:r>
          </w:p>
        </w:tc>
      </w:tr>
      <w:tr>
        <w:trPr>
          <w:trHeight w:val="270"/>
        </w:trPr>
        <w:tc>
          <w:tcPr>
            <w:tcW w:w="780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2,652,515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2,665,174</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6,111,802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5,712,942</w:t>
            </w:r>
          </w:p>
        </w:tc>
      </w:tr>
      <w:tr>
        <w:trPr>
          <w:trHeight w:val="23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604,954</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6,080,802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5,107,988</w:t>
            </w:r>
          </w:p>
        </w:tc>
      </w:tr>
      <w:tr>
        <w:trPr>
          <w:trHeight w:val="21"/>
        </w:trPr>
        <w:tc>
          <w:tcPr>
            <w:tcW w:w="4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On May 5, 2021, the Company, Jazz Financing Lux S.à.r.l., or Jazz Lux, and certain of our other subsidiaries, as borrowers, or, collectively with the Company and Jazz Lux, the “Borrowers”, entered into the Credit Agreement by and among the Borrowers, the lenders and issuing banks from time to time party thereto, Bank of America, N.A., as administrative agent and U.S. Bank Trust Company, National Association, as collateral trustee, or the Credit Agreement. The Credit Agreement initially provided for (i) a seven-year $3.1 billion term loan B facility, or the Dollar Term Loan, which was drawn by Jazz Lux on the closing date thereof in U.S. dollars (ii) a seven-year €625.0 million term loan B facility, or the Euro Term Loan, which was drawn by Jazz Lux on the closing date thereof in Euros and (iii) a five-year $500.0 million revolving credit facility, or the Revolving Credit Facility.</w:t>
      </w:r>
    </w:p>
    <w:p>
      <w:pPr>
        <w:spacing w:after="0" w:line="79"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In January 2024, Jazz Lux entered into an amendment, or the Repricing Amendment No.1, to the Credit Agreement. Upon entry into the Repricing Amendment No.1, certain existing lenders converted a portion of the outstanding Dollar Term Loan into a new tranche of U.S. dollar term loans, or the Tranche B-1 Dollar Term Loans, and Jazz Lux borrowed $201.9 million aggregate principal amount of additional Tranche B-1 Dollar Term Loans, the proceeds of which were used to repay the portion of the outstanding Dollar Term Loan that was not converted.</w:t>
      </w:r>
    </w:p>
    <w:p>
      <w:pPr>
        <w:spacing w:after="0" w:line="7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July 2024, Jazz Lux entered into an amendment, or the Repricing Amendment No. 2, to the Credit Agreement, or the Amended Credit Agreement. Upon entry into the Amended Credit Agreement, certain existing lenders converted a portion of the outstanding Tranche B-1 Dollar Term Loans into a new tranche of U.S. dollar term loans, or the Tranche B-2 Dollar Term Loans, and Jazz Lux borrowed $289.6 million aggregate principal amount of additional Tranche B-2 Dollar Term Loans, the proceeds of which were used to repay the portion of the outstanding Tranche B-1 Dollar Term Loans that were not converted.</w:t>
      </w:r>
    </w:p>
    <w:p>
      <w:pPr>
        <w:spacing w:after="0" w:line="75"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Tranche B-2 Dollar Term Loans are a separate class of term loans under the Amended Credit Agreement with the same material terms (including with respect to maturity, prepayment, security, covenants and events of default) as the previously outstanding Tranche B-1 Dollar Term Loans and the initial Dollar Term Loan incurred on May 5, 2021, with the interest rate amended as described below and the credit spread adjustment removed. The principal amount of Tranche B-1 Dollar Term Loans outstanding immediately prior to the Repricing Amendment No. 2 and the outstanding principal amount of Tranche B-2 Dollar Term Loans immediately following the Repricing Amendment No.2, each totaled $2.7 billion.</w:t>
      </w:r>
    </w:p>
    <w:p>
      <w:pPr>
        <w:spacing w:after="0" w:line="75" w:lineRule="exact"/>
        <w:rPr>
          <w:sz w:val="20"/>
          <w:szCs w:val="20"/>
          <w:color w:val="auto"/>
        </w:rPr>
      </w:pPr>
    </w:p>
    <w:p>
      <w:pPr>
        <w:ind w:right="660" w:firstLine="445"/>
        <w:spacing w:after="0" w:line="282" w:lineRule="auto"/>
        <w:rPr>
          <w:sz w:val="20"/>
          <w:szCs w:val="20"/>
          <w:color w:val="auto"/>
        </w:rPr>
      </w:pPr>
      <w:r>
        <w:rPr>
          <w:rFonts w:ascii="Times New Roman" w:cs="Times New Roman" w:eastAsia="Times New Roman" w:hAnsi="Times New Roman"/>
          <w:sz w:val="18"/>
          <w:szCs w:val="18"/>
          <w:color w:val="auto"/>
        </w:rPr>
        <w:t>The Tranche B-2 Dollar Term Loans bear interest at a rate equal to either (a) Term SOFR, or (b) the prime lending rate, in each case, plus an applicable margin. The applicable margin for the Tranche B-2 Dollar Term Loans is 2.25% (in the case of</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Term SOFR borrowings) and 1.25% (in the case of borrowings at the prime lending rate), a decrease of 75 basis points from the applicable margin on the Tranche B-1 Dollar Term Loans. The Tranche B-2 Dollar Term Loans are subject to a Term SOFR floor of 0.50%. As of September 30, 2024, the interest rate and effective interest rate on the Tranche B-2 Dollar Term Loans were 7.10% and 8.27%, respectively. The Tranche B-2 Dollar Term Loans will amortize in quarterly installments equal to 0.286294791% of the initial aggregate principal amount thereof, with the remaining balance payable on May 5, 2028.</w:t>
      </w:r>
    </w:p>
    <w:p>
      <w:pPr>
        <w:spacing w:after="0" w:line="75"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applicable margin for the Revolving Credit Facility ranges from 3.25% to 2.75% (in the case of Term SOFR borrowings) and 2.25% to 1.75% (in the case of borrowings at the prime lending rate), depending on our first lien secured net leverage ratio level, any loans under the Revolving Credit Facility are not subject to a Term SOFR floor. The Revolving Credit Facility has a commitment fee payable on the undrawn amount ranging from 0.50% to 0.40% per annum based upon our first lien secured net leverage ratio. As of September 30, 2024, we had an undrawn Revolving Credit Facility totaling $500.0 million.</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2030 Notes</w:t>
      </w:r>
    </w:p>
    <w:p>
      <w:pPr>
        <w:spacing w:after="0" w:line="121"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In September 2024, Jazz Investments I Limited, or Jazz Investments, our wholly owned subsidiary, completed a private placement of $1.0 billion principal amount of the 2030 Notes.</w:t>
      </w:r>
    </w:p>
    <w:p>
      <w:pPr>
        <w:spacing w:after="0" w:line="54"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Interest on the 2030 Notes is payable semi-annually in cash in arrears on March 15 and September 15 of each year, beginning on March 15, 2025, at a rate of 3.125% per year. In certain circumstances, we may be required to pay additional amounts as a result of any applicable tax withholding or deductions required in respect of payments on the 2030 Notes. The 2030 Notes mature on September 15, 2030, unless earlier exchanged, redeemed or repurchased.</w:t>
      </w:r>
    </w:p>
    <w:p>
      <w:pPr>
        <w:spacing w:after="0" w:line="7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holders of the 2030 Notes have the ability to require us to repurchase all or a portion of their 2030 Notes for cash at a fundamental change repurchase price equal to 100% of the principal amount of the notes to be repurchased, plus accrued and unpaid interest to, but excluding, the fundamental change repurchase date in the event we undergo a fundamental change (as defined in the indenture related to the 2030 Notes),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w:t>
      </w:r>
    </w:p>
    <w:p>
      <w:pPr>
        <w:spacing w:after="0" w:line="75"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Additionally, the terms and covenants in the indenture related to the 2030 Notes include certain events of default after which the 2030 Notes may be due and payable immediately.</w:t>
      </w:r>
    </w:p>
    <w:p>
      <w:pPr>
        <w:spacing w:after="0" w:line="5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Prior to September 15, 2030, we may redeem the 2030 Notes, in whole but not in part, in connection with certain tax-related events. We also may redeem the 2030 Notes on or after September 20, 2027 and prior to June 15, 2030, in whole or in part (subject to the partial redemption limitation described in the indenture related to the 2030 Notes),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excluding, the redemption date.</w:t>
      </w:r>
    </w:p>
    <w:p>
      <w:pPr>
        <w:spacing w:after="0" w:line="79"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The 2030 Notes are exchangeable at an initial exchange rate of 6.5339 ordinary shares per $1,000 principal amount of 2030 Notes, which is equivalent to an initial exchange price of approximately $153.05 per ordinary share. Upon exchange of the 2030 Notes, we will pay cash up to the aggregate principal amount of the 2030 Notes to be exchanged and pay or deliver, as the case may be, cash, ordinary shares or a combination of cash and ordinary shares, at our election, in respect of the remainder, if any, of our exchange obligation in excess of the aggregate principal amount of the 2030 Notes being exchanged. The exchange rate is subject to adjustment in some events but will not be adjusted for any accrued and unpaid interest. In addition, following certain make-whole fundamental changes (as defined in the indenture related to the 2030 Notes) that occur prior to the maturity date or upon our issuance of a notice of redemption, we will, in certain circumstances, increase the exchange rate for a holder who elects to exchange its 2030 Notes in connection with that make-whole fundamental change or exchange its 2030 Notes called (or deemed called) for redemption during the related redemption period. Prior to June 15, 2030, the 2030 Notes will be exchangeable only upon satisfaction of certain conditions and during certain periods, and thereafter, at any time until the close of business on the second scheduled trading day immediately preceding the maturity date.</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Exchangeable Senior Notes</w:t>
      </w:r>
    </w:p>
    <w:p>
      <w:pPr>
        <w:spacing w:after="0" w:line="12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Exchangeable Senior Notes were issued by Jazz Investments,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5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2030 Notes are accounted for as a single liability measured at its amortized cost. The total liability is reflected net of issuance costs of</w:t>
      </w:r>
    </w:p>
    <w:p>
      <w:pPr>
        <w:spacing w:after="0" w:line="27"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$19.2 million which will be amortized over the term of the 2030 Notes. The effective interest rate of the 2030 Notes is 3.46%. During the three months ended September 30, 2024 we recognized interest expense of $2.3 million, of which $2.2 million related to the contractual coupon rate and $0.1 million related to the amortization of debt issuance costs.</w:t>
      </w:r>
    </w:p>
    <w:p>
      <w:pPr>
        <w:spacing w:after="0" w:line="78"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total liability of the 2026 Notes is reflected net of issuance costs of $15.3 million which will be amortized over the term of the 2026 Notes. The effective interest rate of the 2026 Notes is 2.26%. During the three months ended September 30, 2024 and 2023, we recognized interest expense of</w:t>
      </w:r>
    </w:p>
    <w:p>
      <w:pPr>
        <w:ind w:right="220"/>
        <w:spacing w:after="0" w:line="255" w:lineRule="auto"/>
        <w:rPr>
          <w:sz w:val="20"/>
          <w:szCs w:val="20"/>
          <w:color w:val="auto"/>
        </w:rPr>
      </w:pPr>
      <w:r>
        <w:rPr>
          <w:rFonts w:ascii="Times New Roman" w:cs="Times New Roman" w:eastAsia="Times New Roman" w:hAnsi="Times New Roman"/>
          <w:sz w:val="18"/>
          <w:szCs w:val="18"/>
          <w:color w:val="auto"/>
        </w:rPr>
        <w:t>$5.7 million, of which $5.0 million related to the contractual coupon rate and $0.7 million related to the amortization of debt issuance costs, respectively. During the nine months ended September 30, 2024 and 2023, we recognized interest expense of $16.8 million, of which $15.0 million related to the contractual coupon rate and $1.8 million related to the amortization of debt issuance costs, respectively.</w:t>
      </w:r>
    </w:p>
    <w:p>
      <w:pPr>
        <w:spacing w:after="0" w:line="78"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On August 15, 2024, the maturity date for the 2024 Notes, we repaid the $575.0 million aggregate principal amount, plus accrued and unpaid interest thereon. During the three months ended September 30, 2024, we recognized interest expense of $1.3 million, of which $1.0 million related to the contractual coupon rate and $0.3 million related to the amortization of debt issuance costs. During the three months ended September 30, 2023, we recognized interest expense of $2.5 million, of which $2.1 million related to the contractual coupon rate and $0.4 million related to the amortization of debt issuance costs. During the nine months ended September 30, 2024, we recognized interest expense of $6.4 million, of which $5.3 million related to the contractual coupon rate and $1.1 million related to the amortization of debt issuance costs. During the nine months ended September 30, 2023, we recognized interest expense of $7.6 million, of which $6.4 million related to the contractual coupon rate and $1.2 million related to the amortization of debt issuance costs, respectively.</w:t>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Scheduled maturities with respect to our long-term debt principal balances outstanding as of September 30, 2024 were as follows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3"/>
                <w:szCs w:val="13"/>
                <w:color w:val="auto"/>
              </w:rPr>
            </w:pP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Scheduled Long-Term</w:t>
            </w:r>
          </w:p>
        </w:tc>
        <w:tc>
          <w:tcPr>
            <w:tcW w:w="0" w:type="dxa"/>
            <w:vAlign w:val="bottom"/>
          </w:tcPr>
          <w:p>
            <w:pPr>
              <w:spacing w:after="0"/>
              <w:rPr>
                <w:sz w:val="1"/>
                <w:szCs w:val="1"/>
                <w:color w:val="auto"/>
              </w:rPr>
            </w:pPr>
          </w:p>
        </w:tc>
      </w:tr>
      <w:tr>
        <w:trPr>
          <w:trHeight w:val="149"/>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Debt Maturities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40" w:type="dxa"/>
            <w:vAlign w:val="bottom"/>
            <w:tcBorders>
              <w:top w:val="single" w:sz="8" w:color="auto"/>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1,031,000</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2,598,500</w:t>
            </w:r>
          </w:p>
        </w:tc>
        <w:tc>
          <w:tcPr>
            <w:tcW w:w="0" w:type="dxa"/>
            <w:vAlign w:val="bottom"/>
          </w:tcPr>
          <w:p>
            <w:pPr>
              <w:spacing w:after="0"/>
              <w:rPr>
                <w:sz w:val="1"/>
                <w:szCs w:val="1"/>
                <w:color w:val="auto"/>
              </w:rPr>
            </w:pPr>
          </w:p>
        </w:tc>
      </w:tr>
      <w:tr>
        <w:trPr>
          <w:trHeight w:val="230"/>
        </w:trPr>
        <w:tc>
          <w:tcPr>
            <w:tcW w:w="95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6,199,250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2"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September 30, 2024 and December 31, 2023. No assurances can be given that the covering insurers will not attempt to dispute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validity, applicability, or amount of coverage without expensive litigation against these insurers, in which case we may incur substantial liabilities as a result of these indemnification obligations.</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involved in legal proceedings, including the following matters: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Xyrem Antitrust Litigation</w:t>
      </w:r>
    </w:p>
    <w:p>
      <w:pPr>
        <w:spacing w:after="0" w:line="119"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From June 2020 to May 2022,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spacing w:after="0" w:line="68"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 Inc., Lupin Ltd., Lupin Pharmaceuticals Inc., and Lupin Inc., or, collectively, the BCBS Defendants.</w:t>
      </w:r>
    </w:p>
    <w:p>
      <w:pPr>
        <w:spacing w:after="0" w:line="75" w:lineRule="exact"/>
        <w:rPr>
          <w:sz w:val="20"/>
          <w:szCs w:val="20"/>
          <w:color w:val="auto"/>
        </w:rPr>
      </w:pPr>
    </w:p>
    <w:p>
      <w:pPr>
        <w:ind w:right="500" w:firstLine="445"/>
        <w:spacing w:after="0" w:line="261" w:lineRule="auto"/>
        <w:rPr>
          <w:sz w:val="20"/>
          <w:szCs w:val="20"/>
          <w:color w:val="auto"/>
        </w:rPr>
      </w:pPr>
      <w:r>
        <w:rPr>
          <w:rFonts w:ascii="Times New Roman" w:cs="Times New Roman" w:eastAsia="Times New Roman" w:hAnsi="Times New Roman"/>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2"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2"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2" w:lineRule="exact"/>
        <w:rPr>
          <w:sz w:val="20"/>
          <w:szCs w:val="20"/>
          <w:color w:val="auto"/>
        </w:rPr>
      </w:pPr>
    </w:p>
    <w:p>
      <w:pPr>
        <w:jc w:val="both"/>
        <w:ind w:right="140" w:firstLine="445"/>
        <w:spacing w:after="0" w:line="261" w:lineRule="auto"/>
        <w:rPr>
          <w:sz w:val="20"/>
          <w:szCs w:val="20"/>
          <w:color w:val="auto"/>
        </w:rPr>
      </w:pPr>
      <w:r>
        <w:rPr>
          <w:rFonts w:ascii="Times New Roman" w:cs="Times New Roman" w:eastAsia="Times New Roman" w:hAnsi="Times New Roman"/>
          <w:sz w:val="18"/>
          <w:szCs w:val="18"/>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 Inc., Lupin Ltd., Lupin Pharmaceuticals, Inc., and Lupin Inc.</w:t>
      </w:r>
    </w:p>
    <w:p>
      <w:pPr>
        <w:spacing w:after="0" w:line="7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spacing w:after="0" w:line="81"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54"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In December 2020, the above cases were centralized and transferred to the United States District Court for the Northern District of California, where the multidistrict litigation will proceed for the purpose of discovery and pre-trial proceedings.</w:t>
      </w:r>
    </w:p>
    <w:p>
      <w:pPr>
        <w:spacing w:after="0" w:line="54"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On March 18, 2021, United Healthcare Services, Inc. filed a lawsuit in the United States District Court for the District of Minnesota against the Company Defendants, Hikma Pharmaceuticals plc, Roxane Laboratories, Inc., Hikma Pharmaceuticals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USA Inc., Eurohealth (USA) Inc., Amneal Pharmaceuticals LLC, Par Pharmaceutical, Inc., Lupin Ltd., and Lupin 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68" w:lineRule="exact"/>
        <w:rPr>
          <w:sz w:val="20"/>
          <w:szCs w:val="20"/>
          <w:color w:val="auto"/>
        </w:rPr>
      </w:pPr>
    </w:p>
    <w:p>
      <w:pPr>
        <w:ind w:right="760" w:firstLine="445"/>
        <w:spacing w:after="0" w:line="282" w:lineRule="auto"/>
        <w:rPr>
          <w:sz w:val="20"/>
          <w:szCs w:val="20"/>
          <w:color w:val="auto"/>
        </w:rPr>
      </w:pPr>
      <w:r>
        <w:rPr>
          <w:rFonts w:ascii="Times New Roman" w:cs="Times New Roman" w:eastAsia="Times New Roman" w:hAnsi="Times New Roman"/>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jc w:val="both"/>
        <w:ind w:right="420" w:firstLine="445"/>
        <w:spacing w:after="0" w:line="266" w:lineRule="auto"/>
        <w:rPr>
          <w:sz w:val="20"/>
          <w:szCs w:val="20"/>
          <w:color w:val="auto"/>
        </w:rPr>
      </w:pPr>
      <w:r>
        <w:rPr>
          <w:rFonts w:ascii="Times New Roman" w:cs="Times New Roman" w:eastAsia="Times New Roman" w:hAnsi="Times New Roman"/>
          <w:sz w:val="18"/>
          <w:szCs w:val="18"/>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On April 19, 2023, the Court held a hearing on class certification in the consolidated multi-district litigation referenced above. On May 12, 2023, the Court granted the plaintiffs’ motion and preliminarily certified classes of Xyrem purchasers seeking monetary and injunctive relief. The Court excluded Xywav purchasers from the classes. On April 26, 2024, we, Hikma, and the plaintiffs filed motions for summary judgment. The Court held oral argument on these motions on July 19, 2024. On August 26, 2024, the Court issued a decision granting in part and denying in part the parties’ motions for summary judgment.</w:t>
      </w:r>
    </w:p>
    <w:p>
      <w:pPr>
        <w:spacing w:after="0" w:line="75"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On June 13, 2024, we filed a motion to decertify the class. On June 28, 2024, the plaintiffs filed a motion to amend the definition of the certified class. The Court held oral argument on these motions on August 22, 2024. On October 18, 2024, the Court issued a decision denying our motion to decertify the class and granting the plaintiffs’ motion to amend the class definition. On November 1, 2024, we filed a petition with the United States Court of Appeals for the Ninth Circuit seeking leave to appeal the Court’s decision amending the class definition. The Ninth Circuit has not yet ruled on the petition. Trial in this matter has been rescheduled for May 19, 2025.</w:t>
      </w:r>
    </w:p>
    <w:p>
      <w:pPr>
        <w:spacing w:after="0" w:line="7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January 13, 2023, Amneal Pharmaceuticals LLC, Lupin Ltd., Lupin Pharmaceuticals, Inc., and Lupin Inc, notified the Court that they had reached a settlement-in-principle with the class action plaintiffs. On April 19, 2023, the Court held a hearing on a motion for preliminary approval of this proposed settlement. On May 12, 2023, the Court granted the motion for preliminary approval of the proposed settlement. On January 11, 2024, the Court held a hearing on the motion for final approval of the proposed settlement. The Court deferred ruling and scheduled a further hearing for final approval of the proposed settlement on April 17, 2024. During February and March 2024, the parties notified the Court of settlements between certain non-class action plaintiffs and each of Amneal and Lupin, and the Court dismissed those plaintiffs’ claims against the applicable parties. On April 17, 2024, the Court issued an order granting the motion for final approval of the settlement between the class action plaintiffs, Amneal, and Lupin.</w:t>
      </w:r>
    </w:p>
    <w:p>
      <w:pPr>
        <w:spacing w:after="0" w:line="8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December 11, 2023, Blue Cross and Blue Shield of Florida, Inc. and Health Options, Inc. filed a lawsuit in the United States District Court for the Middle District of Florida against the Company Defendants, Hikma Pharmaceuticals plc, Hikma Pharmaceuticals USA Inc., Hikma Labs, Inc., and Eurohealth (USA), Inc., raising similar allegations. On January 23, 2024, the Blue Cross Florida case was transferred to the United States District Court for the Northern District of California and consolidated with the above referenced multidistrict litigation for pretrial purposes.</w:t>
      </w:r>
    </w:p>
    <w:p>
      <w:pPr>
        <w:spacing w:after="0" w:line="72"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On May 9, 2022, Aetna Inc., or Aetna,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 On December 27, 2022, the Court granted in part and denied in part our motion to dismiss Aetna’s complaint. As a result of that ruling, the generic defendants have been dismissed from the case, and certain of Aetna’s claims against Jazz have been dismissed. On January 27, 2023, Aetna filed an amended complaint against Jazz. On March 22, 2023, we filed motions to dismiss and to strike portions of the amended complaint. On June 26, 2023, the Court granted our motions, and granted Aetna leave to further amend its complaint. On November 17, 2023, Aetna filed its second amended complaint. On February 2, 2024, we filed our answer to the second</w:t>
      </w:r>
    </w:p>
    <w:p>
      <w:pPr>
        <w:spacing w:after="0" w:line="1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amended complaint and Hikma filed a motion to quash service. The Court scheduled a hearing on Hikma’s motion for December 4, 2024. The Court has not set a further schedule in this case.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Avadel Litigation</w:t>
      </w:r>
    </w:p>
    <w:p>
      <w:pPr>
        <w:spacing w:after="0" w:line="11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On May 13, 2021, we filed a patent infringement suit against Avadel Pharmaceuticals plc, or Avadel, and several of its corporate affiliates in the United States District Court for the District of Delaware. The suit alleges that Avadel’s Lumryz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will not infringe our patents. Avadel filed a motion for partial judgment on the pleadings on its counterclaim that one of our patents should be delisted from FDA's Orange Book, or the Orange Book. On</w:t>
      </w:r>
    </w:p>
    <w:p>
      <w:pPr>
        <w:spacing w:after="0" w:line="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November 18, 2022, the Court issued an order that we delist the patent from the Orange Book. On November 22, 2022, we filed a notice of appeal to the United States Court of Appeals for the Federal Circuit. The Federal Circuit temporarily stayed the District Court’s delisting order. On February 24, 2023, the Federal Circuit affirmed the District Court’s delisting order, lifted the temporary stay, and gave Jazz 14 days to request that FDA delist the patent from the Orange Book. Jazz complied with the Federal Circuit’s order and requested delisting on February 28, 2023. On March 3, 2023, we and Avadel stipulated to the dismissal without prejudice of the claims and counterclaims related to infringement and validity of the delisted patent in both this suit and a later-filed suit described below related to the same patent.</w:t>
      </w:r>
    </w:p>
    <w:p>
      <w:pPr>
        <w:spacing w:after="0" w:line="82"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On August 4, 2021, we filed an additional patent infringement suit against Avadel in the United States District Court for the District of Delaware. The second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5"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On November 10, 2021, we filed an additional patent infringement suit against Avadel in the United States District Court for the District of Delaware. The third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On April 14, 2022, Avadel sued us in the United States District Court for the District of Delaware. Avadel’s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 On July 8, 2022, we filed a motion for judgment on the pleadings, which the Court denied on July 18, 2023. The denial is not a ruling that Jazz misappropriated Avadel‘s trade secrets or breached any contract. The case will go forward in discovery and the Court instructed the parties to submit a proposed scheduling order.</w:t>
      </w:r>
    </w:p>
    <w:p>
      <w:pPr>
        <w:spacing w:after="0" w:line="7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 would infringe the patent if launched. The suit seeks an injunction to prevent Avadel from launching a product that would infringe the patent, and an award of damages if Avadel does launch an infringing product. Avadel filed an answer to the complaint and counterclaims asserting that the patent is invalid, that its product would not infringe, and that by listing the patent in the Orange Book, we engaged in unlawful monopolization in violation of the Sherman Act. On December 9, 2022, we filed a motion to dismiss Avadel’s counterclaims. On June 29, 2023, we filed a motion seeking leave to supplement our motion to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dismiss, as well as a motion to stay discovery pending resolution of the motion to dismiss. As noted above, on March 3, 2023, we and Avadel stipulated to the dismissal without prejudice of the claims and counterclaims related to infringement and validity of the delisted patent.</w:t>
      </w:r>
    </w:p>
    <w:p>
      <w:pPr>
        <w:spacing w:after="0" w:line="54"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On November 1, 2023, the Court held a claim construction hearing relating to disputed terms in the asserted patents. On December 15, 2023, the Court issued a written opinion and order resolving the parties’ remaining claim construction disputes. On November 20, 2023, we and Avadel each filed motions for summary judgment. On February 14, 2024, the Court issued a written opinion and order denying both parties’ motions for summary judgment.</w:t>
      </w:r>
    </w:p>
    <w:p>
      <w:pPr>
        <w:spacing w:after="0" w:line="68"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Trial regarding our patent infringement claims against Avadel began on February 26, 2024, and concluded on March 4, 2024, with the jury finding both of our asserted patents valid, and awarding us damages for infringement for Avadel’s past sales of Lumryz. On April 12, 2024, we filed a motion for a permanent injunction and ongoing royalties. On August 27, 2024, the Court granted our motion for an injunction in part, and requested additional briefing about ongoing royalties. The issued injunction prevents Avadel from seeking FDA approval or marketing Lumryz for the treatment of idiopathic hypersomnia or other indications not already a part of Lumryz’s product labeling as of March 4, 2024, and enjoins Avadel from infringing in any way Claim 24 of our ’782 patent by making, using or selling Lumryz through and including the February 2036 expiration date of the ’782 patent, subject to certain exclusions including, among other things (i) for the treatment of narcolepsy, (ii) for the treatment of patients who have been prescribed Lumryz as of the effective date of the injunction conditioned on the payment of an amount to be determined and (iii) in clinical trials and studies ongoing as of the effective date of the injunction. The Court also granted our motion for an ongoing royalty for any future sale of Lumryz to patients with narcolepsy at a rate to be determined based upon further briefing by the parties on the appropriate ongoing rate above 3.5%. Avadel is appealing this injunction to the United States Court of Appeals for the Federal Circuit. The Federal Circuit has said the appeal will be placed on its February 2025 oral argument calendar. Avadel filed a motion with the district court for a stay of the injunction pending appeal, which the district court denied. Avadel also filed a motion to stay the injunction pending appeal with the Federal Circuit, which the Federal Circuit granted to the limited extent that the injunction enjoins initiating new clinical trials or studies and denied in all other respects.</w:t>
      </w:r>
    </w:p>
    <w:p>
      <w:pPr>
        <w:spacing w:after="0" w:line="8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Court scheduled a trial regarding Avadel’s counterclaims for unlawful monopolization for November 3, 2025 and a trial regarding Avadel’s trade secret misappropriation claims for December 15, 2025. On March 13, 2024 and March 19, 2024, we filed motions to stay Avadel’s unlawful monopolization counterclaim and trade secret claims, respectively, pending resolution of post-trial motions and potential appeals in the patent infringement suit. On May 24, 2024, the Court denied the motion to stay the unlawful monopolization counterclaim and the previously-filed motion to dismiss the same. On June 7, 2024, we filed a motion for reargument or, in the alternative, to certify the decision for interlocutory appeal. That motion remains pending and no hearing date has been set. The Court stayed Avadel’s trade secret misappropriation claims pending appeal of the injunction in the related patent matter. We filed a further motion to stay the unlawful monopolization counterclaims, which remains pending.</w:t>
      </w:r>
    </w:p>
    <w:p>
      <w:pPr>
        <w:spacing w:after="0" w:line="81"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On July 21, 2022, Avadel filed a lawsuit against FDA in the United States District Court for the District of Columbia, challenging FDA’s determination that Avadel was required to file a paragraph IV certification regarding one of our Orange Book listed patents. 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 On July 27, 2022, we filed a motion to intervene in that case, which the Court granted. The Court held a hearing on the parties’ respective motions for summary judgment on October 7, 2022. On November 3, 2022, the Court granted our and FDA’s motions for summary judgment and denied Avadel’s motion.</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Xywav Patent Litigation</w:t>
      </w:r>
    </w:p>
    <w:p>
      <w:pPr>
        <w:spacing w:after="0" w:line="119"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November 2022, we received notice from Lupin that it had filed a paragraph IV certification regarding a newly-issued patent listed in the Orange Book for Xywav. On January 19, 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 15, 2023, the Court consolidated the new lawsuit with the two suits we previously filed against Lupin. No trial date has been set in the consolidated case against Lupin.</w:t>
      </w:r>
    </w:p>
    <w:p>
      <w:pPr>
        <w:spacing w:after="0" w:line="7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February 2023, we received notice from Teva Pharmaceuticals, Inc., or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March 2023, we filed a patent infringement suit against Teva in the United States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 23, 2023, Teva filed an answer to the complaint and counterclaims asserting that the patents are invalid or not enforceable, and that its product, if approved, will not infringe our patents.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15, 2023, based on a stipulation between all parties, the Court consolidated the Lupin lawsuits and the Teva lawsuit for all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trial date has been set in the consolidated case.</w:t>
      </w:r>
    </w:p>
    <w:p>
      <w:pPr>
        <w:spacing w:after="0" w:line="9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July 2024, we received notices from Lupin and Teva that they had each filed a paragraph IV certification regarding a newly-issued patent listed in the Orange Book for Xywav. On August 27, 2024, we filed an additional lawsuit in the United States District Court for the District of New Jersey against each of Lupin and Teva, alleging that, by filing its ANDA, each party infringed the newly-issued patent related to a method of treatment using Xywav. The suits seek orders that the effective date of FDA approval of each defendant’s application shall be a date no earlier than the expiration of the newly-issued patent.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Epidiolex Patent Litigation</w:t>
      </w:r>
    </w:p>
    <w:p>
      <w:pPr>
        <w:spacing w:after="0" w:line="119"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In November and December 2022, we received notices from: Teva Pharmaceuticals, Inc.; Padagis US LLC; Apotex Inc.; API Pharma Tech LLC and InvaGen Pharmaceuticals, Inc.; Lupin Limited; Taro Pharmaceutical Industries Ltd.; Zenara Pharma Private Limited and Biophore Pharma, Inc.; MSN Laboratories Pvt. Ltd. and MSN Pharmaceuticals, Inc.; Alkem Laboratories Ltd.; and Ascent Pharmaceuticals, Inc. (hereinafter referred to as the “Epidiolex ANDA Filers”), that they have each filed with FDA an ANDA for a generic version of Epidiolex (cannabidiol) oral solution. As of the date of this filing, we are not aware of other ANDA filers. The notices from the Epidiolex ANDA Filers each included a “paragraph IV certification” with respect to certain of our patents listed in FDA’s Orange Book for Epidiolex on the date of the receipt of the notice. The listed patents relate generally to the composition and method of use of Epidiolex, and methods of treatment using Epidiolex. A paragraph IV certification is a certification by a generic applicant that alleges that patents covering the branded product are invalid, unenforceable, and/or will not be infringed by the manufacture, use or sale of the generic product.</w:t>
      </w:r>
    </w:p>
    <w:p>
      <w:pPr>
        <w:spacing w:after="0" w:line="8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On January 3, 2023, we filed a patent infringement suit against the Epidiolex ANDA Filers in the United States District Court for the District of New Jersey. The complaint alleges that by filing their ANDAs, the Epidiolex ANDA Filers have infringed certain of our Orange Book listed patents, and seeks an order that the effective date of FDA approval of the ANDAs shall be a date no earlier than the expiration of the last to expire of the asserted patents. As a result of this lawsuit, we expect that a stay of approval of up to 30 months will be imposed by FDA on the Epidiolex ANDA Filers’ ANDAs.</w:t>
      </w:r>
    </w:p>
    <w:p>
      <w:pPr>
        <w:spacing w:after="0" w:line="72"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From March 2023 through May 2023, we received the Epidiolex ANDA Filers’ answers to the complaint. The answers include defenses and counterclaims asserting that the Epidiolex ANDA Filers’ products, if launched, would not infringe our patents, that our patents are invalid and, in one instance, counterclaims related to allegations of inequitable conduct and improper listing of patents in the Orange Book. On May 25, 2023, we filed a motion to dismiss certain of the counterclaims. On January 11, 2024, the Court issued an order granting in part and denying in part our motion to dismiss. On September 20, 2024, the Court held a claim construction hearing relating to disputed terms in the asserted patents. The Court has not yet issued a decision on the claim construction disputes.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Court in the Epidiolex Patent Litigation scheduled trial for September 2025.</w:t>
      </w:r>
    </w:p>
    <w:p>
      <w:pPr>
        <w:spacing w:after="0" w:line="11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June and July 2023, we received notice from certain of the Epidiolex ANDA Filers that they had each filed a paragraph IV certification regarding a newly-issued patent listed in the Orange Book for Epidiolex. On July 21, 2023, we filed an additional lawsuit against all of the Epidiolex ANDA Filers in the United States District Court for the District of New Jersey alleging that, by filing its ANDA, each Epidiolex ANDA Filer infringed the newly-issued patent related to a method of treatment using Epidiolex. The suit seeks an order that the effective date of FDA approval of each Epidiolex ANDA Filer’s application shall be a date no earlier than the expiration of the newly-issued patent.</w:t>
      </w:r>
    </w:p>
    <w:p>
      <w:pPr>
        <w:spacing w:after="0" w:line="75"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On October 24, 2023, we entered into a settlement agreement with Padagis US LLC, or Padagis, that resolved our patent litigation with Padagis related to Epidiolex. Under the settlement agreement, we granted Padagis a license to manufacture, market, and sell its generic version of Epidiolex on a date that depends on the occurrence of certain other events. The specific terms of the Padagis settlement agreement are confidential.</w:t>
      </w:r>
    </w:p>
    <w:p>
      <w:pPr>
        <w:spacing w:after="0" w:line="68"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November 20, 2023, we entered into a settlement agreement with Teva Pharmaceuticals, Inc., or Teva, that resolved our patent litigation with Teva related to Epidiolex. Under the settlement agreement, we granted Teva a license to manufacture, market and sell its generic version of Epidiolex on a date which remains confidential. The specific terms of the Teva settlement agreement are confidential.</w:t>
      </w:r>
    </w:p>
    <w:p>
      <w:pPr>
        <w:spacing w:after="0" w:line="68"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December 4, 2023, we entered into a settlement agreement with Alkem Laboratories Ltd., or Alkem, that resolved our patent litigation with Alkem related to Epidiolex. Under the settlement agreement, we granted Alkem a license to manufacture, market, and sell its generic version of Epidiolex on a date which remains confidential. The specific terms of the Alkem settlement are confidential.</w:t>
      </w:r>
    </w:p>
    <w:p>
      <w:pPr>
        <w:spacing w:after="0" w:line="6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June 7, 2024, we entered into a settlement agreement with MSN Laboratories Private, Ltd. and MSN Pharmaceuticals, Inc., or together MSN, that resolved our patent litigation with MSN related to Epidiolex. Under the settlement agreement, we granted MSN a license to manufacture, market, and sell its generic version of Epidiolex on a date which remains confidential. The specific terms of the MSN settlement are confidential.</w:t>
      </w:r>
    </w:p>
    <w:p>
      <w:pPr>
        <w:spacing w:after="0" w:line="68"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On September 4, 2024, we entered into a settlement agreement with Lupin, Ltd., that resolved our patent litigation with Lupin related to Epidiolex. Under the settlement agreement, we granted Lupin a license to manufacture, market, and sell its generic version of Epidiolex on a date which remains confidential. The specific terms of the Lupin settlement are confidential.</w:t>
      </w:r>
    </w:p>
    <w:p>
      <w:pPr>
        <w:spacing w:after="0" w:line="6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November 1, 2024, we entered into a settlement agreement with InvaGen Pharmaceuticals, Inc., Cipla Ltd., Cipla USA, Inc., and API Pharma Tech LLC (collectively “InvaGen”) that resolved our patent litigation with InvaGen related to Epidiolex. Under the settlement agreement, we granted InvaGen a license to manufacture, market, and sell its generic version of Epidiolex on a date which remains confidential. The specific terms of the InvaGen settlement are confidential.</w:t>
      </w:r>
    </w:p>
    <w:p>
      <w:pPr>
        <w:spacing w:after="0" w:line="72" w:lineRule="exact"/>
        <w:rPr>
          <w:sz w:val="20"/>
          <w:szCs w:val="20"/>
          <w:color w:val="auto"/>
        </w:rPr>
      </w:pPr>
    </w:p>
    <w:p>
      <w:pPr>
        <w:jc w:val="both"/>
        <w:ind w:right="260" w:firstLine="445"/>
        <w:spacing w:after="0" w:line="266" w:lineRule="auto"/>
        <w:rPr>
          <w:sz w:val="20"/>
          <w:szCs w:val="20"/>
          <w:color w:val="auto"/>
        </w:rPr>
      </w:pPr>
      <w:r>
        <w:rPr>
          <w:rFonts w:ascii="Times New Roman" w:cs="Times New Roman" w:eastAsia="Times New Roman" w:hAnsi="Times New Roman"/>
          <w:sz w:val="18"/>
          <w:szCs w:val="18"/>
          <w:color w:val="auto"/>
        </w:rPr>
        <w:t>The settlements with Padagis, Teva, Alkem, MSN, Lupin and InvaGen do not resolve the litigation against the other four Epidiolex ANDA Filers, which is ongoing. We cannot predict the specific timing or outcome of events in these matters with respect to the remaining defendants or the impact of developments involving any specific parties or patents on other ongoing proceedings with any specific Epidiolex ANDA Filer.</w:t>
      </w:r>
    </w:p>
    <w:p>
      <w:pPr>
        <w:spacing w:after="0" w:line="68"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In September and October 2023, we received notice from certain of the Epidiolex ANDA Filers that they had each filed a paragraph IV certification regarding one or more newly-issued patents listed in the Orange Book for Epidiolex. On December 15, 2023, we filed an additional lawsuit against seven of the original Epidiolex ANDA Filers with whom we have not previously settled. We filed this lawsuit in the United States District Court for the District of New Jersey alleging that, by filing its ANDA, each Epidiolex ANDA Filer infringed the newly-issued patents related to methods of treatment using Epidiolex. The suit seeks an order that the effective date of FDA approval of each Epidiolex ANDA Filer’s application shall be a date no earlier than the expiration of the newly-issued patents.</w:t>
      </w:r>
    </w:p>
    <w:p>
      <w:pPr>
        <w:spacing w:after="0" w:line="7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In March and April 2024, we received notice from certain of the Epidiolex ANDA Filers that they had each filed a paragraph IV certification regarding one or more newly-issued patents listed in the Orange Book for Epidiolex. On July 3, 2024, we filed an additional lawsuit against six of the original Epidiolex ANDA Filers with whom we had not previously settled. We filed this lawsuit in the United States District Court for the District of New Jersey alleging that, by filing its ANDA, each Epidiolex ANDA Filer infringed the newly-issued patents related to methods of treatment using Epidiolex. The suit seeks an order that the effective date of FDA approval of each Epidiolex ANDA Filer’s application shall be a date no earlier than the expiration of the newly-issued patents.</w:t>
      </w:r>
    </w:p>
    <w:p>
      <w:pPr>
        <w:spacing w:after="0" w:line="7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Epidiolex also has orphan drug exclusivity, or ODE, for the treatment of seizures associated with LGS or DS in patients 2 years of age and older through September 28, 2025, and for the treatment of seizures associated with LGS or DS in patients between 1 and 2 years of age and for the treatment of seizures associated with TSC through July 31, 2027.</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vigorously enforces its intellectual property rights but cannot predict the outcome of these matters.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Zepzelca Patent Litigation</w:t>
      </w:r>
    </w:p>
    <w:p>
      <w:pPr>
        <w:spacing w:after="0" w:line="119" w:lineRule="exact"/>
        <w:rPr>
          <w:sz w:val="20"/>
          <w:szCs w:val="20"/>
          <w:color w:val="auto"/>
        </w:rPr>
      </w:pPr>
    </w:p>
    <w:p>
      <w:pPr>
        <w:ind w:right="220" w:firstLine="445"/>
        <w:spacing w:after="0" w:line="254" w:lineRule="auto"/>
        <w:rPr>
          <w:sz w:val="20"/>
          <w:szCs w:val="20"/>
          <w:color w:val="auto"/>
        </w:rPr>
      </w:pPr>
      <w:r>
        <w:rPr>
          <w:rFonts w:ascii="Times New Roman" w:cs="Times New Roman" w:eastAsia="Times New Roman" w:hAnsi="Times New Roman"/>
          <w:sz w:val="18"/>
          <w:szCs w:val="18"/>
          <w:color w:val="auto"/>
        </w:rPr>
        <w:t xml:space="preserve">In July and August 2024, we received notices from Sandoz Inc., InvaGen Pharmaceuticals, Inc., CIPLA USA, Inc. CIPLA (EU) Limited, CIPLA Limited, Zydus Lifesciences Global FZE, Zydus Pharmaceuticals (USA) Inc., Zydus Lifesciences Limited, RK Pharma, Inc., Apicore US LLC, Archis Pharma LLC, Vgyaan Pharmaceuticals LLC, MSN Pharmaceuticals Inc., and MSN Laboratories PVT. LTD. (hereinafter referred to as the “Zepzelca ANDA Filers”), that they have each filed with FDA an ANDA for a generic version of Zepzelca (lurbinectedin). As of the date of this filing, we are not aware of other ANDA filers. The notices from the Zepzelca ANDA Filers each included a paragraph IV certification with respect to a patent listed in the Orange Book for Zepzelca on the date of the receipt of the notice. The listed patent relates to the drug substance, drug product and approved use of Zepzelca. Jazz is the exclusive licensee to this Zepzelca patent pursuant to an agreement with </w:t>
      </w:r>
      <w:r>
        <w:rPr>
          <w:rFonts w:ascii="Times New Roman" w:cs="Times New Roman" w:eastAsia="Times New Roman" w:hAnsi="Times New Roman"/>
          <w:sz w:val="18"/>
          <w:szCs w:val="18"/>
          <w:color w:val="212529"/>
        </w:rPr>
        <w:t>Pharma Mar, S.A</w:t>
      </w:r>
      <w:r>
        <w:rPr>
          <w:rFonts w:ascii="Times New Roman" w:cs="Times New Roman" w:eastAsia="Times New Roman" w:hAnsi="Times New Roman"/>
          <w:sz w:val="18"/>
          <w:szCs w:val="18"/>
          <w:color w:val="auto"/>
        </w:rPr>
        <w:t>, or PharmaMar. A paragraph IV certification is a certification by a generic applicant that alleges that the patent covering the branded product is invalid, unenforceable, and/or will not be infringed by the manufacture, use or sale of the generic product.</w:t>
      </w:r>
    </w:p>
    <w:p>
      <w:pPr>
        <w:spacing w:after="0" w:line="80"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On September 11, 2024, we and PharmaMar filed a patent infringement suit against the Zepzelca ANDA Filers in the United States District Court for the District of New Jersey. The complaint alleges that by filing their ANDAs, the Zepzelca ANDA Filers have infringed the Orange Book listed patent for Zepzelca, and seeks an order that the effective date of FDA approval of the ANDAs shall be a date no earlier than the expiration of the asserted patent.</w:t>
      </w:r>
    </w:p>
    <w:p>
      <w:pPr>
        <w:spacing w:after="0" w:line="68"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On September 12, 2024, we and PharmaMar filed a patent infringement suit against RK Pharma, Inc., Apicore US LLC, Archis Pharma LLC, Vgyaan Pharmaceuticals LLC (collectively “RK Pharma”), in the United States District Court for the District of Delaware. The complaint alleges that by filing its ANDA, RK Pharma has infringed the Orange Book listed patent for Zepzelca, and seeks an order that the effective date of FDA approval of RK Pharma’s ANDA shall be no earlier than the expiration of the asserted patent.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MSP Litigation</w:t>
      </w:r>
    </w:p>
    <w:p>
      <w:pPr>
        <w:spacing w:after="0" w:line="10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On April 3, 2023, MSP Recovery Claims, Series LLC, or MSP, filed a class action lawsuit on behalf itself and others similarly situated against Jazz Pharmaceuticals plc, Jazz Pharmaceuticals, Inc., and Jazz Pharmaceuticals Ireland Limited, (collectively, the Company Defendants), Express Scripts, Inc., Express Scripts Holding Company, Express Scripts Specialty Distribution Services, Inc., Curascript, Inc. d/b/a Curascript, S.D., Priority Healthcare Distribution, Inc. d/b/a Curascript SD and Curascript Specialty Distribution SD, Caring Voice Coalition, and Adira Foundation (collectively with the Company Defendants, referred to as the Defendants) in the United States District Court for the Northern District of California. The MSP complaint alleges that the Defendants conspired to increase the price and quantity dispensed of Xyrem and Prialt, in violation of the Racketeer Influenced and Corrupt Organizations Act and several state laws. The allegations relate generally to the conduct at issue in the investigation conducted by the United States Department of Justice from 2016-2019, involving the Company’s contributions to certain charitable foundations. MSP seeks monetary damages, restitution, disgorgement, and a declaration that the conduct alleged is unlawful.</w:t>
      </w:r>
    </w:p>
    <w:p>
      <w:pPr>
        <w:spacing w:after="0" w:line="80" w:lineRule="exact"/>
        <w:rPr>
          <w:sz w:val="20"/>
          <w:szCs w:val="20"/>
          <w:color w:val="auto"/>
        </w:rPr>
      </w:pPr>
    </w:p>
    <w:p>
      <w:pPr>
        <w:ind w:right="200" w:firstLine="445"/>
        <w:spacing w:after="0" w:line="281" w:lineRule="auto"/>
        <w:rPr>
          <w:sz w:val="20"/>
          <w:szCs w:val="20"/>
          <w:color w:val="auto"/>
        </w:rPr>
      </w:pPr>
      <w:r>
        <w:rPr>
          <w:rFonts w:ascii="Times New Roman" w:cs="Times New Roman" w:eastAsia="Times New Roman" w:hAnsi="Times New Roman"/>
          <w:sz w:val="17"/>
          <w:szCs w:val="17"/>
          <w:color w:val="auto"/>
        </w:rPr>
        <w:t>On July 25, 2023, we and certain other defendants filed motions to dismiss MSP's complaint, which the Court granted on December 12, 2023. On January 5, 2024, the MSP filed an amended complaint. On February 20, 2024, we filed a motion to dismiss MSP’s amended complaint. The Court scheduled a hearing on the motion for June 13, 2024. On June 21, 2024, the Court cancelled the hearing. On July 22, 2024, the Court granted the motion. The Court set a deadline of August 12, 2024, to file a second amended complaint. On August 12, 2024, MSP voluntarily dismissed its complaint.</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FDA Litigation</w:t>
      </w:r>
    </w:p>
    <w:p>
      <w:pPr>
        <w:spacing w:after="0" w:line="119" w:lineRule="exact"/>
        <w:rPr>
          <w:sz w:val="20"/>
          <w:szCs w:val="20"/>
          <w:color w:val="auto"/>
        </w:rPr>
      </w:pPr>
    </w:p>
    <w:p>
      <w:pPr>
        <w:ind w:right="100" w:firstLine="445"/>
        <w:spacing w:after="0" w:line="253" w:lineRule="auto"/>
        <w:rPr>
          <w:sz w:val="20"/>
          <w:szCs w:val="20"/>
          <w:color w:val="auto"/>
        </w:rPr>
      </w:pPr>
      <w:r>
        <w:rPr>
          <w:rFonts w:ascii="Times New Roman" w:cs="Times New Roman" w:eastAsia="Times New Roman" w:hAnsi="Times New Roman"/>
          <w:sz w:val="18"/>
          <w:szCs w:val="18"/>
          <w:color w:val="auto"/>
        </w:rPr>
        <w:t>On June 22, 2023, we filed a complaint in the United States District Court for the District of Columbia seeking a declaration that FDA’s approval on May 1, 2023, of the New Drug Application, or NDA, for Avadel's Lumryz was unlawful. In the complaint, we alleged that FDA acted outside its authority under the Orphan Drug Act, when, despite ODE protecting Jazz’s low-sodium oxybate product Xywav, FDA approved the Lumryz NDA and granted Lumryz ODE based on FDA’s finding that Lumryz makes a major contribution to patient care and is therefore clinically superior to Xywav and Xyrem. Jazz further alleged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 pursuant to the Administrative Procedure Act, asked the Court to vacate and set aside FDA’s approval of the Lumryz NDA and sought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spacing w:after="0" w:line="86"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On September 15, 2023, we filed a motion for summary judgment. On October 20, 2023, Avadel and FDA filed cross motions for summary judgment. Oral argument on these motions was held on May 10, 2024 and on October 30, 2024,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District Court issued an order denying Jazz’s motion for summary judgment and granting Avadel’s and the FDA’s cross-motions for summary judgment.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respectfully disagrees with the Court’s decision and is evaluating potential options for appeal.</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Qui tam matter</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July 2022, we received a subpoena from the U.S. Attorney’s Office, or USAO, for the District of Massachusetts requesting documents related to Xyrem and U.S. Patent No. 8,772,306 (“Method of Administration of Gamma Hydroxybutyrate with Monocarboxylate Transporters”), product labeling changes for Xyrem, communications with FDA and the USPTO, pricing of Xyrem, and other related documents. On July 18, 2024, the United States District Court for the District of Massachusetts unsealed a qui tam whistleblower lawsuit underlying the USAO’s subpoena, captioned 1:21-cv-10891-PBS and originally filed under seal on May 27, 2021. The public docket in this matter indicates that on May 24 and June 7, 2024, respectively, the United States and a number of states named in the whistleblower complaint declined to intervene in this matter. As such, private whistleblower litigation will proceed in the United States District Court for the District of Massachusetts. The Court set a deadline of September 1, 2024, for the plaintiff to file an amended complaint, and December 1, 2024, for Jazz to file a motion to dismiss the amended complaint. The plaintiff filed the amended complaint on September 1, 2024.</w:t>
      </w:r>
    </w:p>
    <w:p>
      <w:pPr>
        <w:spacing w:after="0" w:line="80"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July 2024, our board of directors authorized a share repurchase program to repurchase ordinary shares having an aggregate purchase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exclusive of any brokerage commissions, or the New Repurchase Program. Under the New Repurchase Program, which has no expiration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we may repurchase ordinary shares from time to time by any methods and/or structures permitted by applicable law. The timing and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will depend on a variety of factors, including the price of our ordinary shares, alternative investment opportunities, restrictions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Credit Agreement and the indenture for our Secured Notes, corporate and regulatory requirements and market conditions. The New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may be modified, suspended or discontinued at any time without our prior notice. The New Repurchase Program replaces and supersedes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program authorized by our board of directors in November 2016, which, as of the date of it being superseded by the New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had authorized the repurchase of ordinary shares having an aggregate purchase price of up to $1.5 billion, exclusive of any brokerage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or the Old Repurchase Program, and, together with the New Repurchase Program, the “repurchase programs”. During the three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2024, we spent a total of $150.0 million to repurchase 1.4 million of our ordinary shares, all under the New Repurchase Program,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including commissions, of $109.32 per share. The repurchases during the three months ended September 30, 2024, were effected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privately negotiated transactions with or through one of the initial purchasers of the 2030 Notes concurrently with the pricing of the offering of the 2030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During the nine months ended September 30, 2024, we spent a total of $311.4 million to purchase 2.8 million of our ordinary shares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programs at an average total purchase price, including commissions, of $110.06 per share. During the nine months ended September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spent a total of $170.0 million to purchase 1.3 million of our ordinary shares under the Old Repurchase Program at an average total 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commissions, of $128.89 per share. All ordinary shares repurchased were cancelled. As of September 30, 2024, the remaining amount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repurchases under the New Repurchase Program was $350.0 million, exclusive of any brokerage commissions.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as of September 30, 2024 and December 31, 2023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79"/>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 From</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Hedging Activities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9"/>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(842,147)</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242,790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241,218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238,750</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(603,397)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other comprehensive income (loss) primarily reflects foreign currency translation adjustments, primarily due to the strengthening of the sterling against the U.S. dollar.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Ordinary Share</w:t>
      </w:r>
    </w:p>
    <w:p>
      <w:pPr>
        <w:spacing w:after="0" w:line="121"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Basic net income per ordinary share is based on the weighted-average number of ordinary shares outstanding. Diluted net income per ordinary share is based on the weighted-average number of ordinary shares outstanding and potentially dilutive ordinary shares outstanding.</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income per ordinary share were computed as follows (in thousands, except per share amounts):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215,055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369,005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320,678</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Effect of interest on assumed conversions of Exchangeable Senior</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net of tax</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dilutive net income per ordinary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216,083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379,766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340,629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63,532</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Exchangeable Senior Notes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employee equity incentive and purchase plans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164"/>
        </w:trPr>
        <w:tc>
          <w:tcPr>
            <w:tcW w:w="5200" w:type="dxa"/>
            <w:vAlign w:val="bottom"/>
          </w:tcPr>
          <w:p>
            <w:pPr>
              <w:ind w:left="40"/>
              <w:spacing w:after="0" w:line="164"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63,174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71,293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72,866</w:t>
            </w:r>
          </w:p>
        </w:tc>
        <w:tc>
          <w:tcPr>
            <w:tcW w:w="0" w:type="dxa"/>
            <w:vAlign w:val="bottom"/>
          </w:tcPr>
          <w:p>
            <w:pPr>
              <w:spacing w:after="0"/>
              <w:rPr>
                <w:sz w:val="1"/>
                <w:szCs w:val="1"/>
                <w:color w:val="auto"/>
              </w:rPr>
            </w:pPr>
          </w:p>
        </w:tc>
      </w:tr>
      <w:tr>
        <w:trPr>
          <w:trHeight w:val="20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ordinary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Potentially dilutive ordinary shares from our employee equity incentive and purchase plans are determined by applying the treasury stock method to the assumed vesting of outstanding restricted stock units, or RSUs, and performance-based restricted stock units, or PRSUs, the assumed exercise of share options and the assumed issuance of ordinary shares under our employee stock purchase plan, or ESPP. Potentially dilutive ordinary shares from the Exchangeable Senior Notes are determined by applying the if-converted method to the assumed issuance of ordinary shares upon exchange of the Exchangeable Senior Notes. In August 2023, we made an irrevocable election to fix the settlement method for exchanges of the 2024 Notes to a combination of cash and ordinary shares of the Company with a specified cash amount per $1,000 principal amount of the 2024 Notes of $1,000. As a result, the assumed issuance of ordinary shares upon exchange of the 2024 Notes has only been included in the calculation of diluted net income per ordinary share in the three and nine months ended September 30, 2023 up to the date the irrevocable election was made.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In July 2024, we made an irrevocable election to fix the settlement method for exchanges of the 2026 Notes to a combination of cash and ordinary shares of the Company with a specified cash amount per $1,000 principal amount of the 2026 Notes of $1,000. As a result, the assumed issuance of ordinary shares upon exchange of the 2026 Notes has only been included in the calculation of diluted net income per ordinary share in the three and nine months ended September 30, 2024, up to the date the irrevocable election was made.</w:t>
      </w:r>
    </w:p>
    <w:p>
      <w:pPr>
        <w:spacing w:after="0" w:line="72"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For the 2030 Notes, we are required to settle the principal amount in cash and have the option to settle the conversion feature for the amount above the conversion price, or the conversion spread, in cash, ordinary shares or a combination of cash and ordinary shares. The conversion spread will have a dilutive impact on diluted net income per ordinary share when the average market price of our ordinary shares for a given period exceeds the conversion price of the 2030 Notes. For the three and nine months ended September 30, 2024, the 2030 Notes have been excluded from the computation of diluted net income per ordinary share, as the effect would be anti-dilutive since the conversion price of the 2030 Notes exceeded the average market price of our ordinary shares for the three and nine months ended September 30, 2024.</w:t>
      </w:r>
    </w:p>
    <w:p>
      <w:pPr>
        <w:spacing w:after="0" w:line="7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weighted-average ordinary shares that were excluded from the calculation of diluted net income per ordinary share for the periods presented because including them would have an anti-dilutive effect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2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equity incentive and purchase plans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r>
      <w:tr>
        <w:trPr>
          <w:trHeight w:val="55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Revenues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5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5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2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3"/>
                <w:szCs w:val="23"/>
                <w:color w:val="auto"/>
              </w:rPr>
            </w:pPr>
          </w:p>
        </w:tc>
        <w:tc>
          <w:tcPr>
            <w:tcW w:w="178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23"/>
                <w:szCs w:val="23"/>
                <w:color w:val="auto"/>
              </w:rPr>
            </w:pPr>
          </w:p>
        </w:tc>
      </w:tr>
      <w:tr>
        <w:trPr>
          <w:trHeight w:val="196"/>
        </w:trPr>
        <w:tc>
          <w:tcPr>
            <w:tcW w:w="5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935,958</w:t>
            </w: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463,009</w:t>
            </w: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604,846</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702,724</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1,967,844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2,018,344</w:t>
            </w: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292,479</w:t>
            </w: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215,523</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132,917</w:t>
            </w: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100,583</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Oncology</w:t>
            </w: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284,754</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260,410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819,612</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741,502</w:t>
            </w: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989,707</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938,398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2,795,953</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2,769,604</w:t>
            </w: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36,531</w:t>
            </w: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16,134</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2,822,269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attributed to geographic sources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2,579,401</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194,198</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48,670</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1,054,969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2,980,777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2,822,269</w:t>
            </w:r>
          </w:p>
        </w:tc>
      </w:tr>
      <w:tr>
        <w:trPr>
          <w:trHeight w:val="21"/>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57"/>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the percentage of total revenues from customers that represented more than 10% of our total revenues: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r>
      <w:tr>
        <w:trPr>
          <w:trHeight w:val="195"/>
        </w:trPr>
        <w:tc>
          <w:tcPr>
            <w:tcW w:w="4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5"/>
        </w:trPr>
        <w:tc>
          <w:tcPr>
            <w:tcW w:w="49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ESSDS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ASD</w:t>
            </w:r>
          </w:p>
        </w:tc>
        <w:tc>
          <w:tcPr>
            <w:tcW w:w="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Financing and payment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payment terms vary by the type and location of our customer but payment is generally required in a term ranging from 30 to 65 days.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related to RSUs, PRSUs, grants under our ESPP and share options was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37,101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113,155</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18,927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16,635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49,346</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share-based compensation expense, pre-tax</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59,760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173,900</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from share-based compensation expense</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 net of tax</w:t>
            </w:r>
          </w:p>
        </w:tc>
        <w:tc>
          <w:tcPr>
            <w:tcW w:w="8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47,570</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46,323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152,637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144,367</w:t>
            </w: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table below shows the number of RSUs granted covering an equal number of our ordinary shares and the weighted-average grant date fair value of RSUs granted: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6"/>
        </w:trPr>
        <w:tc>
          <w:tcPr>
            <w:tcW w:w="52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860" w:type="dxa"/>
            <w:vAlign w:val="bottom"/>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110.55</w:t>
            </w:r>
          </w:p>
        </w:tc>
        <w:tc>
          <w:tcPr>
            <w:tcW w:w="120" w:type="dxa"/>
            <w:vAlign w:val="bottom"/>
          </w:tcPr>
          <w:p>
            <w:pPr>
              <w:spacing w:after="0"/>
              <w:rPr>
                <w:sz w:val="20"/>
                <w:szCs w:val="20"/>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134.33</w:t>
            </w:r>
          </w:p>
        </w:tc>
        <w:tc>
          <w:tcPr>
            <w:tcW w:w="100" w:type="dxa"/>
            <w:vAlign w:val="bottom"/>
          </w:tcPr>
          <w:p>
            <w:pPr>
              <w:spacing w:after="0"/>
              <w:rPr>
                <w:sz w:val="20"/>
                <w:szCs w:val="20"/>
                <w:color w:val="auto"/>
              </w:rPr>
            </w:pP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118.31</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w:t>
            </w:r>
          </w:p>
        </w:tc>
      </w:tr>
    </w:tbl>
    <w:p>
      <w:pPr>
        <w:spacing w:after="0" w:line="166"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Compensation &amp; Management Development Committee of our board of directors and, in the case of our Chief Executive Officer, the independent members of our board of directors, approved awards of PRSUs to certain employees of the Company, subject to vesting on the achievement of certain commercial and pipeline performance criteria to be assessed over a performance period from the date of the grant to December 31, 2024, December 31, 2025 and December 31, 2026, respectively. The number of shares that will be awarded is determined based on the Company’s achievement with respect to the performance criteria. For PRSUs granted prior to 2024, the amount of shares awarded will be subject to adjustment based on the application of a relative total shareholder return, or TSR, modifier. For PRSUs granted in 2024, the relative TSR represents one of the performance metrics. In both cases, the number of shares that may be earned ranges between 0% and 200% of the target number of PRSUs granted.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table below shows the number of PRSUs granted covering an equal number of our ordinary shares and the weighted-average grant date fair value of PRSUs granted: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860" w:type="dxa"/>
            <w:vAlign w:val="bottom"/>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107.07</w:t>
            </w:r>
          </w:p>
        </w:tc>
        <w:tc>
          <w:tcPr>
            <w:tcW w:w="120" w:type="dxa"/>
            <w:vAlign w:val="bottom"/>
          </w:tcPr>
          <w:p>
            <w:pPr>
              <w:spacing w:after="0"/>
              <w:rPr>
                <w:sz w:val="20"/>
                <w:szCs w:val="20"/>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142.65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w:t>
            </w:r>
          </w:p>
        </w:tc>
      </w:tr>
    </w:tbl>
    <w:p>
      <w:pPr>
        <w:spacing w:after="0" w:line="179"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For the PRSUs granted that are subject to a market condition, the grant date fair value for such PRSUs was based on a Monte Carlo simulation model. For PRSUs granted without a market condition, the fair value is determined based on the market price of our ordinary shares on the date of grant. The Company evaluated the performance targets in the context of its current long-range financial plan and its product candidate development pipeline and recognized expense based on the probable number of awards that will ultimately vest.</w:t>
      </w:r>
    </w:p>
    <w:p>
      <w:pPr>
        <w:spacing w:after="0" w:line="72"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2024, compensation cost not yet recognized related to unvested RSUs, PRSUs, ESPP and share options was $347.2 million, $37.3 million, $9.2 million and $0.1 million, respectively, which is expected to be recognized over a weighted-average period of 2.6 years, 1.4 years, 1.1 years and 0.3 years, respectively.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Our income tax benefit was $14.5 million and $33.5 million for the three and nine months ended September 30, 2024, respectively, compared to $47.2 million and $86.8 million for the same periods in 2023, relating to tax arising on income or losses in Ireland, the U.K., the U.S. and certain other foreign jurisdictions and tax deficiencies from share based compensation, offset by deductions on subsidiary equity, foreign derived intangible income benefits and tax credits. The decrease in the income tax benefit for the three and nine months ended September 30, 2024 compared to the same periods in 2023 resulted primarily from changes in the mix of pre-tax income and losses across tax jurisdictions.</w:t>
      </w:r>
    </w:p>
    <w:p>
      <w:pPr>
        <w:spacing w:after="0" w:line="75"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deferred tax assets. Each reporting period, we evaluate the need for a valuation allowance on our deferred tax assets by jurisdiction and adjust our estimates as more information becomes available.</w:t>
      </w:r>
    </w:p>
    <w:p>
      <w:pPr>
        <w:spacing w:after="0" w:line="7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2019.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2019 and earlier may still be adjusted upon examination by the taxing authorities. One of our subsidiaries is currently under examination by the Luxembourg taxing authorities for the years ended December 31, 2017, 2018 and 2019. In October 2022 and in January 2023, we received tax assessment notices from the Luxembourg taxing authorities for all years under examination relating to certain transfer pricing and other adjustments. The notices propose additional Luxembourg income tax of approximately $25.0 million, translated at the foreign exchange rate as September 30, 2024. We disagree with the proposed assessments and are contesting them vigorously.</w:t>
      </w:r>
    </w:p>
    <w:p>
      <w:pPr>
        <w:spacing w:after="0" w:line="84"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Government of Ireland, the jurisdiction in which Jazz Pharmaceuticals Plc is incorporated, transposed the Global Minimum Tax Pillar Two rules into domestic legislation as part of the Finance (No. 2) Act 2023 (the "Finance Act"). The Finance Act closely follows the EU Minimum Tax Directive and certain OECD Guidance released to date. The Company is within the scope of these rules, which took effect from January 1, 2024. Under the new legislation, we are liable to pay a top-up tax for the difference between the Pillar Two effective tax rate per jurisdiction and the 15% minimum rate. The rules on how to calculate the 15% effective tax rate are detailed and highly complex and specific adjustments envisaged in the Pillar Two legislation can give rise to different effective tax rates compared to those calculated for accounting purposes. We will account for it as a current tax when it is incurred. We expect to be subject to the top-up tax in relation to our operations in Ireland, where the trading statutory tax rate is 12.5%, though the impact in 2024 is not significant. The proportion of our profit before tax which is subject to the top-up tax and our exposure to Pillar Two income taxes in future years will depend on factors such as future revenues, costs and foreign currency exchange rates. We will continue to monitor changes in law and guidance in relation to Pillar Two.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445"/>
        <w:spacing w:after="0" w:line="218" w:lineRule="exact"/>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 Item 1A of our Annual Report on Form 10-K for the year ended December 31, 2023, as supplemented by the risks and uncertainties described in "Risk Factors" Item 1A. Risk Factors in Part II of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(unless another date is indicated), and we undertake no obligation to update or revise these statements in light of future developments.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5"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strategy to deliver sustainable growth and enhanced value continues to be focused on:</w:t>
      </w:r>
    </w:p>
    <w:p>
      <w:pPr>
        <w:spacing w:after="0" w:line="117" w:lineRule="exact"/>
        <w:rPr>
          <w:sz w:val="20"/>
          <w:szCs w:val="20"/>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commercial execution to drive diversified revenue growth and address unmet medical needs of our patients across our product portfolio, which focuses on neuroscience and oncology medicines;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advancing our pipeline to achieve a valuable portfolio of durable, highly differentiated products;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build a flexible, efficient and productive development engine for targeted therapeutic areas to identify and progress early-, mid- and late-stage assets;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acquiring novel product candidates and approved therapies to complement our existing pipeline and commercial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an efficient, scalable operating model and differentiated capabilities to enable growth;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further value through indication expansion and entry into global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In 2024, consistent with our strategy, we are continuing to focus on research and development activities within our neuroscience and oncology therapeutic areas.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Approval Date</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0" w:type="dxa"/>
            <w:vAlign w:val="bottom"/>
          </w:tcPr>
          <w:p>
            <w:pPr>
              <w:spacing w:after="0"/>
              <w:rPr>
                <w:sz w:val="1"/>
                <w:szCs w:val="1"/>
                <w:color w:val="auto"/>
              </w:rPr>
            </w:pPr>
          </w:p>
        </w:tc>
      </w:tr>
      <w:tr>
        <w:trPr>
          <w:trHeight w:val="21"/>
        </w:trPr>
        <w:tc>
          <w:tcPr>
            <w:tcW w:w="640" w:type="dxa"/>
            <w:vAlign w:val="bottom"/>
            <w:tcBorders>
              <w:top w:val="single" w:sz="8" w:color="auto"/>
              <w:bottom w:val="single" w:sz="8" w:color="B6B6B6"/>
            </w:tcBorders>
          </w:tcPr>
          <w:p>
            <w:pPr>
              <w:spacing w:after="0" w:line="20" w:lineRule="exact"/>
              <w:rPr>
                <w:sz w:val="1"/>
                <w:szCs w:val="1"/>
                <w:color w:val="auto"/>
              </w:rPr>
            </w:pPr>
          </w:p>
        </w:tc>
        <w:tc>
          <w:tcPr>
            <w:tcW w:w="2000" w:type="dxa"/>
            <w:vAlign w:val="bottom"/>
            <w:tcBorders>
              <w:bottom w:val="single" w:sz="8" w:color="B6B6B6"/>
            </w:tcBorders>
          </w:tcPr>
          <w:p>
            <w:pPr>
              <w:spacing w:after="0" w:line="20" w:lineRule="exact"/>
              <w:rPr>
                <w:sz w:val="1"/>
                <w:szCs w:val="1"/>
                <w:color w:val="auto"/>
              </w:rPr>
            </w:pPr>
          </w:p>
        </w:tc>
        <w:tc>
          <w:tcPr>
            <w:tcW w:w="860" w:type="dxa"/>
            <w:vAlign w:val="bottom"/>
            <w:tcBorders>
              <w:top w:val="single" w:sz="8" w:color="auto"/>
              <w:bottom w:val="single" w:sz="8" w:color="B6B6B6"/>
            </w:tcBorders>
          </w:tcPr>
          <w:p>
            <w:pPr>
              <w:spacing w:after="0" w:line="20" w:lineRule="exact"/>
              <w:rPr>
                <w:sz w:val="1"/>
                <w:szCs w:val="1"/>
                <w:color w:val="auto"/>
              </w:rPr>
            </w:pPr>
          </w:p>
        </w:tc>
        <w:tc>
          <w:tcPr>
            <w:tcW w:w="2820" w:type="dxa"/>
            <w:vAlign w:val="bottom"/>
            <w:tcBorders>
              <w:bottom w:val="single" w:sz="8" w:color="B6B6B6"/>
            </w:tcBorders>
          </w:tcPr>
          <w:p>
            <w:pPr>
              <w:spacing w:after="0" w:line="20" w:lineRule="exact"/>
              <w:rPr>
                <w:sz w:val="1"/>
                <w:szCs w:val="1"/>
                <w:color w:val="auto"/>
              </w:rPr>
            </w:pPr>
          </w:p>
        </w:tc>
        <w:tc>
          <w:tcPr>
            <w:tcW w:w="1640" w:type="dxa"/>
            <w:vAlign w:val="bottom"/>
            <w:tcBorders>
              <w:top w:val="single" w:sz="8" w:color="auto"/>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640" w:type="dxa"/>
            <w:vAlign w:val="bottom"/>
            <w:tcBorders>
              <w:top w:val="single" w:sz="8" w:color="auto"/>
              <w:bottom w:val="single" w:sz="8" w:color="B6B6B6"/>
            </w:tcBorders>
          </w:tcPr>
          <w:p>
            <w:pPr>
              <w:spacing w:after="0" w:line="20" w:lineRule="exact"/>
              <w:rPr>
                <w:sz w:val="1"/>
                <w:szCs w:val="1"/>
                <w:color w:val="auto"/>
              </w:rPr>
            </w:pPr>
          </w:p>
        </w:tc>
        <w:tc>
          <w:tcPr>
            <w:tcW w:w="21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4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860" w:type="dxa"/>
            <w:vAlign w:val="bottom"/>
            <w:tcBorders>
              <w:bottom w:val="single" w:sz="8" w:color="B6B6B6"/>
            </w:tcBorders>
            <w:shd w:val="clear" w:color="auto" w:fill="CCEEFF"/>
          </w:tcPr>
          <w:p>
            <w:pPr>
              <w:spacing w:after="0"/>
              <w:rPr>
                <w:sz w:val="19"/>
                <w:szCs w:val="19"/>
                <w:color w:val="auto"/>
              </w:rPr>
            </w:pPr>
          </w:p>
        </w:tc>
        <w:tc>
          <w:tcPr>
            <w:tcW w:w="2820" w:type="dxa"/>
            <w:vAlign w:val="bottom"/>
            <w:tcBorders>
              <w:bottom w:val="single" w:sz="8" w:color="B6B6B6"/>
              <w:right w:val="single" w:sz="8" w:color="CCEEFF"/>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500" w:type="dxa"/>
            <w:vAlign w:val="bottom"/>
            <w:tcBorders>
              <w:bottom w:val="single" w:sz="8" w:color="B6B6B6"/>
              <w:right w:val="single" w:sz="8" w:color="CCEEFF"/>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cataplexy or excessive daytime</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2020</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sleepiness, or EDS, in patients seven years of age</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36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and older with narcolepsy.</w:t>
            </w:r>
          </w:p>
        </w:tc>
        <w:tc>
          <w:tcPr>
            <w:tcW w:w="1640" w:type="dxa"/>
            <w:vAlign w:val="bottom"/>
          </w:tcPr>
          <w:p>
            <w:pPr>
              <w:spacing w:after="0"/>
              <w:rPr>
                <w:sz w:val="20"/>
                <w:szCs w:val="20"/>
                <w:color w:val="auto"/>
              </w:rPr>
            </w:pPr>
          </w:p>
        </w:tc>
        <w:tc>
          <w:tcPr>
            <w:tcW w:w="50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40" w:type="dxa"/>
            <w:vAlign w:val="bottom"/>
            <w:tcBorders>
              <w:left w:val="single" w:sz="8" w:color="B6B6B6"/>
              <w:right w:val="single" w:sz="8" w:color="B6B6B6"/>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Xywav® (calcium, magnesium,</w:t>
            </w:r>
          </w:p>
        </w:tc>
        <w:tc>
          <w:tcPr>
            <w:tcW w:w="860" w:type="dxa"/>
            <w:vAlign w:val="bottom"/>
            <w:tcBorders>
              <w:bottom w:val="single" w:sz="8" w:color="B6B6B6"/>
            </w:tcBorders>
          </w:tcPr>
          <w:p>
            <w:pPr>
              <w:spacing w:after="0"/>
              <w:rPr>
                <w:sz w:val="16"/>
                <w:szCs w:val="16"/>
                <w:color w:val="auto"/>
              </w:rPr>
            </w:pPr>
          </w:p>
        </w:tc>
        <w:tc>
          <w:tcPr>
            <w:tcW w:w="2820" w:type="dxa"/>
            <w:vAlign w:val="bottom"/>
            <w:tcBorders>
              <w:bottom w:val="single" w:sz="8" w:color="B6B6B6"/>
              <w:right w:val="single" w:sz="8" w:color="B6B6B6"/>
            </w:tcBorders>
          </w:tcPr>
          <w:p>
            <w:pPr>
              <w:spacing w:after="0"/>
              <w:rPr>
                <w:sz w:val="16"/>
                <w:szCs w:val="16"/>
                <w:color w:val="auto"/>
              </w:rPr>
            </w:pPr>
          </w:p>
        </w:tc>
        <w:tc>
          <w:tcPr>
            <w:tcW w:w="1640" w:type="dxa"/>
            <w:vAlign w:val="bottom"/>
            <w:tcBorders>
              <w:bottom w:val="single" w:sz="8" w:color="B6B6B6"/>
            </w:tcBorders>
          </w:tcPr>
          <w:p>
            <w:pPr>
              <w:spacing w:after="0"/>
              <w:rPr>
                <w:sz w:val="16"/>
                <w:szCs w:val="16"/>
                <w:color w:val="auto"/>
              </w:rPr>
            </w:pPr>
          </w:p>
        </w:tc>
        <w:tc>
          <w:tcPr>
            <w:tcW w:w="500" w:type="dxa"/>
            <w:vAlign w:val="bottom"/>
            <w:tcBorders>
              <w:bottom w:val="single" w:sz="8" w:color="B6B6B6"/>
              <w:right w:val="single" w:sz="8" w:color="B6B6B6"/>
            </w:tcBorders>
          </w:tcPr>
          <w:p>
            <w:pPr>
              <w:spacing w:after="0"/>
              <w:rPr>
                <w:sz w:val="16"/>
                <w:szCs w:val="16"/>
                <w:color w:val="auto"/>
              </w:rPr>
            </w:pPr>
          </w:p>
        </w:tc>
        <w:tc>
          <w:tcPr>
            <w:tcW w:w="640" w:type="dxa"/>
            <w:vAlign w:val="bottom"/>
            <w:tcBorders>
              <w:bottom w:val="single" w:sz="8" w:color="B6B6B6"/>
            </w:tcBorders>
          </w:tcPr>
          <w:p>
            <w:pPr>
              <w:spacing w:after="0"/>
              <w:rPr>
                <w:sz w:val="16"/>
                <w:szCs w:val="16"/>
                <w:color w:val="auto"/>
              </w:rPr>
            </w:pPr>
          </w:p>
        </w:tc>
        <w:tc>
          <w:tcPr>
            <w:tcW w:w="2160" w:type="dxa"/>
            <w:vAlign w:val="bottom"/>
            <w:tcBorders>
              <w:bottom w:val="single" w:sz="8" w:color="B6B6B6"/>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potassium, and sodium oxybates)</w:t>
            </w: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idiopathic hypersomnia, or IH, in</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2021</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adults.</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cataplexy in patients with</w:t>
            </w:r>
          </w:p>
        </w:tc>
        <w:tc>
          <w:tcPr>
            <w:tcW w:w="214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May 2023</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narcolepsy.</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seizures associated with Lennox-</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June 2018</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Epidiolex® (cannabidiol)</w:t>
            </w: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Gastaut syndrome, or LGS, Dravet syndrome, or</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680" w:type="dxa"/>
            <w:vAlign w:val="bottom"/>
            <w:tcBorders>
              <w:right w:val="single" w:sz="8" w:color="B6B6B6"/>
            </w:tcBorders>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DS, or tuberous sclerosis complex, or TSC, in</w:t>
            </w:r>
          </w:p>
        </w:tc>
        <w:tc>
          <w:tcPr>
            <w:tcW w:w="1640" w:type="dxa"/>
            <w:vAlign w:val="bottom"/>
            <w:shd w:val="clear" w:color="auto" w:fill="CCEEFF"/>
          </w:tcPr>
          <w:p>
            <w:pPr>
              <w:spacing w:after="0"/>
              <w:rPr>
                <w:sz w:val="12"/>
                <w:szCs w:val="12"/>
                <w:color w:val="auto"/>
              </w:rPr>
            </w:pPr>
          </w:p>
        </w:tc>
        <w:tc>
          <w:tcPr>
            <w:tcW w:w="50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640" w:type="dxa"/>
            <w:vAlign w:val="bottom"/>
            <w:tcBorders>
              <w:left w:val="single" w:sz="8" w:color="B6B6B6"/>
            </w:tcBorders>
            <w:shd w:val="clear" w:color="auto" w:fill="CCEEFF"/>
          </w:tcPr>
          <w:p>
            <w:pPr>
              <w:spacing w:after="0"/>
              <w:rPr>
                <w:sz w:val="3"/>
                <w:szCs w:val="3"/>
                <w:color w:val="auto"/>
              </w:rPr>
            </w:pPr>
          </w:p>
        </w:tc>
        <w:tc>
          <w:tcPr>
            <w:tcW w:w="2000" w:type="dxa"/>
            <w:vAlign w:val="bottom"/>
            <w:tcBorders>
              <w:right w:val="single" w:sz="8" w:color="B6B6B6"/>
            </w:tcBorders>
            <w:shd w:val="clear" w:color="auto" w:fill="CCEEFF"/>
          </w:tcPr>
          <w:p>
            <w:pPr>
              <w:spacing w:after="0"/>
              <w:rPr>
                <w:sz w:val="3"/>
                <w:szCs w:val="3"/>
                <w:color w:val="auto"/>
              </w:rPr>
            </w:pPr>
          </w:p>
        </w:tc>
        <w:tc>
          <w:tcPr>
            <w:tcW w:w="3680" w:type="dxa"/>
            <w:vAlign w:val="bottom"/>
            <w:tcBorders>
              <w:right w:val="single" w:sz="8" w:color="B6B6B6"/>
            </w:tcBorders>
            <w:gridSpan w:val="2"/>
            <w:vMerge w:val="continue"/>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500" w:type="dxa"/>
            <w:vAlign w:val="bottom"/>
            <w:tcBorders>
              <w:right w:val="single" w:sz="8" w:color="B6B6B6"/>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60" w:type="dxa"/>
            <w:vAlign w:val="bottom"/>
            <w:tcBorders>
              <w:right w:val="single" w:sz="8" w:color="B6B6B6"/>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40" w:type="dxa"/>
            <w:vAlign w:val="bottom"/>
            <w:tcBorders>
              <w:left w:val="single" w:sz="8" w:color="B6B6B6"/>
              <w:bottom w:val="single" w:sz="8" w:color="B6B6B6"/>
            </w:tcBorders>
            <w:shd w:val="clear" w:color="auto" w:fill="CCEEFF"/>
          </w:tcPr>
          <w:p>
            <w:pPr>
              <w:spacing w:after="0"/>
              <w:rPr>
                <w:sz w:val="19"/>
                <w:szCs w:val="19"/>
                <w:color w:val="auto"/>
              </w:rPr>
            </w:pPr>
          </w:p>
        </w:tc>
        <w:tc>
          <w:tcPr>
            <w:tcW w:w="2000" w:type="dxa"/>
            <w:vAlign w:val="bottom"/>
            <w:tcBorders>
              <w:bottom w:val="single" w:sz="8" w:color="B6B6B6"/>
              <w:right w:val="single" w:sz="8" w:color="B6B6B6"/>
            </w:tcBorders>
            <w:shd w:val="clear" w:color="auto" w:fill="CCEEFF"/>
          </w:tcPr>
          <w:p>
            <w:pPr>
              <w:spacing w:after="0"/>
              <w:rPr>
                <w:sz w:val="19"/>
                <w:szCs w:val="19"/>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patients 1 year of age and older.</w:t>
            </w:r>
          </w:p>
        </w:tc>
        <w:tc>
          <w:tcPr>
            <w:tcW w:w="1640" w:type="dxa"/>
            <w:vAlign w:val="bottom"/>
            <w:tcBorders>
              <w:bottom w:val="single" w:sz="8" w:color="B6B6B6"/>
            </w:tcBorders>
            <w:shd w:val="clear" w:color="auto" w:fill="CCEEFF"/>
          </w:tcPr>
          <w:p>
            <w:pPr>
              <w:spacing w:after="0"/>
              <w:rPr>
                <w:sz w:val="19"/>
                <w:szCs w:val="19"/>
                <w:color w:val="auto"/>
              </w:rPr>
            </w:pPr>
          </w:p>
        </w:tc>
        <w:tc>
          <w:tcPr>
            <w:tcW w:w="500" w:type="dxa"/>
            <w:vAlign w:val="bottom"/>
            <w:tcBorders>
              <w:bottom w:val="single" w:sz="8" w:color="B6B6B6"/>
              <w:right w:val="single" w:sz="8" w:color="B6B6B6"/>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2019</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EU, Great Britain, EEA</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 Israel,</w:t>
            </w: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LGS or DS, in conjunction with clobazam, for</w:t>
            </w: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2800" w:type="dxa"/>
            <w:vAlign w:val="bottom"/>
            <w:tcBorders>
              <w:right w:val="single" w:sz="8" w:color="B6B6B6"/>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Switzerland, Australia and New</w:t>
            </w:r>
          </w:p>
        </w:tc>
        <w:tc>
          <w:tcPr>
            <w:tcW w:w="0" w:type="dxa"/>
            <w:vAlign w:val="bottom"/>
          </w:tcPr>
          <w:p>
            <w:pPr>
              <w:spacing w:after="0"/>
              <w:rPr>
                <w:sz w:val="1"/>
                <w:szCs w:val="1"/>
                <w:color w:val="auto"/>
              </w:rPr>
            </w:pPr>
          </w:p>
        </w:tc>
      </w:tr>
      <w:tr>
        <w:trPr>
          <w:trHeight w:val="306"/>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Epidyolex® (cannabidiol)</w:t>
            </w:r>
          </w:p>
        </w:tc>
        <w:tc>
          <w:tcPr>
            <w:tcW w:w="368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patients 2 years of age and older.</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spacing w:after="0"/>
              <w:rPr>
                <w:sz w:val="24"/>
                <w:szCs w:val="24"/>
                <w:color w:val="auto"/>
              </w:rPr>
            </w:pPr>
          </w:p>
        </w:tc>
        <w:tc>
          <w:tcPr>
            <w:tcW w:w="500" w:type="dxa"/>
            <w:vAlign w:val="bottom"/>
            <w:tcBorders>
              <w:right w:val="single" w:sz="8" w:color="B6B6B6"/>
            </w:tcBorders>
            <w:shd w:val="clear" w:color="auto" w:fill="CCEEFF"/>
          </w:tcPr>
          <w:p>
            <w:pPr>
              <w:spacing w:after="0"/>
              <w:rPr>
                <w:sz w:val="24"/>
                <w:szCs w:val="24"/>
                <w:color w:val="auto"/>
              </w:rPr>
            </w:pPr>
          </w:p>
        </w:tc>
        <w:tc>
          <w:tcPr>
            <w:tcW w:w="280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Zealand</w:t>
            </w:r>
          </w:p>
        </w:tc>
        <w:tc>
          <w:tcPr>
            <w:tcW w:w="0" w:type="dxa"/>
            <w:vAlign w:val="bottom"/>
          </w:tcPr>
          <w:p>
            <w:pPr>
              <w:spacing w:after="0"/>
              <w:rPr>
                <w:sz w:val="1"/>
                <w:szCs w:val="1"/>
                <w:color w:val="auto"/>
              </w:rPr>
            </w:pPr>
          </w:p>
        </w:tc>
      </w:tr>
      <w:tr>
        <w:trPr>
          <w:trHeight w:val="120"/>
        </w:trPr>
        <w:tc>
          <w:tcPr>
            <w:tcW w:w="2640" w:type="dxa"/>
            <w:vAlign w:val="bottom"/>
            <w:tcBorders>
              <w:left w:val="single" w:sz="8" w:color="B6B6B6"/>
              <w:bottom w:val="single" w:sz="8" w:color="CCEEFF"/>
              <w:right w:val="single" w:sz="8" w:color="B6B6B6"/>
            </w:tcBorders>
            <w:gridSpan w:val="2"/>
            <w:vMerge w:val="continue"/>
            <w:shd w:val="clear" w:color="auto" w:fill="CCEEFF"/>
          </w:tcPr>
          <w:p>
            <w:pPr>
              <w:spacing w:after="0"/>
              <w:rPr>
                <w:sz w:val="10"/>
                <w:szCs w:val="10"/>
                <w:color w:val="auto"/>
              </w:rPr>
            </w:pPr>
          </w:p>
        </w:tc>
        <w:tc>
          <w:tcPr>
            <w:tcW w:w="860" w:type="dxa"/>
            <w:vAlign w:val="bottom"/>
            <w:tcBorders>
              <w:bottom w:val="single" w:sz="8" w:color="B6B6B6"/>
            </w:tcBorders>
            <w:shd w:val="clear" w:color="auto" w:fill="CCEEFF"/>
          </w:tcPr>
          <w:p>
            <w:pPr>
              <w:spacing w:after="0"/>
              <w:rPr>
                <w:sz w:val="10"/>
                <w:szCs w:val="10"/>
                <w:color w:val="auto"/>
              </w:rPr>
            </w:pPr>
          </w:p>
        </w:tc>
        <w:tc>
          <w:tcPr>
            <w:tcW w:w="2820" w:type="dxa"/>
            <w:vAlign w:val="bottom"/>
            <w:tcBorders>
              <w:bottom w:val="single" w:sz="8" w:color="B6B6B6"/>
              <w:right w:val="single" w:sz="8" w:color="B6B6B6"/>
            </w:tcBorders>
            <w:shd w:val="clear" w:color="auto" w:fill="CCEEFF"/>
          </w:tcPr>
          <w:p>
            <w:pPr>
              <w:spacing w:after="0"/>
              <w:rPr>
                <w:sz w:val="10"/>
                <w:szCs w:val="10"/>
                <w:color w:val="auto"/>
              </w:rPr>
            </w:pPr>
          </w:p>
        </w:tc>
        <w:tc>
          <w:tcPr>
            <w:tcW w:w="1640" w:type="dxa"/>
            <w:vAlign w:val="bottom"/>
            <w:tcBorders>
              <w:bottom w:val="single" w:sz="8" w:color="B6B6B6"/>
            </w:tcBorders>
            <w:shd w:val="clear" w:color="auto" w:fill="CCEEFF"/>
          </w:tcPr>
          <w:p>
            <w:pPr>
              <w:spacing w:after="0"/>
              <w:rPr>
                <w:sz w:val="10"/>
                <w:szCs w:val="10"/>
                <w:color w:val="auto"/>
              </w:rPr>
            </w:pPr>
          </w:p>
        </w:tc>
        <w:tc>
          <w:tcPr>
            <w:tcW w:w="500" w:type="dxa"/>
            <w:vAlign w:val="bottom"/>
            <w:tcBorders>
              <w:bottom w:val="single" w:sz="8" w:color="B6B6B6"/>
              <w:right w:val="single" w:sz="8" w:color="B6B6B6"/>
            </w:tcBorders>
            <w:shd w:val="clear" w:color="auto" w:fill="CCEEFF"/>
          </w:tcPr>
          <w:p>
            <w:pPr>
              <w:spacing w:after="0"/>
              <w:rPr>
                <w:sz w:val="10"/>
                <w:szCs w:val="10"/>
                <w:color w:val="auto"/>
              </w:rPr>
            </w:pPr>
          </w:p>
        </w:tc>
        <w:tc>
          <w:tcPr>
            <w:tcW w:w="640" w:type="dxa"/>
            <w:vAlign w:val="bottom"/>
            <w:tcBorders>
              <w:bottom w:val="single" w:sz="8" w:color="B6B6B6"/>
            </w:tcBorders>
            <w:shd w:val="clear" w:color="auto" w:fill="CCEEFF"/>
          </w:tcPr>
          <w:p>
            <w:pPr>
              <w:spacing w:after="0"/>
              <w:rPr>
                <w:sz w:val="10"/>
                <w:szCs w:val="10"/>
                <w:color w:val="auto"/>
              </w:rPr>
            </w:pPr>
          </w:p>
        </w:tc>
        <w:tc>
          <w:tcPr>
            <w:tcW w:w="2160" w:type="dxa"/>
            <w:vAlign w:val="bottom"/>
            <w:tcBorders>
              <w:bottom w:val="single" w:sz="8" w:color="B6B6B6"/>
              <w:right w:val="single" w:sz="8" w:color="B6B6B6"/>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April 2021</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EU, Great Britain, Israel and</w:t>
            </w: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shd w:val="clear" w:color="auto" w:fill="CCEEFF"/>
          </w:tcPr>
          <w:p>
            <w:pPr>
              <w:spacing w:after="0"/>
              <w:rPr>
                <w:sz w:val="20"/>
                <w:szCs w:val="20"/>
                <w:color w:val="auto"/>
              </w:rPr>
            </w:pPr>
          </w:p>
        </w:tc>
        <w:tc>
          <w:tcPr>
            <w:tcW w:w="2000" w:type="dxa"/>
            <w:vAlign w:val="bottom"/>
            <w:tcBorders>
              <w:right w:val="single" w:sz="8" w:color="B6B6B6"/>
            </w:tcBorders>
            <w:shd w:val="clear" w:color="auto" w:fill="CCEEFF"/>
          </w:tcPr>
          <w:p>
            <w:pPr>
              <w:spacing w:after="0"/>
              <w:rPr>
                <w:sz w:val="20"/>
                <w:szCs w:val="20"/>
                <w:color w:val="auto"/>
              </w:rPr>
            </w:pPr>
          </w:p>
        </w:tc>
        <w:tc>
          <w:tcPr>
            <w:tcW w:w="368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TSC for patients 2 years of age and older.</w:t>
            </w:r>
          </w:p>
        </w:tc>
        <w:tc>
          <w:tcPr>
            <w:tcW w:w="1640" w:type="dxa"/>
            <w:vAlign w:val="bottom"/>
            <w:shd w:val="clear" w:color="auto" w:fill="CCEEFF"/>
          </w:tcPr>
          <w:p>
            <w:pPr>
              <w:spacing w:after="0"/>
              <w:rPr>
                <w:sz w:val="20"/>
                <w:szCs w:val="20"/>
                <w:color w:val="auto"/>
              </w:rPr>
            </w:pPr>
          </w:p>
        </w:tc>
        <w:tc>
          <w:tcPr>
            <w:tcW w:w="500" w:type="dxa"/>
            <w:vAlign w:val="bottom"/>
            <w:tcBorders>
              <w:right w:val="single" w:sz="8" w:color="B6B6B6"/>
            </w:tcBorders>
            <w:shd w:val="clear" w:color="auto" w:fill="CCEEFF"/>
          </w:tcPr>
          <w:p>
            <w:pPr>
              <w:spacing w:after="0"/>
              <w:rPr>
                <w:sz w:val="20"/>
                <w:szCs w:val="20"/>
                <w:color w:val="auto"/>
              </w:rPr>
            </w:pPr>
          </w:p>
        </w:tc>
        <w:tc>
          <w:tcPr>
            <w:tcW w:w="280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171"/>
        </w:trPr>
        <w:tc>
          <w:tcPr>
            <w:tcW w:w="640" w:type="dxa"/>
            <w:vAlign w:val="bottom"/>
            <w:tcBorders>
              <w:left w:val="single" w:sz="8" w:color="B6B6B6"/>
              <w:bottom w:val="single" w:sz="8" w:color="B6B6B6"/>
            </w:tcBorders>
            <w:shd w:val="clear" w:color="auto" w:fill="CCEEFF"/>
          </w:tcPr>
          <w:p>
            <w:pPr>
              <w:spacing w:after="0"/>
              <w:rPr>
                <w:sz w:val="14"/>
                <w:szCs w:val="14"/>
                <w:color w:val="auto"/>
              </w:rPr>
            </w:pPr>
          </w:p>
        </w:tc>
        <w:tc>
          <w:tcPr>
            <w:tcW w:w="2000" w:type="dxa"/>
            <w:vAlign w:val="bottom"/>
            <w:tcBorders>
              <w:bottom w:val="single" w:sz="8" w:color="B6B6B6"/>
              <w:right w:val="single" w:sz="8" w:color="B6B6B6"/>
            </w:tcBorders>
            <w:shd w:val="clear" w:color="auto" w:fill="CCEEFF"/>
          </w:tcPr>
          <w:p>
            <w:pPr>
              <w:spacing w:after="0"/>
              <w:rPr>
                <w:sz w:val="14"/>
                <w:szCs w:val="14"/>
                <w:color w:val="auto"/>
              </w:rPr>
            </w:pPr>
          </w:p>
        </w:tc>
        <w:tc>
          <w:tcPr>
            <w:tcW w:w="860" w:type="dxa"/>
            <w:vAlign w:val="bottom"/>
            <w:tcBorders>
              <w:bottom w:val="single" w:sz="8" w:color="B6B6B6"/>
            </w:tcBorders>
            <w:shd w:val="clear" w:color="auto" w:fill="CCEEFF"/>
          </w:tcPr>
          <w:p>
            <w:pPr>
              <w:spacing w:after="0"/>
              <w:rPr>
                <w:sz w:val="14"/>
                <w:szCs w:val="14"/>
                <w:color w:val="auto"/>
              </w:rPr>
            </w:pPr>
          </w:p>
        </w:tc>
        <w:tc>
          <w:tcPr>
            <w:tcW w:w="2820" w:type="dxa"/>
            <w:vAlign w:val="bottom"/>
            <w:tcBorders>
              <w:bottom w:val="single" w:sz="8" w:color="B6B6B6"/>
              <w:right w:val="single" w:sz="8" w:color="B6B6B6"/>
            </w:tcBorders>
            <w:shd w:val="clear" w:color="auto" w:fill="CCEEFF"/>
          </w:tcPr>
          <w:p>
            <w:pPr>
              <w:spacing w:after="0"/>
              <w:rPr>
                <w:sz w:val="14"/>
                <w:szCs w:val="14"/>
                <w:color w:val="auto"/>
              </w:rPr>
            </w:pPr>
          </w:p>
        </w:tc>
        <w:tc>
          <w:tcPr>
            <w:tcW w:w="1640" w:type="dxa"/>
            <w:vAlign w:val="bottom"/>
            <w:tcBorders>
              <w:bottom w:val="single" w:sz="8" w:color="B6B6B6"/>
            </w:tcBorders>
            <w:shd w:val="clear" w:color="auto" w:fill="CCEEFF"/>
          </w:tcPr>
          <w:p>
            <w:pPr>
              <w:spacing w:after="0"/>
              <w:rPr>
                <w:sz w:val="14"/>
                <w:szCs w:val="14"/>
                <w:color w:val="auto"/>
              </w:rPr>
            </w:pPr>
          </w:p>
        </w:tc>
        <w:tc>
          <w:tcPr>
            <w:tcW w:w="500" w:type="dxa"/>
            <w:vAlign w:val="bottom"/>
            <w:tcBorders>
              <w:bottom w:val="single" w:sz="8" w:color="B6B6B6"/>
              <w:right w:val="single" w:sz="8" w:color="B6B6B6"/>
            </w:tcBorders>
            <w:shd w:val="clear" w:color="auto" w:fill="CCEEFF"/>
          </w:tcPr>
          <w:p>
            <w:pPr>
              <w:spacing w:after="0"/>
              <w:rPr>
                <w:sz w:val="14"/>
                <w:szCs w:val="14"/>
                <w:color w:val="auto"/>
              </w:rPr>
            </w:pPr>
          </w:p>
        </w:tc>
        <w:tc>
          <w:tcPr>
            <w:tcW w:w="640" w:type="dxa"/>
            <w:vAlign w:val="bottom"/>
            <w:tcBorders>
              <w:bottom w:val="single" w:sz="8" w:color="B6B6B6"/>
            </w:tcBorders>
            <w:shd w:val="clear" w:color="auto" w:fill="CCEEFF"/>
          </w:tcPr>
          <w:p>
            <w:pPr>
              <w:spacing w:after="0"/>
              <w:rPr>
                <w:sz w:val="14"/>
                <w:szCs w:val="14"/>
                <w:color w:val="auto"/>
              </w:rPr>
            </w:pPr>
          </w:p>
        </w:tc>
        <w:tc>
          <w:tcPr>
            <w:tcW w:w="2160" w:type="dxa"/>
            <w:vAlign w:val="bottom"/>
            <w:tcBorders>
              <w:bottom w:val="single" w:sz="8" w:color="B6B6B6"/>
              <w:right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Epidiolex® (cannabidiol)</w:t>
            </w: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2023</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continue"/>
            <w:shd w:val="clear" w:color="auto" w:fill="CCEEFF"/>
          </w:tcPr>
          <w:p>
            <w:pPr>
              <w:spacing w:after="0"/>
              <w:rPr>
                <w:sz w:val="16"/>
                <w:szCs w:val="16"/>
                <w:color w:val="auto"/>
              </w:rPr>
            </w:pP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LGS, DS or TSC for patients 2 years of age and</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200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older.</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tcBorders>
              <w:left w:val="single" w:sz="8" w:color="B6B6B6"/>
              <w:bottom w:val="single" w:sz="8" w:color="B6B6B6"/>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860" w:type="dxa"/>
            <w:vAlign w:val="bottom"/>
            <w:tcBorders>
              <w:bottom w:val="single" w:sz="8" w:color="B6B6B6"/>
            </w:tcBorders>
          </w:tcPr>
          <w:p>
            <w:pPr>
              <w:spacing w:after="0"/>
              <w:rPr>
                <w:sz w:val="19"/>
                <w:szCs w:val="19"/>
                <w:color w:val="auto"/>
              </w:rPr>
            </w:pPr>
          </w:p>
        </w:tc>
        <w:tc>
          <w:tcPr>
            <w:tcW w:w="2820" w:type="dxa"/>
            <w:vAlign w:val="bottom"/>
            <w:tcBorders>
              <w:bottom w:val="single" w:sz="8" w:color="B6B6B6"/>
            </w:tcBorders>
          </w:tcPr>
          <w:p>
            <w:pPr>
              <w:spacing w:after="0"/>
              <w:rPr>
                <w:sz w:val="19"/>
                <w:szCs w:val="19"/>
                <w:color w:val="auto"/>
              </w:rPr>
            </w:pPr>
          </w:p>
        </w:tc>
        <w:tc>
          <w:tcPr>
            <w:tcW w:w="1640" w:type="dxa"/>
            <w:vAlign w:val="bottom"/>
            <w:tcBorders>
              <w:bottom w:val="single" w:sz="8" w:color="B6B6B6"/>
            </w:tcBorders>
          </w:tcPr>
          <w:p>
            <w:pPr>
              <w:spacing w:after="0"/>
              <w:rPr>
                <w:sz w:val="19"/>
                <w:szCs w:val="19"/>
                <w:color w:val="auto"/>
              </w:rPr>
            </w:pPr>
          </w:p>
        </w:tc>
        <w:tc>
          <w:tcPr>
            <w:tcW w:w="500" w:type="dxa"/>
            <w:vAlign w:val="bottom"/>
            <w:tcBorders>
              <w:bottom w:val="single" w:sz="8" w:color="B6B6B6"/>
            </w:tcBorders>
          </w:tcPr>
          <w:p>
            <w:pPr>
              <w:spacing w:after="0"/>
              <w:rPr>
                <w:sz w:val="19"/>
                <w:szCs w:val="19"/>
                <w:color w:val="auto"/>
              </w:rPr>
            </w:pPr>
          </w:p>
        </w:tc>
        <w:tc>
          <w:tcPr>
            <w:tcW w:w="640" w:type="dxa"/>
            <w:vAlign w:val="bottom"/>
            <w:tcBorders>
              <w:bottom w:val="single" w:sz="8" w:color="B6B6B6"/>
            </w:tcBorders>
          </w:tcPr>
          <w:p>
            <w:pPr>
              <w:spacing w:after="0"/>
              <w:rPr>
                <w:sz w:val="19"/>
                <w:szCs w:val="19"/>
                <w:color w:val="auto"/>
              </w:rPr>
            </w:pPr>
          </w:p>
        </w:tc>
        <w:tc>
          <w:tcPr>
            <w:tcW w:w="2160" w:type="dxa"/>
            <w:vAlign w:val="bottom"/>
            <w:tcBorders>
              <w:bottom w:val="single" w:sz="8" w:color="B6B6B6"/>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June 2021</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Rylaze® (asparaginase erwinia</w:t>
            </w: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acute lymphoblastic</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gridSpan w:val="2"/>
            <w:vMerge w:val="continue"/>
            <w:shd w:val="clear" w:color="auto" w:fill="CCEEFF"/>
          </w:tcPr>
          <w:p>
            <w:pPr>
              <w:spacing w:after="0"/>
              <w:rPr>
                <w:sz w:val="7"/>
                <w:szCs w:val="7"/>
                <w:color w:val="auto"/>
              </w:rPr>
            </w:pPr>
          </w:p>
        </w:tc>
        <w:tc>
          <w:tcPr>
            <w:tcW w:w="3680" w:type="dxa"/>
            <w:vAlign w:val="bottom"/>
            <w:tcBorders>
              <w:right w:val="single" w:sz="8" w:color="B6B6B6"/>
            </w:tcBorders>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leukemia, or ALL, and lymphoblastic lymphoma,</w:t>
            </w:r>
          </w:p>
        </w:tc>
        <w:tc>
          <w:tcPr>
            <w:tcW w:w="1640" w:type="dxa"/>
            <w:vAlign w:val="bottom"/>
            <w:shd w:val="clear" w:color="auto" w:fill="CCEEFF"/>
          </w:tcPr>
          <w:p>
            <w:pPr>
              <w:spacing w:after="0"/>
              <w:rPr>
                <w:sz w:val="7"/>
                <w:szCs w:val="7"/>
                <w:color w:val="auto"/>
              </w:rPr>
            </w:pPr>
          </w:p>
        </w:tc>
        <w:tc>
          <w:tcPr>
            <w:tcW w:w="50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6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2"/>
            <w:vMerge w:val="restart"/>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chrysanthemi (recombinant)-</w:t>
            </w:r>
          </w:p>
        </w:tc>
        <w:tc>
          <w:tcPr>
            <w:tcW w:w="3680" w:type="dxa"/>
            <w:vAlign w:val="bottom"/>
            <w:tcBorders>
              <w:right w:val="single" w:sz="8" w:color="B6B6B6"/>
            </w:tcBorders>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500" w:type="dxa"/>
            <w:vAlign w:val="bottom"/>
            <w:tcBorders>
              <w:right w:val="single" w:sz="8" w:color="B6B6B6"/>
            </w:tcBorders>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160" w:type="dxa"/>
            <w:vAlign w:val="bottom"/>
            <w:tcBorders>
              <w:right w:val="single" w:sz="8" w:color="B6B6B6"/>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640" w:type="dxa"/>
            <w:vAlign w:val="bottom"/>
            <w:tcBorders>
              <w:left w:val="single" w:sz="8" w:color="B6B6B6"/>
              <w:right w:val="single" w:sz="8" w:color="B6B6B6"/>
            </w:tcBorders>
            <w:gridSpan w:val="2"/>
            <w:vMerge w:val="continue"/>
            <w:shd w:val="clear" w:color="auto" w:fill="CCEEFF"/>
          </w:tcPr>
          <w:p>
            <w:pPr>
              <w:spacing w:after="0"/>
              <w:rPr>
                <w:sz w:val="7"/>
                <w:szCs w:val="7"/>
                <w:color w:val="auto"/>
              </w:rPr>
            </w:pPr>
          </w:p>
        </w:tc>
        <w:tc>
          <w:tcPr>
            <w:tcW w:w="3680" w:type="dxa"/>
            <w:vAlign w:val="bottom"/>
            <w:tcBorders>
              <w:right w:val="single" w:sz="8" w:color="B6B6B6"/>
            </w:tcBorders>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or LBL, in adult and pediatric patients 1 month or</w:t>
            </w:r>
          </w:p>
        </w:tc>
        <w:tc>
          <w:tcPr>
            <w:tcW w:w="1640" w:type="dxa"/>
            <w:vAlign w:val="bottom"/>
            <w:shd w:val="clear" w:color="auto" w:fill="CCEEFF"/>
          </w:tcPr>
          <w:p>
            <w:pPr>
              <w:spacing w:after="0"/>
              <w:rPr>
                <w:sz w:val="7"/>
                <w:szCs w:val="7"/>
                <w:color w:val="auto"/>
              </w:rPr>
            </w:pPr>
          </w:p>
        </w:tc>
        <w:tc>
          <w:tcPr>
            <w:tcW w:w="50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6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rywn)</w:t>
            </w:r>
          </w:p>
        </w:tc>
        <w:tc>
          <w:tcPr>
            <w:tcW w:w="3680" w:type="dxa"/>
            <w:vAlign w:val="bottom"/>
            <w:tcBorders>
              <w:right w:val="single" w:sz="8" w:color="B6B6B6"/>
            </w:tcBorders>
            <w:gridSpan w:val="2"/>
            <w:vMerge w:val="continue"/>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50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6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64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680" w:type="dxa"/>
            <w:vAlign w:val="bottom"/>
            <w:tcBorders>
              <w:right w:val="single" w:sz="8" w:color="B6B6B6"/>
            </w:tcBorders>
            <w:gridSpan w:val="2"/>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older who have developed hypersensitivity to E.</w:t>
            </w:r>
          </w:p>
        </w:tc>
        <w:tc>
          <w:tcPr>
            <w:tcW w:w="1640" w:type="dxa"/>
            <w:vAlign w:val="bottom"/>
            <w:shd w:val="clear" w:color="auto" w:fill="CCEEFF"/>
          </w:tcPr>
          <w:p>
            <w:pPr>
              <w:spacing w:after="0"/>
              <w:rPr>
                <w:sz w:val="12"/>
                <w:szCs w:val="12"/>
                <w:color w:val="auto"/>
              </w:rPr>
            </w:pPr>
          </w:p>
        </w:tc>
        <w:tc>
          <w:tcPr>
            <w:tcW w:w="50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B6B6B6"/>
            </w:tcBorders>
            <w:shd w:val="clear" w:color="auto" w:fill="CCEEFF"/>
          </w:tcPr>
          <w:p>
            <w:pPr>
              <w:spacing w:after="0"/>
              <w:rPr>
                <w:sz w:val="3"/>
                <w:szCs w:val="3"/>
                <w:color w:val="auto"/>
              </w:rPr>
            </w:pPr>
          </w:p>
        </w:tc>
        <w:tc>
          <w:tcPr>
            <w:tcW w:w="2000" w:type="dxa"/>
            <w:vAlign w:val="bottom"/>
            <w:tcBorders>
              <w:right w:val="single" w:sz="8" w:color="B6B6B6"/>
            </w:tcBorders>
            <w:shd w:val="clear" w:color="auto" w:fill="CCEEFF"/>
          </w:tcPr>
          <w:p>
            <w:pPr>
              <w:spacing w:after="0"/>
              <w:rPr>
                <w:sz w:val="3"/>
                <w:szCs w:val="3"/>
                <w:color w:val="auto"/>
              </w:rPr>
            </w:pPr>
          </w:p>
        </w:tc>
        <w:tc>
          <w:tcPr>
            <w:tcW w:w="3680" w:type="dxa"/>
            <w:vAlign w:val="bottom"/>
            <w:tcBorders>
              <w:right w:val="single" w:sz="8" w:color="B6B6B6"/>
            </w:tcBorders>
            <w:gridSpan w:val="2"/>
            <w:vMerge w:val="continue"/>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500" w:type="dxa"/>
            <w:vAlign w:val="bottom"/>
            <w:tcBorders>
              <w:right w:val="single" w:sz="8" w:color="B6B6B6"/>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60" w:type="dxa"/>
            <w:vAlign w:val="bottom"/>
            <w:tcBorders>
              <w:right w:val="single" w:sz="8" w:color="B6B6B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200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coli-derived asparaginase.</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2022</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Rylaze® (crisantaspase</w:t>
            </w: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gridSpan w:val="2"/>
            <w:vMerge w:val="continue"/>
            <w:shd w:val="clear" w:color="auto" w:fill="CCEEFF"/>
          </w:tcPr>
          <w:p>
            <w:pPr>
              <w:spacing w:after="0"/>
              <w:rPr>
                <w:sz w:val="7"/>
                <w:szCs w:val="7"/>
                <w:color w:val="auto"/>
              </w:rPr>
            </w:pPr>
          </w:p>
        </w:tc>
        <w:tc>
          <w:tcPr>
            <w:tcW w:w="3680" w:type="dxa"/>
            <w:vAlign w:val="bottom"/>
            <w:tcBorders>
              <w:right w:val="single" w:sz="8" w:color="B6B6B6"/>
            </w:tcBorders>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adults and pediatric patients 1 year or older who</w:t>
            </w:r>
          </w:p>
        </w:tc>
        <w:tc>
          <w:tcPr>
            <w:tcW w:w="1640" w:type="dxa"/>
            <w:vAlign w:val="bottom"/>
            <w:shd w:val="clear" w:color="auto" w:fill="CCEEFF"/>
          </w:tcPr>
          <w:p>
            <w:pPr>
              <w:spacing w:after="0"/>
              <w:rPr>
                <w:sz w:val="7"/>
                <w:szCs w:val="7"/>
                <w:color w:val="auto"/>
              </w:rPr>
            </w:pPr>
          </w:p>
        </w:tc>
        <w:tc>
          <w:tcPr>
            <w:tcW w:w="50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6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recombinant)</w:t>
            </w:r>
          </w:p>
        </w:tc>
        <w:tc>
          <w:tcPr>
            <w:tcW w:w="3680" w:type="dxa"/>
            <w:vAlign w:val="bottom"/>
            <w:tcBorders>
              <w:right w:val="single" w:sz="8" w:color="B6B6B6"/>
            </w:tcBorders>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500" w:type="dxa"/>
            <w:vAlign w:val="bottom"/>
            <w:tcBorders>
              <w:right w:val="single" w:sz="8" w:color="B6B6B6"/>
            </w:tcBorders>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160" w:type="dxa"/>
            <w:vAlign w:val="bottom"/>
            <w:tcBorders>
              <w:right w:val="single" w:sz="8" w:color="B6B6B6"/>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680" w:type="dxa"/>
            <w:vAlign w:val="bottom"/>
            <w:tcBorders>
              <w:right w:val="single" w:sz="8" w:color="B6B6B6"/>
            </w:tcBorders>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have developed hypersensitivity to</w:t>
            </w:r>
          </w:p>
        </w:tc>
        <w:tc>
          <w:tcPr>
            <w:tcW w:w="1640" w:type="dxa"/>
            <w:vAlign w:val="bottom"/>
            <w:shd w:val="clear" w:color="auto" w:fill="CCEEFF"/>
          </w:tcPr>
          <w:p>
            <w:pPr>
              <w:spacing w:after="0"/>
              <w:rPr>
                <w:sz w:val="12"/>
                <w:szCs w:val="12"/>
                <w:color w:val="auto"/>
              </w:rPr>
            </w:pPr>
          </w:p>
        </w:tc>
        <w:tc>
          <w:tcPr>
            <w:tcW w:w="50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B6B6B6"/>
            </w:tcBorders>
            <w:shd w:val="clear" w:color="auto" w:fill="CCEEFF"/>
          </w:tcPr>
          <w:p>
            <w:pPr>
              <w:spacing w:after="0"/>
              <w:rPr>
                <w:sz w:val="3"/>
                <w:szCs w:val="3"/>
                <w:color w:val="auto"/>
              </w:rPr>
            </w:pPr>
          </w:p>
        </w:tc>
        <w:tc>
          <w:tcPr>
            <w:tcW w:w="2000" w:type="dxa"/>
            <w:vAlign w:val="bottom"/>
            <w:tcBorders>
              <w:right w:val="single" w:sz="8" w:color="B6B6B6"/>
            </w:tcBorders>
            <w:shd w:val="clear" w:color="auto" w:fill="CCEEFF"/>
          </w:tcPr>
          <w:p>
            <w:pPr>
              <w:spacing w:after="0"/>
              <w:rPr>
                <w:sz w:val="3"/>
                <w:szCs w:val="3"/>
                <w:color w:val="auto"/>
              </w:rPr>
            </w:pPr>
          </w:p>
        </w:tc>
        <w:tc>
          <w:tcPr>
            <w:tcW w:w="3680" w:type="dxa"/>
            <w:vAlign w:val="bottom"/>
            <w:tcBorders>
              <w:right w:val="single" w:sz="8" w:color="B6B6B6"/>
            </w:tcBorders>
            <w:gridSpan w:val="2"/>
            <w:vMerge w:val="continue"/>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500" w:type="dxa"/>
            <w:vAlign w:val="bottom"/>
            <w:tcBorders>
              <w:right w:val="single" w:sz="8" w:color="B6B6B6"/>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60" w:type="dxa"/>
            <w:vAlign w:val="bottom"/>
            <w:tcBorders>
              <w:right w:val="single" w:sz="8" w:color="B6B6B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640" w:type="dxa"/>
            <w:vAlign w:val="bottom"/>
            <w:tcBorders>
              <w:left w:val="single" w:sz="8" w:color="B6B6B6"/>
              <w:bottom w:val="single" w:sz="8" w:color="929292"/>
            </w:tcBorders>
            <w:shd w:val="clear" w:color="auto" w:fill="CCEEFF"/>
          </w:tcPr>
          <w:p>
            <w:pPr>
              <w:spacing w:after="0"/>
              <w:rPr>
                <w:sz w:val="20"/>
                <w:szCs w:val="20"/>
                <w:color w:val="auto"/>
              </w:rPr>
            </w:pPr>
          </w:p>
        </w:tc>
        <w:tc>
          <w:tcPr>
            <w:tcW w:w="2000" w:type="dxa"/>
            <w:vAlign w:val="bottom"/>
            <w:tcBorders>
              <w:bottom w:val="single" w:sz="8" w:color="929292"/>
              <w:right w:val="single" w:sz="8" w:color="B6B6B6"/>
            </w:tcBorders>
            <w:shd w:val="clear" w:color="auto" w:fill="CCEEFF"/>
          </w:tcPr>
          <w:p>
            <w:pPr>
              <w:spacing w:after="0"/>
              <w:rPr>
                <w:sz w:val="20"/>
                <w:szCs w:val="20"/>
                <w:color w:val="auto"/>
              </w:rPr>
            </w:pPr>
          </w:p>
        </w:tc>
        <w:tc>
          <w:tcPr>
            <w:tcW w:w="3680" w:type="dxa"/>
            <w:vAlign w:val="bottom"/>
            <w:tcBorders>
              <w:bottom w:val="single" w:sz="8" w:color="929292"/>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coli-derived asparaginase.</w:t>
            </w:r>
          </w:p>
        </w:tc>
        <w:tc>
          <w:tcPr>
            <w:tcW w:w="1640" w:type="dxa"/>
            <w:vAlign w:val="bottom"/>
            <w:tcBorders>
              <w:bottom w:val="single" w:sz="8" w:color="929292"/>
            </w:tcBorders>
            <w:shd w:val="clear" w:color="auto" w:fill="CCEEFF"/>
          </w:tcPr>
          <w:p>
            <w:pPr>
              <w:spacing w:after="0"/>
              <w:rPr>
                <w:sz w:val="20"/>
                <w:szCs w:val="20"/>
                <w:color w:val="auto"/>
              </w:rPr>
            </w:pPr>
          </w:p>
        </w:tc>
        <w:tc>
          <w:tcPr>
            <w:tcW w:w="500" w:type="dxa"/>
            <w:vAlign w:val="bottom"/>
            <w:tcBorders>
              <w:bottom w:val="single" w:sz="8" w:color="929292"/>
              <w:right w:val="single" w:sz="8" w:color="B6B6B6"/>
            </w:tcBorders>
            <w:shd w:val="clear" w:color="auto" w:fill="CCEEFF"/>
          </w:tcPr>
          <w:p>
            <w:pPr>
              <w:spacing w:after="0"/>
              <w:rPr>
                <w:sz w:val="20"/>
                <w:szCs w:val="20"/>
                <w:color w:val="auto"/>
              </w:rPr>
            </w:pPr>
          </w:p>
        </w:tc>
        <w:tc>
          <w:tcPr>
            <w:tcW w:w="640" w:type="dxa"/>
            <w:vAlign w:val="bottom"/>
            <w:tcBorders>
              <w:bottom w:val="single" w:sz="8" w:color="929292"/>
            </w:tcBorders>
            <w:shd w:val="clear" w:color="auto" w:fill="CCEEFF"/>
          </w:tcPr>
          <w:p>
            <w:pPr>
              <w:spacing w:after="0"/>
              <w:rPr>
                <w:sz w:val="20"/>
                <w:szCs w:val="20"/>
                <w:color w:val="auto"/>
              </w:rPr>
            </w:pPr>
          </w:p>
        </w:tc>
        <w:tc>
          <w:tcPr>
            <w:tcW w:w="2160" w:type="dxa"/>
            <w:vAlign w:val="bottom"/>
            <w:tcBorders>
              <w:bottom w:val="single" w:sz="8" w:color="929292"/>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September 2023</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EU, Great Britain</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Enrylaze® (recombinant</w:t>
            </w: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gridSpan w:val="2"/>
            <w:vMerge w:val="continue"/>
            <w:shd w:val="clear" w:color="auto" w:fill="CCEEFF"/>
          </w:tcPr>
          <w:p>
            <w:pPr>
              <w:spacing w:after="0"/>
              <w:rPr>
                <w:sz w:val="7"/>
                <w:szCs w:val="7"/>
                <w:color w:val="auto"/>
              </w:rPr>
            </w:pPr>
          </w:p>
        </w:tc>
        <w:tc>
          <w:tcPr>
            <w:tcW w:w="3680" w:type="dxa"/>
            <w:vAlign w:val="bottom"/>
            <w:tcBorders>
              <w:right w:val="single" w:sz="8" w:color="B6B6B6"/>
            </w:tcBorders>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adult and pediatric patients (1 month and older)</w:t>
            </w:r>
          </w:p>
        </w:tc>
        <w:tc>
          <w:tcPr>
            <w:tcW w:w="1640" w:type="dxa"/>
            <w:vAlign w:val="bottom"/>
            <w:shd w:val="clear" w:color="auto" w:fill="CCEEFF"/>
          </w:tcPr>
          <w:p>
            <w:pPr>
              <w:spacing w:after="0"/>
              <w:rPr>
                <w:sz w:val="7"/>
                <w:szCs w:val="7"/>
                <w:color w:val="auto"/>
              </w:rPr>
            </w:pPr>
          </w:p>
        </w:tc>
        <w:tc>
          <w:tcPr>
            <w:tcW w:w="50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6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crisantaspase)</w:t>
            </w:r>
          </w:p>
        </w:tc>
        <w:tc>
          <w:tcPr>
            <w:tcW w:w="3680" w:type="dxa"/>
            <w:vAlign w:val="bottom"/>
            <w:tcBorders>
              <w:right w:val="single" w:sz="8" w:color="B6B6B6"/>
            </w:tcBorders>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500" w:type="dxa"/>
            <w:vAlign w:val="bottom"/>
            <w:tcBorders>
              <w:right w:val="single" w:sz="8" w:color="B6B6B6"/>
            </w:tcBorders>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160" w:type="dxa"/>
            <w:vAlign w:val="bottom"/>
            <w:tcBorders>
              <w:right w:val="single" w:sz="8" w:color="B6B6B6"/>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680" w:type="dxa"/>
            <w:vAlign w:val="bottom"/>
            <w:tcBorders>
              <w:right w:val="single" w:sz="8" w:color="B6B6B6"/>
            </w:tcBorders>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who have developed hypersensitivity or silent</w:t>
            </w:r>
          </w:p>
        </w:tc>
        <w:tc>
          <w:tcPr>
            <w:tcW w:w="1640" w:type="dxa"/>
            <w:vAlign w:val="bottom"/>
            <w:shd w:val="clear" w:color="auto" w:fill="CCEEFF"/>
          </w:tcPr>
          <w:p>
            <w:pPr>
              <w:spacing w:after="0"/>
              <w:rPr>
                <w:sz w:val="12"/>
                <w:szCs w:val="12"/>
                <w:color w:val="auto"/>
              </w:rPr>
            </w:pPr>
          </w:p>
        </w:tc>
        <w:tc>
          <w:tcPr>
            <w:tcW w:w="50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B6B6B6"/>
            </w:tcBorders>
            <w:shd w:val="clear" w:color="auto" w:fill="CCEEFF"/>
          </w:tcPr>
          <w:p>
            <w:pPr>
              <w:spacing w:after="0"/>
              <w:rPr>
                <w:sz w:val="3"/>
                <w:szCs w:val="3"/>
                <w:color w:val="auto"/>
              </w:rPr>
            </w:pPr>
          </w:p>
        </w:tc>
        <w:tc>
          <w:tcPr>
            <w:tcW w:w="2000" w:type="dxa"/>
            <w:vAlign w:val="bottom"/>
            <w:tcBorders>
              <w:right w:val="single" w:sz="8" w:color="B6B6B6"/>
            </w:tcBorders>
            <w:shd w:val="clear" w:color="auto" w:fill="CCEEFF"/>
          </w:tcPr>
          <w:p>
            <w:pPr>
              <w:spacing w:after="0"/>
              <w:rPr>
                <w:sz w:val="3"/>
                <w:szCs w:val="3"/>
                <w:color w:val="auto"/>
              </w:rPr>
            </w:pPr>
          </w:p>
        </w:tc>
        <w:tc>
          <w:tcPr>
            <w:tcW w:w="3680" w:type="dxa"/>
            <w:vAlign w:val="bottom"/>
            <w:tcBorders>
              <w:right w:val="single" w:sz="8" w:color="B6B6B6"/>
            </w:tcBorders>
            <w:gridSpan w:val="2"/>
            <w:vMerge w:val="continue"/>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500" w:type="dxa"/>
            <w:vAlign w:val="bottom"/>
            <w:tcBorders>
              <w:right w:val="single" w:sz="8" w:color="B6B6B6"/>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60" w:type="dxa"/>
            <w:vAlign w:val="bottom"/>
            <w:tcBorders>
              <w:right w:val="single" w:sz="8" w:color="B6B6B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200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inactivation to E. coli-derived asparaginase.</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adult patients with metastatic small</w:t>
            </w:r>
          </w:p>
        </w:tc>
        <w:tc>
          <w:tcPr>
            <w:tcW w:w="214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June 2020</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w w:val="99"/>
              </w:rPr>
              <w:t>U.S. (licensed from Pharma Mar S.A.,</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cell lung cancer, or SCLC, with disease</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gridSpan w:val="2"/>
          </w:tcPr>
          <w:p>
            <w:pPr>
              <w:spacing w:after="0" w:line="185" w:lineRule="exact"/>
              <w:rPr>
                <w:sz w:val="20"/>
                <w:szCs w:val="20"/>
                <w:color w:val="auto"/>
              </w:rPr>
            </w:pPr>
            <w:r>
              <w:rPr>
                <w:rFonts w:ascii="Times New Roman" w:cs="Times New Roman" w:eastAsia="Times New Roman" w:hAnsi="Times New Roman"/>
                <w:sz w:val="17"/>
                <w:szCs w:val="17"/>
                <w:color w:val="auto"/>
              </w:rPr>
              <w:t>or PharmaMar)</w:t>
            </w:r>
            <w:r>
              <w:rPr>
                <w:rFonts w:ascii="Times New Roman" w:cs="Times New Roman" w:eastAsia="Times New Roman" w:hAnsi="Times New Roman"/>
                <w:sz w:val="21"/>
                <w:szCs w:val="21"/>
                <w:color w:val="auto"/>
                <w:vertAlign w:val="superscript"/>
              </w:rPr>
              <w:t>3</w:t>
            </w: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progression on or after platinum-based</w:t>
            </w:r>
          </w:p>
        </w:tc>
        <w:tc>
          <w:tcPr>
            <w:tcW w:w="1640" w:type="dxa"/>
            <w:vAlign w:val="bottom"/>
          </w:tcPr>
          <w:p>
            <w:pPr>
              <w:spacing w:after="0"/>
              <w:rPr>
                <w:sz w:val="15"/>
                <w:szCs w:val="15"/>
                <w:color w:val="auto"/>
              </w:rPr>
            </w:pPr>
          </w:p>
        </w:tc>
        <w:tc>
          <w:tcPr>
            <w:tcW w:w="50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B6B6B6"/>
              <w:right w:val="single" w:sz="8" w:color="B6B6B6"/>
            </w:tcBorders>
            <w:gridSpan w:val="2"/>
          </w:tcPr>
          <w:p>
            <w:pPr>
              <w:ind w:left="40"/>
              <w:spacing w:after="0"/>
              <w:rPr>
                <w:sz w:val="20"/>
                <w:szCs w:val="20"/>
                <w:color w:val="auto"/>
              </w:rPr>
            </w:pPr>
            <w:r>
              <w:rPr>
                <w:rFonts w:ascii="Times New Roman" w:cs="Times New Roman" w:eastAsia="Times New Roman" w:hAnsi="Times New Roman"/>
                <w:sz w:val="18"/>
                <w:szCs w:val="18"/>
                <w:color w:val="auto"/>
              </w:rPr>
              <w:t>Zepzelca® (lurbinectedin)</w:t>
            </w: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chemotherapy.</w:t>
            </w:r>
          </w:p>
        </w:tc>
        <w:tc>
          <w:tcPr>
            <w:tcW w:w="1640" w:type="dxa"/>
            <w:vAlign w:val="bottom"/>
            <w:tcBorders>
              <w:bottom w:val="single" w:sz="8" w:color="B6B6B6"/>
            </w:tcBorders>
          </w:tcPr>
          <w:p>
            <w:pPr>
              <w:spacing w:after="0"/>
              <w:rPr>
                <w:sz w:val="21"/>
                <w:szCs w:val="21"/>
                <w:color w:val="auto"/>
              </w:rPr>
            </w:pPr>
          </w:p>
        </w:tc>
        <w:tc>
          <w:tcPr>
            <w:tcW w:w="500" w:type="dxa"/>
            <w:vAlign w:val="bottom"/>
            <w:tcBorders>
              <w:bottom w:val="single" w:sz="8" w:color="B6B6B6"/>
              <w:right w:val="single" w:sz="8" w:color="B6B6B6"/>
            </w:tcBorders>
          </w:tcPr>
          <w:p>
            <w:pPr>
              <w:spacing w:after="0"/>
              <w:rPr>
                <w:sz w:val="21"/>
                <w:szCs w:val="21"/>
                <w:color w:val="auto"/>
              </w:rPr>
            </w:pPr>
          </w:p>
        </w:tc>
        <w:tc>
          <w:tcPr>
            <w:tcW w:w="640" w:type="dxa"/>
            <w:vAlign w:val="bottom"/>
            <w:tcBorders>
              <w:bottom w:val="single" w:sz="8" w:color="B6B6B6"/>
            </w:tcBorders>
          </w:tcPr>
          <w:p>
            <w:pPr>
              <w:spacing w:after="0"/>
              <w:rPr>
                <w:sz w:val="21"/>
                <w:szCs w:val="21"/>
                <w:color w:val="auto"/>
              </w:rPr>
            </w:pPr>
          </w:p>
        </w:tc>
        <w:tc>
          <w:tcPr>
            <w:tcW w:w="2160" w:type="dxa"/>
            <w:vAlign w:val="bottom"/>
            <w:tcBorders>
              <w:bottom w:val="single" w:sz="8" w:color="B6B6B6"/>
              <w:right w:val="single" w:sz="8" w:color="B6B6B6"/>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Stage III or metastatic</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2021</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5"/>
                <w:szCs w:val="15"/>
                <w:color w:val="auto"/>
              </w:rPr>
              <w:t>Canada (licensed from PharmaMar)</w:t>
            </w:r>
            <w:r>
              <w:rPr>
                <w:rFonts w:ascii="Times New Roman" w:cs="Times New Roman" w:eastAsia="Times New Roman" w:hAnsi="Times New Roman"/>
                <w:sz w:val="19"/>
                <w:szCs w:val="19"/>
                <w:color w:val="auto"/>
                <w:vertAlign w:val="superscript"/>
              </w:rPr>
              <w:t>4</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SCLC who have progressed on or after platinum-</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containing therapy.</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clobazam restriction limited to EU and Great Britain</w:t>
      </w:r>
    </w:p>
    <w:p>
      <w:pPr>
        <w:spacing w:after="0" w:line="15" w:lineRule="exact"/>
        <w:rPr>
          <w:rFonts w:ascii="Times New Roman" w:cs="Times New Roman" w:eastAsia="Times New Roman" w:hAnsi="Times New Roman"/>
          <w:sz w:val="23"/>
          <w:szCs w:val="23"/>
          <w:color w:val="auto"/>
          <w:vertAlign w:val="superscript"/>
        </w:rPr>
      </w:pPr>
    </w:p>
    <w:p>
      <w:pPr>
        <w:spacing w:after="0" w:line="22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European Economic Area</w:t>
      </w:r>
    </w:p>
    <w:p>
      <w:pPr>
        <w:ind w:right="5300"/>
        <w:spacing w:after="0" w:line="23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Accelerated approval received from U.S. Food and Drug Administration, or FDA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Conditional approval received from Health Canada</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2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We are the global leader in the development and commercialization of oxybate therapy for patients with sleep disorders. Xyrem was approved by FDA in 2002 for treatment of cataplexy and in 2005 for treatment of EDS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spacing w:after="0" w:line="7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Since there is no cure for narcolepsy and long-term disease management is needed, we believe that Xywav represents an important therapeutic option for patients with this sleep disorder. Our commercial efforts are focused on educating patients and physicians about the lifelong impact of high sodium intake, and how the use of Xywav enables them to address what is a modifiable risk factor for cardiovascular morbidity. We view the adoption of Xywav in narcolepsy as a positive indication that physicians and patients appreciate the benefits of a low-sodium oxybate option.</w:t>
      </w:r>
    </w:p>
    <w:p>
      <w:pPr>
        <w:spacing w:after="0" w:line="7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June 2021, FDA recognized seven years of Orphan Drug Exclusivity, or ODE, for Xywav in narcolepsy. ODE extends through January 2028. Nevertheless, Lumryz, a fixed-dose, high-sodium oxybate, was approved by FDA on May 1, 2023, for the treatment of cataplexy or EDS in adults with narcolepsy.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spacing w:after="0" w:line="80" w:lineRule="exact"/>
        <w:rPr>
          <w:sz w:val="20"/>
          <w:szCs w:val="20"/>
          <w:color w:val="auto"/>
        </w:rPr>
      </w:pPr>
    </w:p>
    <w:p>
      <w:pPr>
        <w:jc w:val="both"/>
        <w:ind w:right="40" w:firstLine="445"/>
        <w:spacing w:after="0" w:line="258" w:lineRule="auto"/>
        <w:rPr>
          <w:sz w:val="20"/>
          <w:szCs w:val="20"/>
          <w:color w:val="auto"/>
        </w:rPr>
      </w:pPr>
      <w:r>
        <w:rPr>
          <w:rFonts w:ascii="Times New Roman" w:cs="Times New Roman" w:eastAsia="Times New Roman" w:hAnsi="Times New Roman"/>
          <w:sz w:val="18"/>
          <w:szCs w:val="18"/>
          <w:color w:val="auto"/>
        </w:rPr>
        <w:t>On August 12, 2021, FDA approved Xywav for the treatment of IH in adults. Xywav remains the first and only FDA-approved therapy to treat IH. We initiated the U.S. commercial launch of Xywav for the treatment of IH in adults in November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An estimated 37,000 people in the U.S. have been diagnosed with IH and are actively seeking healthcare.</w:t>
      </w:r>
    </w:p>
    <w:p>
      <w:pPr>
        <w:spacing w:after="0" w:line="75" w:lineRule="exact"/>
        <w:rPr>
          <w:sz w:val="20"/>
          <w:szCs w:val="20"/>
          <w:color w:val="auto"/>
        </w:rPr>
      </w:pPr>
    </w:p>
    <w:p>
      <w:pPr>
        <w:ind w:right="600" w:firstLine="445"/>
        <w:spacing w:after="0" w:line="266" w:lineRule="auto"/>
        <w:rPr>
          <w:sz w:val="20"/>
          <w:szCs w:val="20"/>
          <w:color w:val="auto"/>
        </w:rPr>
      </w:pPr>
      <w:r>
        <w:rPr>
          <w:rFonts w:ascii="Times New Roman" w:cs="Times New Roman" w:eastAsia="Times New Roman" w:hAnsi="Times New Roman"/>
          <w:sz w:val="18"/>
          <w:szCs w:val="18"/>
          <w:color w:val="auto"/>
        </w:rPr>
        <w:t>We have agreements in place for Xywav with all three major pharmacy benefit managers, or PBMs, in the U.S. To date, we have entered into agreements with various entities and have achieved benefit coverage for Xywav in both narcolepsy and IH indications for approximately 90% of commercial lives.</w:t>
      </w:r>
    </w:p>
    <w:p>
      <w:pPr>
        <w:spacing w:after="0" w:line="68"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We have seen strong adoption of Xywav in narcolepsy since its launch in November 2020, and increasing adoption in IH since its launch in November 2021. Exiting the third quarter of 2024, there were approximately 13,625 patients taking Xywav, including approximately 10,075 patients with narcolepsy and approximately 3,550 patients with IH.</w:t>
      </w:r>
    </w:p>
    <w:p>
      <w:pPr>
        <w:spacing w:after="0" w:line="68"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We acquired Epidiolex (Epidyolex outside the U.S.) in May 2021 as part of the acquisition of GW Pharmaceuticals plc, or GW, which we refer to as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or EC, approval in September 2019 for use as adjunctive therapy of seizures associated with LGS or DS, in conjunction with clobazam, for patients two years of age and older. The clobazam restriction is limited to the EU and Great Britain. Epidyolex is now launched in all five key European markets: United Kingdom, Germany, Italy, Spain and France.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Canada, Australia, New Zealand and Taiwan.</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21"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of patients and health care providers for an innovative, high-quality erwinia asparaginase with reliable supply. The initial approved recommended dosage of Rylaze was for an intramuscular, or IM, administration of 25 mg/m2 every 48 hours. In November 2022, FDA approved a supplemental Biologics License Application, or sBLA, for a Monday/Wednesday/Friday 25/25/50 mg/m2 IM dosing schedule. In September 2023, the EC granted marketing authorization for JZP458 under the trade name Enrylaze. This product has also been approved in Great Britain, Canada and Switzerland.</w:t>
      </w:r>
    </w:p>
    <w:p>
      <w:pPr>
        <w:spacing w:after="0" w:line="72"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In collaboration with F. Hoffmann-La Roche Ltd, or Roche, we have an ongoing Phase 3 pivotal clinical trial in maintenance treatment for extensive-stage SCLC of Zepzelca in combination with Tecentriq® (atezolizumab) following induction therapy with carboplatin, etoposide and Tecentriq. In October 2024, we announced positive top-line results from the trial showing a statistically significant and clinically meaningful benefit for Zepzelca and atezolizumab in combination in the first-line maintenance setting. We plan to submit a supplemental New Drug Application, or sNDA, in the first half of 2025 to support this combination in the first-line maintenance setting.</w:t>
      </w:r>
    </w:p>
    <w:p>
      <w:pPr>
        <w:spacing w:after="0" w:line="84"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Defitelio is the first and only approved treatment for patients with VOD, severe VOD, or sVOD, or VOD with renal or pulmonary dysfunction following HSCT by regulatory authorities in the U.S., Europe, Japan and other markets. There was a significant decline in the number of patients receiving HSCT due to the effects of the COVID-19 pandemic. Moving forward, while HSCT procedures are gradually returning to pre-pandemic numbers, we expect changes in chemotherapy regimens and the increasing use of cell therapies to potentially lower the incidence of sVOD; additionally, there has been a reduction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prophylactic use of Defitelio in Europe.</w:t>
      </w:r>
    </w:p>
    <w:p>
      <w:pPr>
        <w:spacing w:after="0" w:line="99" w:lineRule="exact"/>
        <w:rPr>
          <w:sz w:val="20"/>
          <w:szCs w:val="20"/>
          <w:color w:val="auto"/>
        </w:rPr>
      </w:pPr>
    </w:p>
    <w:p>
      <w:pPr>
        <w:ind w:right="540" w:firstLine="445"/>
        <w:spacing w:after="0" w:line="281" w:lineRule="auto"/>
        <w:rPr>
          <w:sz w:val="20"/>
          <w:szCs w:val="20"/>
          <w:color w:val="auto"/>
        </w:rPr>
      </w:pPr>
      <w:r>
        <w:rPr>
          <w:rFonts w:ascii="Times New Roman" w:cs="Times New Roman" w:eastAsia="Times New Roman" w:hAnsi="Times New Roman"/>
          <w:sz w:val="17"/>
          <w:szCs w:val="17"/>
          <w:color w:val="auto"/>
        </w:rPr>
        <w:t>Vyxeos is a treatment for adults with newly-diagnosed t-AML, or AML-MRC. In March 2021, FDA approved a revised label to include a new indication to treat newly-diagnosed t-AML, or AML-MRC, in pediatric patients aged one year and older. We continue to expand into new markets internationally as the product receives approvals and reimbursement in relevant markets. In the U.S., with ongoing trends towards lower-intensity treatments and away from intensive chemotherapy regimens for AML, we have seen increasing competition from other therapeutic options.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Progress</w:t>
      </w:r>
    </w:p>
    <w:p>
      <w:pPr>
        <w:spacing w:after="0" w:line="121"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neuroscience and precision medicines in oncology.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8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Within our oncology R&amp;D program, in October 2022, we announced an exclusive licensing and collaboration agreement with Zymeworks Inc., or Zymeworks, providing us the right to acquire development and commercialization rights to Zymeworks' zanidatamab across all indications in the United States, Europe, Japan and all other territories except for those Asia/Pacific territories previously licensed by Zymeworks. In December 2022, we exercised the option to continue with the exclusive development and commercialization rights to zanidatamab. Under the terms of the agreement, Zymeworks received an upfront payment of $50.0 million, and following the exercise of our option to continue the collaboration, a second, one-time payment of $325 million. Zymeworks is also eligible to receive regulatory and commercial milestone payments of up to $1.4 billion, for total potential payments of $1.76 billion. Pending approval, Zymeworks is eligible to receive tiered royalties between 10% and 20% on our net sales. Zanidatamab is a bispecific antibody that can simultaneously bind two non-overlapping epitopes of HER2, known as biparatopic binding. Zanidatamab is currently being evaluated in multiple clinical trials as a treatment for patients with HER2-expressing cancers. Following positive data from a pivotal Phase 2 clinical trial evaluating zanidatamab monotherapy in patients with previously treated advanced or metastatic HER2-amplified biliary tract cancer, or BTC, we completed a BLA submission in second-line BTC in March 2024. In May 2024, FDA granted Priority Review of the BLA and set a target action date of November 29, 2024. The European Medicines Agency, or EMA, has validated our Marketing Authorization Application, or MAA, for zanidatamab in second-line BTC; we anticipate a response to our MAA in 2025. In addition, we have an ongoing Phase 3 randomized clinical trial evaluating zanidatamab in combination with chemotherapy plus or minus tislelizumab as a first-line treatment for HER2-expressing gastroesophageal adenocarcinoma, or GEA, and an ongoing Phase 2 trial examining zanidatamab in combination with chemotherapy in first-line patients with HER2-expressing metastatic GEA. In July 2024, we announced the initiation of the Phase 3 EmpowHER-BC-303 to evaluate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zanidatamab plus chemotherapy or trastuzumab plus chemotherapy in patients with HER2-positive breast cancer whose disease has progressed on previous trastuzumab deruxtecan, or T-DXd, treatment. There are also multiple ongoing clinical trials exploring zanidatamab in breast cancer and other HER2-expressing tumor types.</w:t>
      </w:r>
    </w:p>
    <w:p>
      <w:pPr>
        <w:spacing w:after="0" w:line="68"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Our development plan for Zepzelca continues to progress. We are collaborating with Roche on a pivotal Phase 3 clinical trial evaluating Zepzelca in combination with Tecentriq in first-line extensive-stage SCLC. In October 2024, we announced positive top-line results from the trial showing a statistically significant and clinically meaningful benefit for Zepzelca and atezolizumab in combination in the first-line maintenance setting. We plan to submit an sNDA in the first half of 2025 to support this combination in the first-line maintenance setting. In December 2021, our licensor PharmaMar initiated a confirmatory trial in second-line SCLC. This ongoing three-arm trial is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secure full approval in the U.S.</w:t>
      </w:r>
    </w:p>
    <w:p>
      <w:pPr>
        <w:spacing w:after="0" w:line="8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addition, we have an ongoing Phase 4 observational study to collect real world safety and outcome data in adult Zepzelca monotherapy patients with SCLC who progress on or after prior platinum-containing chemotherapy. Preliminary findings from this study presented at the 2024 World Conference on Lung Cancer demonstrated Zepzelca provided clinical benefit when administered as second-line SCLC therapy. The safety and tolerability profile observed in this study was consistent with prior findings, with no new safety signals reported.</w:t>
      </w:r>
    </w:p>
    <w:p>
      <w:pPr>
        <w:spacing w:after="0" w:line="72"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In June 2022, we announced the FDA had cleared our Investigational New Drug application for JZP815 and, in October 2022, we enrolled the first patient in a Phase 1 trial. JZP815 is an investigational stage pan-RAF kinase inhibitor that targets specific components of the mitogen-activated protein kinase pathway that, when activated by oncogenic mutations, can be a frequent driver of human cancer.</w:t>
      </w:r>
    </w:p>
    <w:p>
      <w:pPr>
        <w:spacing w:after="0" w:line="6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April 2022, we announced that we had entered into a licensing and collaboration agreement with Werewolf Therapeutics, Inc., or Werewolf, to acquire exclusive global development and commercialization rights to Werewolf's investigational WTX-613, now referred to as JZP898.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 JZP898 is a differentiated, conditionally-activated interferon alpha, or IFNα, INDUKINE™ molecule. We initiated a Phase 1 clinical trial of JZP898 in late 2023.</w:t>
      </w:r>
    </w:p>
    <w:p>
      <w:pPr>
        <w:spacing w:after="0" w:line="8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Our neuroscience R&amp;D efforts include an ongoing Phase 3 trial of Epidyolex for LGS, DS and TSC in Japan. In August 2024, we announced top-line results from the trial. The trial did not meet the primary efficacy endpoint of a pre-specified percentage change in indication-associated seizure frequency during the treatment period (up to 16 weeks) compared to baseline in Japanese pediatric patients; however, numeric improvements were observed in the primary and several secondary endpoints. No new safety signals were observed in the trial. We are continuing to collect data in Japanese patients and plan to engage with regulatory authorities in Japan regarding a potential new drug application.</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December 2021, we initiated a Phase 2 clinical trial for suvecaltamide (JZP385), for essential tremor, or ET. Additionally, in November 2022, we initiated a Phase 2 trial of suvecaltamide in patients with Parkinson's disease tremor. In June 2024, we announced the ET trial did not achieve statistical significance on the primary and key secondary endpoint for the 30 mg dose. We are continuing to evaluate data from this trial and await results from the ongoing Parkinson's disease tremor trial to determine next steps, if any, for the suvecaltamide program. We are also pursuing early-stage activities related to the development of JZP324, an extended-release low sodium, oxybate formulation that we believe could provide a clinically meaningful option for narcolepsy patients.</w:t>
      </w:r>
    </w:p>
    <w:p>
      <w:pPr>
        <w:spacing w:after="0" w:line="79"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In May 2022, we announced that we had entered into a licensing agreement with Sumitomo Pharma Co., Ltd, or Sumitomo, to acquire exclusive development and commercialization rights in the United States, Europe and other territories for JZP441, also known as DSP-0187, a potent, highly selective oral orexin-2 receptor agonist with potential application for the treatment of narcolepsy, IH and other sleep disorders. Under the terms of the agreement, we made an upfront payment of $50 million to Sumitomo, and Sumitomo is eligible to receive development, regulatory and commercial milestone payments of up to $1.09 billion. If approved, Sumitomo is eligible to receive a tiered, low double-digit royalty on our net sales of JZP441. In November 2023, we announced that we achieved initial proof-of-concept in our Phase 1 clinical trial program in healthy volunteers as demonstrated by the Maintenance of Wakefulness Test (MWT). At that time, we also noted the program was being paused as we analyze safety findings related to visual disturbances and cardiovascular effects; no liver toxicity signals were observed. Following additional review of the trial findings and input from FDA, we plan to initiate a small Phase 1b trial of JZP441 in narcolepsy Type 1 patients in 2025. We expect data from this trial will further our understanding of JZP441 and orexin-2 receptor agonism, providing learnings that could inform future development efforts.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Below is a summary of our key ongoing and planned development projects related to our products and pipeline and their corresponding current stages of development: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tc>
        <w:tc>
          <w:tcPr>
            <w:tcW w:w="738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Regulatory Review</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Previously treated, advanced HER2-expressing BTC (ongoing trial) (pivotal trial)</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First-line HER2-positive GEA (ongoing trial)</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First-line HER2-positive BTC (ongoing trial)</w:t>
            </w:r>
          </w:p>
        </w:tc>
        <w:tc>
          <w:tcPr>
            <w:tcW w:w="10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Previously treated HER2-positive breast cancer in patients whose disease has progressed on</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previous T-DXd treatment (EMPOWHER-BC-303) (ongoing trial)</w:t>
            </w:r>
          </w:p>
        </w:tc>
        <w:tc>
          <w:tcPr>
            <w:tcW w:w="100" w:type="dxa"/>
            <w:vAlign w:val="bottom"/>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Zepzelca</w:t>
            </w:r>
          </w:p>
        </w:tc>
        <w:tc>
          <w:tcPr>
            <w:tcW w:w="7280" w:type="dxa"/>
            <w:vAlign w:val="bottom"/>
            <w:gridSpan w:val="3"/>
          </w:tcPr>
          <w:p>
            <w:pPr>
              <w:ind w:left="600"/>
              <w:spacing w:after="0" w:line="176" w:lineRule="exact"/>
              <w:rPr>
                <w:sz w:val="20"/>
                <w:szCs w:val="20"/>
                <w:color w:val="auto"/>
              </w:rPr>
            </w:pPr>
            <w:r>
              <w:rPr>
                <w:rFonts w:ascii="Times New Roman" w:cs="Times New Roman" w:eastAsia="Times New Roman" w:hAnsi="Times New Roman"/>
                <w:sz w:val="18"/>
                <w:szCs w:val="18"/>
                <w:color w:val="auto"/>
              </w:rPr>
              <w:t>First-line extensive-stage SCLC in combination with Tecentriq (collaboration with Roche)</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380" w:type="dxa"/>
            <w:vAlign w:val="bottom"/>
            <w:gridSpan w:val="4"/>
          </w:tcPr>
          <w:p>
            <w:pPr>
              <w:ind w:left="600"/>
              <w:spacing w:after="0" w:line="184" w:lineRule="exact"/>
              <w:rPr>
                <w:sz w:val="20"/>
                <w:szCs w:val="20"/>
                <w:color w:val="auto"/>
              </w:rPr>
            </w:pPr>
            <w:r>
              <w:rPr>
                <w:rFonts w:ascii="Times New Roman" w:cs="Times New Roman" w:eastAsia="Times New Roman" w:hAnsi="Times New Roman"/>
                <w:sz w:val="18"/>
                <w:szCs w:val="18"/>
                <w:color w:val="auto"/>
              </w:rPr>
              <w:t>(ongoing trial)</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3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Confirmatory second-line trial (PharmaMar study) (ongoing trial)</w:t>
            </w: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7280" w:type="dxa"/>
            <w:vAlign w:val="bottom"/>
            <w:gridSpan w:val="3"/>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AML or high-risk Myelodysplastic Syndrome, or MDS (AML18) (cooperative group</w:t>
            </w:r>
          </w:p>
        </w:tc>
        <w:tc>
          <w:tcPr>
            <w:tcW w:w="100" w:type="dxa"/>
            <w:vAlign w:val="bottom"/>
          </w:tcPr>
          <w:p>
            <w:pPr>
              <w:spacing w:after="0"/>
              <w:rPr>
                <w:sz w:val="15"/>
                <w:szCs w:val="15"/>
                <w:color w:val="auto"/>
              </w:rPr>
            </w:pPr>
          </w:p>
        </w:tc>
      </w:tr>
      <w:tr>
        <w:trPr>
          <w:trHeight w:val="18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7280" w:type="dxa"/>
            <w:vAlign w:val="bottom"/>
            <w:gridSpan w:val="3"/>
            <w:shd w:val="clear" w:color="auto" w:fill="CCEEFF"/>
          </w:tcPr>
          <w:p>
            <w:pPr>
              <w:ind w:left="600"/>
              <w:spacing w:after="0" w:line="184" w:lineRule="exact"/>
              <w:rPr>
                <w:sz w:val="20"/>
                <w:szCs w:val="20"/>
                <w:color w:val="auto"/>
              </w:rPr>
            </w:pPr>
            <w:r>
              <w:rPr>
                <w:rFonts w:ascii="Times New Roman" w:cs="Times New Roman" w:eastAsia="Times New Roman" w:hAnsi="Times New Roman"/>
                <w:sz w:val="18"/>
                <w:szCs w:val="18"/>
                <w:color w:val="auto"/>
              </w:rPr>
              <w:t>studies) (ongoing trial)</w:t>
            </w:r>
          </w:p>
        </w:tc>
        <w:tc>
          <w:tcPr>
            <w:tcW w:w="100" w:type="dxa"/>
            <w:vAlign w:val="bottom"/>
          </w:tcPr>
          <w:p>
            <w:pPr>
              <w:spacing w:after="0"/>
              <w:rPr>
                <w:sz w:val="16"/>
                <w:szCs w:val="16"/>
                <w:color w:val="auto"/>
              </w:rPr>
            </w:pPr>
          </w:p>
        </w:tc>
      </w:tr>
      <w:tr>
        <w:trPr>
          <w:trHeight w:val="180"/>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7280" w:type="dxa"/>
            <w:vAlign w:val="bottom"/>
            <w:gridSpan w:val="3"/>
            <w:shd w:val="clear" w:color="auto" w:fill="CCEEFF"/>
          </w:tcPr>
          <w:p>
            <w:pPr>
              <w:ind w:left="600"/>
              <w:spacing w:after="0" w:line="181" w:lineRule="exact"/>
              <w:rPr>
                <w:sz w:val="20"/>
                <w:szCs w:val="20"/>
                <w:color w:val="auto"/>
              </w:rPr>
            </w:pPr>
            <w:r>
              <w:rPr>
                <w:rFonts w:ascii="Times New Roman" w:cs="Times New Roman" w:eastAsia="Times New Roman" w:hAnsi="Times New Roman"/>
                <w:sz w:val="18"/>
                <w:szCs w:val="18"/>
                <w:color w:val="auto"/>
              </w:rPr>
              <w:t>Newly diagnosed adults with standard- and high-risk AML (AML Study Group cooperative</w:t>
            </w:r>
          </w:p>
        </w:tc>
        <w:tc>
          <w:tcPr>
            <w:tcW w:w="100" w:type="dxa"/>
            <w:vAlign w:val="bottom"/>
          </w:tcPr>
          <w:p>
            <w:pPr>
              <w:spacing w:after="0"/>
              <w:rPr>
                <w:sz w:val="15"/>
                <w:szCs w:val="15"/>
                <w:color w:val="auto"/>
              </w:rPr>
            </w:pPr>
          </w:p>
        </w:tc>
      </w:tr>
      <w:tr>
        <w:trPr>
          <w:trHeight w:val="176"/>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7280" w:type="dxa"/>
            <w:vAlign w:val="bottom"/>
            <w:gridSpan w:val="3"/>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15"/>
                <w:szCs w:val="15"/>
                <w:color w:val="auto"/>
              </w:rPr>
            </w:pPr>
          </w:p>
        </w:tc>
      </w:tr>
      <w:tr>
        <w:trPr>
          <w:trHeight w:val="18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7280" w:type="dxa"/>
            <w:vAlign w:val="bottom"/>
            <w:gridSpan w:val="3"/>
            <w:shd w:val="clear" w:color="auto" w:fill="CCEEFF"/>
          </w:tcPr>
          <w:p>
            <w:pPr>
              <w:ind w:left="600"/>
              <w:spacing w:after="0" w:line="184" w:lineRule="exact"/>
              <w:rPr>
                <w:sz w:val="20"/>
                <w:szCs w:val="20"/>
                <w:color w:val="auto"/>
              </w:rPr>
            </w:pPr>
            <w:r>
              <w:rPr>
                <w:rFonts w:ascii="Times New Roman" w:cs="Times New Roman" w:eastAsia="Times New Roman" w:hAnsi="Times New Roman"/>
                <w:sz w:val="18"/>
                <w:szCs w:val="18"/>
                <w:color w:val="auto"/>
              </w:rPr>
              <w:t>Newly diagnosed pediatric patients with AML (Children’s Oncology Group cooperative</w:t>
            </w:r>
          </w:p>
        </w:tc>
        <w:tc>
          <w:tcPr>
            <w:tcW w:w="100" w:type="dxa"/>
            <w:vAlign w:val="bottom"/>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HER2-expressing GEA, BTC or colorectal cancer in combination with standard first-line</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chemotherapy (ongoing trial)</w:t>
            </w:r>
          </w:p>
        </w:tc>
        <w:tc>
          <w:tcPr>
            <w:tcW w:w="1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Basket trial including HER2-positive solid tumors (DiscovHER-Pan-206) (ongoing trial)</w:t>
            </w: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7280" w:type="dxa"/>
            <w:vAlign w:val="bottom"/>
            <w:gridSpan w:val="3"/>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High-risk MDS (European Myelodysplastic Syndromes) (cooperative group study)</w:t>
            </w:r>
          </w:p>
        </w:tc>
        <w:tc>
          <w:tcPr>
            <w:tcW w:w="100" w:type="dxa"/>
            <w:vAlign w:val="bottom"/>
          </w:tcPr>
          <w:p>
            <w:pPr>
              <w:spacing w:after="0"/>
              <w:rPr>
                <w:sz w:val="15"/>
                <w:szCs w:val="15"/>
                <w:color w:val="auto"/>
              </w:rPr>
            </w:pPr>
          </w:p>
        </w:tc>
      </w:tr>
      <w:tr>
        <w:trPr>
          <w:trHeight w:val="18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7280" w:type="dxa"/>
            <w:vAlign w:val="bottom"/>
            <w:gridSpan w:val="3"/>
            <w:shd w:val="clear" w:color="auto" w:fill="CCEEFF"/>
          </w:tcPr>
          <w:p>
            <w:pPr>
              <w:ind w:left="600"/>
              <w:spacing w:after="0" w:line="184" w:lineRule="exact"/>
              <w:rPr>
                <w:sz w:val="20"/>
                <w:szCs w:val="20"/>
                <w:color w:val="auto"/>
              </w:rPr>
            </w:pPr>
            <w:r>
              <w:rPr>
                <w:rFonts w:ascii="Times New Roman" w:cs="Times New Roman" w:eastAsia="Times New Roman" w:hAnsi="Times New Roman"/>
                <w:sz w:val="18"/>
                <w:szCs w:val="18"/>
                <w:color w:val="auto"/>
              </w:rPr>
              <w:t>(ongoing trial)</w:t>
            </w:r>
          </w:p>
        </w:tc>
        <w:tc>
          <w:tcPr>
            <w:tcW w:w="100" w:type="dxa"/>
            <w:vAlign w:val="bottom"/>
          </w:tcPr>
          <w:p>
            <w:pPr>
              <w:spacing w:after="0"/>
              <w:rPr>
                <w:sz w:val="16"/>
                <w:szCs w:val="16"/>
                <w:color w:val="auto"/>
              </w:rPr>
            </w:pPr>
          </w:p>
        </w:tc>
      </w:tr>
      <w:tr>
        <w:trPr>
          <w:trHeight w:val="180"/>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7280" w:type="dxa"/>
            <w:vAlign w:val="bottom"/>
            <w:gridSpan w:val="3"/>
            <w:shd w:val="clear" w:color="auto" w:fill="CCEEFF"/>
          </w:tcPr>
          <w:p>
            <w:pPr>
              <w:ind w:left="600"/>
              <w:spacing w:after="0" w:line="181" w:lineRule="exact"/>
              <w:rPr>
                <w:sz w:val="20"/>
                <w:szCs w:val="20"/>
                <w:color w:val="auto"/>
              </w:rPr>
            </w:pPr>
            <w:r>
              <w:rPr>
                <w:rFonts w:ascii="Times New Roman" w:cs="Times New Roman" w:eastAsia="Times New Roman" w:hAnsi="Times New Roman"/>
                <w:sz w:val="18"/>
                <w:szCs w:val="18"/>
                <w:color w:val="auto"/>
              </w:rPr>
              <w:t>Newly diagnosed untreated patients with intermediate- and high-risk AML (cooperative</w:t>
            </w:r>
          </w:p>
        </w:tc>
        <w:tc>
          <w:tcPr>
            <w:tcW w:w="10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 + other approved therapies</w:t>
            </w:r>
          </w:p>
        </w:tc>
        <w:tc>
          <w:tcPr>
            <w:tcW w:w="7280" w:type="dxa"/>
            <w:vAlign w:val="bottom"/>
            <w:gridSpan w:val="3"/>
          </w:tcPr>
          <w:p>
            <w:pPr>
              <w:ind w:left="600"/>
              <w:spacing w:after="0" w:line="176" w:lineRule="exact"/>
              <w:rPr>
                <w:sz w:val="20"/>
                <w:szCs w:val="20"/>
                <w:color w:val="auto"/>
              </w:rPr>
            </w:pPr>
            <w:r>
              <w:rPr>
                <w:rFonts w:ascii="Times New Roman" w:cs="Times New Roman" w:eastAsia="Times New Roman" w:hAnsi="Times New Roman"/>
                <w:sz w:val="18"/>
                <w:szCs w:val="18"/>
                <w:color w:val="auto"/>
              </w:rPr>
              <w:t>Relapsed/refractory, or R/R AML or hypomethylating agent failure MDS (MD Anderson</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380" w:type="dxa"/>
            <w:vAlign w:val="bottom"/>
            <w:gridSpan w:val="4"/>
          </w:tcPr>
          <w:p>
            <w:pPr>
              <w:ind w:left="600"/>
              <w:spacing w:after="0" w:line="184" w:lineRule="exact"/>
              <w:rPr>
                <w:sz w:val="20"/>
                <w:szCs w:val="20"/>
                <w:color w:val="auto"/>
              </w:rPr>
            </w:pPr>
            <w:r>
              <w:rPr>
                <w:rFonts w:ascii="Times New Roman" w:cs="Times New Roman" w:eastAsia="Times New Roman" w:hAnsi="Times New Roman"/>
                <w:sz w:val="18"/>
                <w:szCs w:val="18"/>
                <w:color w:val="auto"/>
              </w:rPr>
              <w:t>collaboration study) (ongoing trial)</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3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De novo or R/R AML (MD Anderson collaboration study) (ongoing trial)</w:t>
            </w: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2a</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tcPr>
          <w:p>
            <w:pPr>
              <w:ind w:left="600"/>
              <w:spacing w:after="0" w:line="176" w:lineRule="exact"/>
              <w:rPr>
                <w:sz w:val="20"/>
                <w:szCs w:val="20"/>
                <w:color w:val="auto"/>
              </w:rPr>
            </w:pPr>
            <w:r>
              <w:rPr>
                <w:rFonts w:ascii="Times New Roman" w:cs="Times New Roman" w:eastAsia="Times New Roman" w:hAnsi="Times New Roman"/>
                <w:sz w:val="18"/>
                <w:szCs w:val="18"/>
                <w:color w:val="auto"/>
              </w:rPr>
              <w:t>Previously treated HER2+ HR+ breast cancer in combination with palbociclib (ongoing</w:t>
            </w:r>
          </w:p>
        </w:tc>
        <w:tc>
          <w:tcPr>
            <w:tcW w:w="100" w:type="dxa"/>
            <w:vAlign w:val="bottom"/>
          </w:tcPr>
          <w:p>
            <w:pPr>
              <w:spacing w:after="0"/>
              <w:rPr>
                <w:sz w:val="15"/>
                <w:szCs w:val="15"/>
                <w:color w:val="auto"/>
              </w:rPr>
            </w:pPr>
          </w:p>
        </w:tc>
      </w:tr>
      <w:tr>
        <w:trPr>
          <w:trHeight w:val="239"/>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3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trial)</w:t>
            </w:r>
          </w:p>
        </w:tc>
      </w:tr>
      <w:tr>
        <w:trPr>
          <w:trHeight w:val="234"/>
        </w:trPr>
        <w:tc>
          <w:tcPr>
            <w:tcW w:w="2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1b/2</w:t>
            </w: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7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First-line breast cancer and GEA (BeiGene trial) (ongoing trial)</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HER2-expressing breast cancer in combination with ALX148 (ongoing trial)</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JZP815</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Raf and Ras mutant tumors (acquired from Redx Pharma plc, or Redx) (ongoing trial)</w:t>
            </w: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tcPr>
          <w:p>
            <w:pPr>
              <w:ind w:left="600"/>
              <w:spacing w:after="0" w:line="176" w:lineRule="exact"/>
              <w:rPr>
                <w:sz w:val="20"/>
                <w:szCs w:val="20"/>
                <w:color w:val="auto"/>
              </w:rPr>
            </w:pPr>
            <w:r>
              <w:rPr>
                <w:rFonts w:ascii="Times New Roman" w:cs="Times New Roman" w:eastAsia="Times New Roman" w:hAnsi="Times New Roman"/>
                <w:sz w:val="18"/>
                <w:szCs w:val="18"/>
                <w:color w:val="auto"/>
              </w:rPr>
              <w:t>Previously treated metastatic HER2-expressing cancers in combination with select</w:t>
            </w:r>
          </w:p>
        </w:tc>
        <w:tc>
          <w:tcPr>
            <w:tcW w:w="10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3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antineoplastic therapies (cooperative group study) (ongoing trial)</w:t>
            </w:r>
          </w:p>
        </w:tc>
      </w:tr>
      <w:tr>
        <w:trPr>
          <w:trHeight w:val="238"/>
        </w:trPr>
        <w:tc>
          <w:tcPr>
            <w:tcW w:w="2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JZP341 (long-acting </w:t>
            </w:r>
            <w:r>
              <w:rPr>
                <w:rFonts w:ascii="Times New Roman" w:cs="Times New Roman" w:eastAsia="Times New Roman" w:hAnsi="Times New Roman"/>
                <w:sz w:val="18"/>
                <w:szCs w:val="18"/>
                <w:i w:val="1"/>
                <w:iCs w:val="1"/>
                <w:color w:val="auto"/>
              </w:rPr>
              <w:t>Erwinia</w:t>
            </w:r>
            <w:r>
              <w:rPr>
                <w:rFonts w:ascii="Times New Roman" w:cs="Times New Roman" w:eastAsia="Times New Roman" w:hAnsi="Times New Roman"/>
                <w:sz w:val="18"/>
                <w:szCs w:val="18"/>
                <w:color w:val="auto"/>
              </w:rPr>
              <w:t xml:space="preserve"> asparaginase)</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Solid tumors (licensed from Ligand Pharmaceuticals Incorporated) (ongoing trial)</w:t>
            </w:r>
          </w:p>
        </w:tc>
        <w:tc>
          <w:tcPr>
            <w:tcW w:w="1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JZP898</w:t>
            </w: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Conditionally-activated IFNα INDUKINE™ molecule in solid tumors (ongoing trial)</w:t>
            </w: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7280" w:type="dxa"/>
            <w:vAlign w:val="bottom"/>
            <w:gridSpan w:val="3"/>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Low intensity dosing for higher risk MDS (MD Anderson collaboration study) (ongoing</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trial)</w:t>
            </w:r>
          </w:p>
        </w:tc>
        <w:tc>
          <w:tcPr>
            <w:tcW w:w="10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KRAS inhibitor targets</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G12D selective and pan-KRAS molecules (acquired from Redx)</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Undisclosed targets</w:t>
            </w: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Oncology</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CombiPlex</w:t>
            </w:r>
            <w:r>
              <w:rPr>
                <w:rFonts w:ascii="Times New Roman" w:cs="Times New Roman" w:eastAsia="Times New Roman" w:hAnsi="Times New Roman"/>
                <w:sz w:val="23"/>
                <w:szCs w:val="23"/>
                <w:color w:val="auto"/>
                <w:vertAlign w:val="superscript"/>
              </w:rPr>
              <w:t>®</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Hematology/oncology exploratory activities</w:t>
            </w:r>
          </w:p>
        </w:tc>
        <w:tc>
          <w:tcPr>
            <w:tcW w:w="100" w:type="dxa"/>
            <w:vAlign w:val="bottom"/>
          </w:tcPr>
          <w:p>
            <w:pPr>
              <w:spacing w:after="0"/>
              <w:rPr>
                <w:sz w:val="19"/>
                <w:szCs w:val="19"/>
                <w:color w:val="auto"/>
              </w:rPr>
            </w:pPr>
          </w:p>
        </w:tc>
      </w:tr>
      <w:tr>
        <w:trPr>
          <w:trHeight w:val="864"/>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80" w:type="dxa"/>
            <w:vAlign w:val="bottom"/>
            <w:gridSpan w:val="3"/>
          </w:tcPr>
          <w:p>
            <w:pPr>
              <w:jc w:val="right"/>
              <w:ind w:right="54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Product Candidates</w:t>
            </w: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57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Epidyolex</w:t>
            </w:r>
          </w:p>
        </w:tc>
        <w:tc>
          <w:tcPr>
            <w:tcW w:w="79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LGS, TSC and DS (ongoing trial in Japan)</w:t>
            </w: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337"/>
        </w:trPr>
        <w:tc>
          <w:tcPr>
            <w:tcW w:w="20" w:type="dxa"/>
            <w:vAlign w:val="bottom"/>
          </w:tcPr>
          <w:p>
            <w:pPr>
              <w:spacing w:after="0"/>
              <w:rPr>
                <w:sz w:val="24"/>
                <w:szCs w:val="24"/>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Suvecaltamide (JZP385)</w:t>
            </w:r>
          </w:p>
        </w:tc>
        <w:tc>
          <w:tcPr>
            <w:tcW w:w="79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Parkinson's disease tremor (ongoing trial)</w:t>
            </w: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JZP324</w:t>
            </w:r>
          </w:p>
        </w:tc>
        <w:tc>
          <w:tcPr>
            <w:tcW w:w="79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Oxybate extended-release formulation (planned trial)</w:t>
            </w: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JZP441*</w:t>
            </w:r>
          </w:p>
        </w:tc>
        <w:tc>
          <w:tcPr>
            <w:tcW w:w="792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Potent, highly selective oral orexin-2 receptor agonist (paused)</w:t>
            </w:r>
          </w:p>
        </w:tc>
      </w:tr>
      <w:tr>
        <w:trPr>
          <w:trHeight w:val="229"/>
        </w:trPr>
        <w:tc>
          <w:tcPr>
            <w:tcW w:w="2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32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Undisclosed targets</w:t>
            </w:r>
          </w:p>
        </w:tc>
        <w:tc>
          <w:tcPr>
            <w:tcW w:w="7920" w:type="dxa"/>
            <w:vAlign w:val="bottom"/>
            <w:gridSpan w:val="3"/>
            <w:shd w:val="clear" w:color="auto" w:fill="CCEEFF"/>
          </w:tcPr>
          <w:p>
            <w:pPr>
              <w:ind w:left="1240"/>
              <w:spacing w:after="0" w:line="176" w:lineRule="exact"/>
              <w:rPr>
                <w:sz w:val="20"/>
                <w:szCs w:val="20"/>
                <w:color w:val="auto"/>
              </w:rPr>
            </w:pPr>
            <w:r>
              <w:rPr>
                <w:rFonts w:ascii="Times New Roman" w:cs="Times New Roman" w:eastAsia="Times New Roman" w:hAnsi="Times New Roman"/>
                <w:sz w:val="18"/>
                <w:szCs w:val="18"/>
                <w:color w:val="auto"/>
              </w:rPr>
              <w:t>Sleep</w:t>
            </w:r>
          </w:p>
        </w:tc>
      </w:tr>
      <w:tr>
        <w:trPr>
          <w:trHeight w:val="184"/>
        </w:trPr>
        <w:tc>
          <w:tcPr>
            <w:tcW w:w="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7920" w:type="dxa"/>
            <w:vAlign w:val="bottom"/>
            <w:gridSpan w:val="3"/>
            <w:shd w:val="clear" w:color="auto" w:fill="CCEEFF"/>
          </w:tcPr>
          <w:p>
            <w:pPr>
              <w:ind w:left="1240"/>
              <w:spacing w:after="0" w:line="184" w:lineRule="exact"/>
              <w:rPr>
                <w:sz w:val="20"/>
                <w:szCs w:val="20"/>
                <w:color w:val="auto"/>
              </w:rPr>
            </w:pPr>
            <w:r>
              <w:rPr>
                <w:rFonts w:ascii="Times New Roman" w:cs="Times New Roman" w:eastAsia="Times New Roman" w:hAnsi="Times New Roman"/>
                <w:sz w:val="18"/>
                <w:szCs w:val="18"/>
                <w:color w:val="auto"/>
              </w:rPr>
              <w:t>Epilepsy</w:t>
            </w:r>
          </w:p>
        </w:tc>
      </w:tr>
      <w:tr>
        <w:trPr>
          <w:trHeight w:val="234"/>
        </w:trPr>
        <w:tc>
          <w:tcPr>
            <w:tcW w:w="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92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Other Neuroscience</w:t>
            </w:r>
          </w:p>
        </w:tc>
      </w:tr>
      <w:tr>
        <w:trPr>
          <w:trHeight w:val="418"/>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*Also known as DSP-0187</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80" w:type="dxa"/>
            <w:vAlign w:val="bottom"/>
          </w:tcPr>
          <w:p>
            <w:pPr>
              <w:spacing w:after="0"/>
              <w:rPr>
                <w:sz w:val="24"/>
                <w:szCs w:val="24"/>
                <w:color w:val="auto"/>
              </w:rPr>
            </w:pPr>
          </w:p>
        </w:tc>
      </w:tr>
    </w:tbl>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Challenges, Risks and Trends Related to Our Business</w:t>
      </w:r>
    </w:p>
    <w:p>
      <w:pPr>
        <w:spacing w:after="0" w:line="121" w:lineRule="exact"/>
        <w:rPr>
          <w:sz w:val="20"/>
          <w:szCs w:val="20"/>
          <w:color w:val="auto"/>
        </w:rPr>
      </w:pPr>
    </w:p>
    <w:p>
      <w:pPr>
        <w:ind w:right="220" w:firstLine="445"/>
        <w:spacing w:after="0" w:line="258" w:lineRule="auto"/>
        <w:rPr>
          <w:sz w:val="20"/>
          <w:szCs w:val="20"/>
          <w:color w:val="auto"/>
        </w:rPr>
      </w:pPr>
      <w:r>
        <w:rPr>
          <w:rFonts w:ascii="Times New Roman" w:cs="Times New Roman" w:eastAsia="Times New Roman" w:hAnsi="Times New Roman"/>
          <w:sz w:val="18"/>
          <w:szCs w:val="18"/>
          <w:color w:val="auto"/>
        </w:rPr>
        <w:t>Our operating plan assumes that Xywav, with 92% lower sodium compared to high-sodium oxybates (depending on the dose) absence of a sodium warning and dosing titration option, will remain the treatment of choice for patients who can benefit from oxybate treatment. In June 2021, FDA recognized seven years of ODE for Xywav in narcolepsy through July 21, 2027, stating that Xywav is clinically superior to Xyrem by means of greater safety due to reduced chronic sodium burden. While we expect that our business will continue to meaningfully depend on oxybate revenues, there is no guarantee that oxybate revenues will remain at current levels.</w:t>
      </w:r>
    </w:p>
    <w:p>
      <w:pPr>
        <w:spacing w:after="0" w:line="75"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Our ability to successfully commercialize Xywav depends on, among other things, our ability to maintain adequate payor coverage and reimbursement for Xywav and acceptance of Xywav by physicians and patients, including of Xywav for the treatment of IH in adults. In an effort to support strong adoption of Xywav and patient success, we are focused on facilitating payor coverage for Xywav and providing robust patient copay and savings programs.</w:t>
      </w:r>
    </w:p>
    <w:p>
      <w:pPr>
        <w:spacing w:after="0" w:line="7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Xywav and Xyrem face competition from a branded product for treatment of cataplexy and/or EDS in narcolepsy. Avadel’s Lumryz was launched in the U.S. market in June 2023. On June 22, 2023, we filed a complaint in the United States District Court for the District of Columbia seeking a declaration that FDA’s approval of the New Drug Application, or NDA, for Avadel's Lumryz was unlawful. In the complaint, we alleged that FDA acted outside its authority under the Orphan Drug Act, when, despite ODE protecting Xywav, FDA approved the Lumryz NDA and granted Lumryz ODE based on FDA’s finding that Lumryz makes a major contribution to patient care and is therefore clinically superior to Xywav and Xyrem. On September 15, 2023, we filed a motion for summary judgment. On October 20, 2023, Avadel and FDA filed cross motions for summary judgment. Oral argument on these motions was held on May 10, 2024, and on October 30, 2024, the District Court issued an order denying Jazz’s motion for summary judgment and granting Avadel’s and the FDA’s cross-motions for summary judgment. Jazz respectfully disagrees with the Court’s decision and is evaluating potential options for appeal. We cannot at this time predict the timing or ultimate outcome of this litigation or the impact of this litigation on our business.</w:t>
      </w:r>
    </w:p>
    <w:p>
      <w:pPr>
        <w:spacing w:after="0" w:line="80" w:lineRule="exact"/>
        <w:rPr>
          <w:sz w:val="20"/>
          <w:szCs w:val="20"/>
          <w:color w:val="auto"/>
        </w:rPr>
      </w:pPr>
    </w:p>
    <w:p>
      <w:pPr>
        <w:ind w:right="60" w:firstLine="445"/>
        <w:spacing w:after="0" w:line="268" w:lineRule="auto"/>
        <w:rPr>
          <w:sz w:val="20"/>
          <w:szCs w:val="20"/>
          <w:color w:val="auto"/>
        </w:rPr>
      </w:pPr>
      <w:r>
        <w:rPr>
          <w:rFonts w:ascii="Times New Roman" w:cs="Times New Roman" w:eastAsia="Times New Roman" w:hAnsi="Times New Roman"/>
          <w:sz w:val="17"/>
          <w:szCs w:val="17"/>
          <w:color w:val="auto"/>
        </w:rPr>
        <w:t>In addition, in January 2023, our oxybate products began to face competition from an authorized generic, or AG, version of high-sodium oxybate pursuant to a settlement agreement we entered into with an abbreviated new drug application, or ANDA, filer. In July 2023, a volume-limited ANDA filer launched an AG version of high-sodium oxybate. These AG products have negatively impacted and are expected to continue to negatively impact Xyrem and Xywav sales for patients with narcolepsy. Specifically, a wholly owned subsidiary of Hikma Pharmaceuticals PLC, or Hikma, launched its AG version of sodium oxybate in January 2023 and Amneal Pharmaceuticals LLC, or Amneal, launched its AG version of sodium oxybate in July 2023. Hikma has elected to continue to sell the Hikma AG product, with royalties to be paid to us, for a total of up to four years beginning in January 2024, which election may be terminated by Hikma in accordance with the notice provisions in the agreements between the parties. We have the right to receive a meaningful royalty from Hikma on net sales of the Hikma AG product; the royalty rate was fixed for the second half of 2023. There was a substantial increase in the royalty rate beginning in January 2024, which will remain fixed for the duration of the agreement's term. We are also paid for supply of the Hikma AG product and reimbursed by Hikma for a portion of the services costs associated with the operation of the Xywav and Xyrem risk evaluation and mitigation strategy, or REMS, and distribution of the Hikma AG product. We also granted Hikma a license to launch its own generic sodium oxybate product but, if it elects to launch its own generic product, Hikma will no longer have the right to sell the Hikma AG product. In addition, Hikma would need to set up its own REMS (or join an existing REMS operated by another company), which must be open to any other company seeking to commercialize a sodium oxybate product. In our settlements with Amneal, Lupin Inc., or Lupin, and Par Pharmaceutical, Inc., or Par, we granted each party the right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sell a limited volume of an AG product in the U.S. beginning on July 1, 2023 and ending on December 31, 2025, with royalties to be paid to us. Amneal launched its AG version of high-sodium oxybate in July 2023. At this time, Amneal has rights to sell a low-single-digit percentage of historical Xyrem sales over each 6-month sales period. At this time, Lupin and Par have elected not to launch an AG product. AG products will be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addition, any company commercializing a generic version of high-sodium oxybate would need to establish its own REMS, or join an existing REMS operated by another company.</w:t>
      </w:r>
    </w:p>
    <w:p>
      <w:pPr>
        <w:spacing w:after="0" w:line="84" w:lineRule="exact"/>
        <w:rPr>
          <w:sz w:val="20"/>
          <w:szCs w:val="20"/>
          <w:color w:val="auto"/>
        </w:rPr>
      </w:pPr>
    </w:p>
    <w:p>
      <w:pPr>
        <w:ind w:right="20" w:firstLine="445"/>
        <w:spacing w:after="0" w:line="270" w:lineRule="auto"/>
        <w:rPr>
          <w:sz w:val="20"/>
          <w:szCs w:val="20"/>
          <w:color w:val="auto"/>
        </w:rPr>
      </w:pPr>
      <w:r>
        <w:rPr>
          <w:rFonts w:ascii="Times New Roman" w:cs="Times New Roman" w:eastAsia="Times New Roman" w:hAnsi="Times New Roman"/>
          <w:sz w:val="17"/>
          <w:szCs w:val="17"/>
          <w:color w:val="auto"/>
        </w:rPr>
        <w:t>In the future, we expect our oxybate products to continue to face competition from generic versions of high-sodium oxybate pursuant to settlement agreements we entered into with multiple ANDA filers. In addition, we received notices in June 2021 and February 2023, that Lupin and Teva, respectively, filed ANDAs for generic versions of Xywav. On October 13, 2023, Lupin announced that it has received tentative approval for its application to market a generic version of Xywav. Generic competition can decrease the net prices at which branded products, such as Xywav and Xyrem are sold, as can competition from other branded products.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Avadel’s Lumryz, have had and may continue to have the effect of changing payor or formulary coverage of Xywav or Xyrem in favor of other products, and indirectly adversely affect sales of Xywav and Xyrem.</w:t>
      </w:r>
    </w:p>
    <w:p>
      <w:pPr>
        <w:spacing w:after="0" w:line="6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For example, in November and December 2022, we received notices from ten ANDA filers that they have each filed with FDA an ANDA for a generic version of Epidiolex. In addition, there are non-FDA approved cannabidiol preparations being made available from companies through the state-enabled medical marijuana industry, which might attempt to compete with Epidiolex. Thus, significant uncertainty remains regarding the commercial potential of Epidiolex/Epidyolex.</w:t>
      </w:r>
    </w:p>
    <w:p>
      <w:pPr>
        <w:spacing w:after="0" w:line="82"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In addition to our neuroscience products and product candidates, we are commercializing a portfolio of oncology products, including Rylaze, Zepzelca, Defitelio and Vyxeos. An inability to effectively commercialize Rylaze, Zepzelca, Defitelio and Vyxeos and to maximize their potential where possible through successful research and development activities could have a material adverse effect on our business, financial condition, results of operations and growth prospects.</w:t>
      </w:r>
    </w:p>
    <w:p>
      <w:pPr>
        <w:spacing w:after="0" w:line="7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72"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w:t>
      </w:r>
    </w:p>
    <w:p>
      <w:pPr>
        <w:spacing w:after="0" w:line="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success of the GW Acquisition will depend, in part, on our ability to realize the anticipated benefits from the combination of our and GW’s historical businesses. Nonetheless, Epidiolex and the other products and technologies acquired may not be successful or continue to grow at the same rate as if our companies operated independently or they may require significantly greater resources and investments than originally anticipated. For example, in the third quarter of 2022, we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recorded a $133.6 million asset impairment charge as a result of the decision to discontinue the nabiximols program. As a result, the anticipated benefits of the GW Acquisition may not be realized at the expected level, within the expected timeframe or at all or may take longer to realize or cost more than expected, which could materially and adversely affect our business, financial condition, results of operations and growth prospects.</w:t>
      </w:r>
    </w:p>
    <w:p>
      <w:pPr>
        <w:spacing w:after="0" w:line="68" w:lineRule="exact"/>
        <w:rPr>
          <w:sz w:val="20"/>
          <w:szCs w:val="20"/>
          <w:color w:val="auto"/>
        </w:rPr>
      </w:pPr>
    </w:p>
    <w:p>
      <w:pPr>
        <w:ind w:right="40" w:firstLine="445"/>
        <w:spacing w:after="0" w:line="269" w:lineRule="auto"/>
        <w:rPr>
          <w:sz w:val="20"/>
          <w:szCs w:val="20"/>
          <w:color w:val="auto"/>
        </w:rPr>
      </w:pPr>
      <w:r>
        <w:rPr>
          <w:rFonts w:ascii="Times New Roman" w:cs="Times New Roman" w:eastAsia="Times New Roman" w:hAnsi="Times New Roman"/>
          <w:sz w:val="17"/>
          <w:szCs w:val="17"/>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Inflation Reduction Act of 2022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spacing w:after="0" w:line="71"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and the U.S. Drug Enforcement Administration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w:t>
      </w:r>
    </w:p>
    <w:p>
      <w:pPr>
        <w:spacing w:after="0" w:line="81" w:lineRule="exact"/>
        <w:rPr>
          <w:sz w:val="20"/>
          <w:szCs w:val="20"/>
          <w:color w:val="auto"/>
        </w:rPr>
      </w:pPr>
    </w:p>
    <w:p>
      <w:pPr>
        <w:ind w:firstLine="445"/>
        <w:spacing w:after="0" w:line="217" w:lineRule="exact"/>
        <w:rPr>
          <w:sz w:val="20"/>
          <w:szCs w:val="20"/>
          <w:color w:val="auto"/>
        </w:rPr>
      </w:pPr>
      <w:r>
        <w:rPr>
          <w:rFonts w:ascii="Times New Roman" w:cs="Times New Roman" w:eastAsia="Times New Roman" w:hAnsi="Times New Roman"/>
          <w:sz w:val="18"/>
          <w:szCs w:val="18"/>
          <w:color w:val="auto"/>
        </w:rPr>
        <w:t>Finally,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and other legal matters, see Note 9, Commitments and Contingencies—Legal Proceedings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It is possible that additional lawsuits will be filed against us making similar or related allegations. We cannot predict the outcome of these or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spacing w:after="0" w:line="101"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These risks and uncertainties are discussed in greater detail, along with other risks and uncertainties, in “Risk Factors” in Part I, Item 1A of our Annual Report on Form 10-K for the year ended December 31, 2023, as supplemented by the risks and uncertainties described in "Risk Factors" in Part II, Item 1A of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revenues and expenses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3"/>
            <w:vMerge w:val="restart"/>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420" w:type="dxa"/>
            <w:vAlign w:val="bottom"/>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989,707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938,398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2,795,953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2,769,604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 sales (excluding amortization of</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technologies)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328,334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947,071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456,731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219,114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(gain) of investees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Comparison to prior period not meaningful.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net product sales, royalties and contract revenues, and total revenues (in thousands,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60" w:type="dxa"/>
            <w:vAlign w:val="bottom"/>
          </w:tcPr>
          <w:p>
            <w:pPr>
              <w:spacing w:after="0"/>
              <w:rPr>
                <w:sz w:val="13"/>
                <w:szCs w:val="13"/>
                <w:color w:val="auto"/>
              </w:rPr>
            </w:pPr>
          </w:p>
        </w:tc>
        <w:tc>
          <w:tcPr>
            <w:tcW w:w="220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1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331,633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935,958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213,711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604,846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675,081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Oncology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938,398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2,795,953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2,769,604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16,134</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2,980,777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2,822,269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Comparison to prior period not meaningful.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Xywav product sales increased in the three and nine months ended September 30, 2024, compared to the same periods in 2023, primarily due to increased sales volumes of 17% and 15% in the respective periods and, to a lesser extent, a higher selling price, offset by higher gross to net deductions. We continue to see Xywav adoption in patients with narcolepsy driven by educational initiatives around efficacy and the benefit of lowering sodium intake. In addition, Xywav product sales were positively impacted by adoption in IH; Xywav is the only oxybate therapy approved to treat IH and we see continued growth of new prescribers. Exiting the quarter, there were 10,075 patients taking Xywav for narcolepsy and 3,550 taking Xywav for IH, an increase of approximately 6% and 39%, respectively, compared to the same period in 2023. Xyrem product sales decreased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three and nine months ended September 30, 2024, compared to the same periods in 2023, primarily due to decreased sales volumes of 53% and 59% in the respective periods, due to high-sodium oxybate competition, the adoption of Xywav by existing Xyrem patients and higher gross to net deductions, partially offset by a higher selling price. Epidiolex/Epidyolex product sales increased in the three and nine months ended September 30, 2024, compared to the same periods in 2023, primarily due to increased sales volumes of 13% and 12% in the respective periods, due to increased demand and geographic expansion and a higher average selling price.</w:t>
      </w:r>
    </w:p>
    <w:p>
      <w:pPr>
        <w:spacing w:after="0" w:line="75"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Rylaze/Enrylaze product sales decreased in the three months ended September 30, 2024, compared to the same period in 2023, primarily due to decreased sales volumes of 2%, partially offset by a higher average selling price. Rylaze/Enrylaze product sales increased in the nine months ended September 30, 2024, compared to the same period in 2023, due to a higher average selling price and increased sales volumes of 6%, partially offset by higher gross to net deductions. Rylaze sales volumes in the three and nine months ended September 30, 2024, have been affected by a recent update to the Children’s Oncology Group, or COG, pediatric treatment protocols for ALL which impact the timing of asparaginase administration. While this will have a temporary negative impact on Rylaze revenue in the third and fourth quarters of 2024, we do not expect it will affect ongoing demand and we anticipate our revenue will normalize by early 2025. We expect that Rylaze demand will continue to be driven by widespread utilization in pediatric asparaginase-based oncology protocols in the U.S. and the opportunity for future growth in the adolescent and young adult market. Zepzelca product sales increased in the three and nine months ended September 30, 2024, compared to the same periods in 2023, due to increased sales volumes and a higher average selling price, offset by higher gross to net deductions. Defitelio/defibrotide product sales increased in the three months ended September 30, 2024, compared to the same period in 2023, primarily due to increased sales volumes. Defitelio/defibrotide product sales increased in the nine months ended September 30, 2024, compared to the same period in 2023, primarily due to increased sales volumes and, to a lesser extent, a higher average selling price. Vyxeos product sales increased in the three and nine months ended September 30, 2024, compared to the same periods in 2023, primarily due to an increase in sales volumes, partially offset by a lower average selling price due to regional mix.</w:t>
      </w:r>
    </w:p>
    <w:p>
      <w:pPr>
        <w:spacing w:after="0" w:line="8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expect total product sales will increase in 2024 over 2023, primarily due to our key growth drivers; Xywav, through continued growth in the IH market, Epidiolex through growth in current markets and expansion into new markets and Rylaze through demand, offset by the impact of the update to the COG treatment protocol on the timing of Rylaze administration, which we expect to be primarily limited to the third and fourth quarters of 2024 and to normalize by early 2025, and a decrease in sales of Xyrem due to the impact of high-sodium oxybate competition and continued Xywav adoption.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 and Contract Revenues</w:t>
      </w:r>
    </w:p>
    <w:p>
      <w:pPr>
        <w:spacing w:after="0" w:line="119"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Royalties and contract revenues increased in the three and nine months ended September 30, 2024, compared to the same periods in 2023, primarily due to royalty revenue received from Hikma Pharmaceuticals plc on net sales of their high sodium oxybate AG. We expect royalties and contract revenues to increase in 2024 compared to 2023, primarily due to increased royalty revenues arising from net sales of high-sodium oxybate AG, primarily due to higher royalty rates in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Cost of product sales increased in the three months ended September 30, 2024, compared to the same period in 2023, primarily due to higher product sales, net and an increase in the acquisition accounting inventory fair value step-up expense, or fair value step-up expense. Cost of product sales decreased in the nine months ended September 30, 2024, compared to the same period in 2023, primarily due to a reduction in the fair value step-up expense, partially offset by changes in product mix. Gross margin as a percentage of net product sales was 88.7% for both the three and nine months ended September 30, 2024, compared to 89.1% and 88.1% for the same periods in 2023. Cost of product sales for 2024 is expected to be in line with 2023.</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2024, increased compared to the same period in 2023, primarily due to increased compensation-related expenses of $15.3 million, primarily driven by higher headcount in support of our key growth drivers. Selling, general and administrative expenses for the nine months ended September 30, 2024, increased compared to the same period in 2023, primarily due to increased compensation-related expenses of $36.7 million, primarily driven by higher headcount in support of our key growth drivers, increased marketing investment in our priority programs of $18.5 million, increased litigation costs of $16.9 million, offset by costs related to program terminations of $23.5 million incurred in the nine months ended September 30, 2023.</w:t>
      </w:r>
    </w:p>
    <w:p>
      <w:pPr>
        <w:spacing w:after="0" w:line="7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For 2024, we expect selling, general and administrative expenses in 2024 to increase compared to 2023, primarily due to continued investment in our key growth drivers, such as Xywav in IH, Epidiolex and Rylaze along with increased employee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breakout of our research and development expenses by major categories of expense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studies and outside services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366,659</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192,435</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expense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68,456</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633,050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decreased by $34.5 million in the three months ended September 30, 2024, compared to the same period in 2023. Clinical studies and outside services costs decreased in the three months ended September 30, 2024, compared to the same period in 2023, primarily due to the inclusion of costs related to JZP150 (post-traumatic stress disorder, or PTSD) in the three months ended September 30, 2023 and lower costs related to zanidatamab. Research and development expenses increased by $10.5 million in the nine months ended September 30, 2024, compared to the same period in 2023. Clinical studies and outside services costs increased in the nine months ended September 30, 2024, compared to the same period in 2023, primarily due to higher costs related to zanidatamab programs, offset by the inclusion of costs related to JZP150 (PTSD) incurred in the nine months ended September 30, 2023. Personnel expenses increased in the three and nine months ended September 30, 2024, compared to the same periods in 2023, primarily driven by increased compensation costs in support of our development programs.</w:t>
      </w:r>
    </w:p>
    <w:p>
      <w:pPr>
        <w:spacing w:after="0" w:line="84"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For 2024, we expect that our research and development expenses will continue to increase compared to 2023, as we prepare for anticipated data read-outs from clinical trials, initiate and undertake additional clinical trials and related development work primarily relating to zanidatamab.</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11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Intangible asset amortization increased in the three and nine months ended September 30, 2024, compared to the same periods in 2023, primarily due to the impact of foreign currency translation adjustments. Intangible asset amortization for 2024 is expected to be in line with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119"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Acquired in-process research and development, or IPR&amp;D, expense in the nine months ended September 30, 2024, related to the upfront payment of $10.0 million made in connection with our asset purchase and collaboration agreement with Redx to acquire global rights to the Kirsten rat sarcoma virus, or KRAS, Inhibitor Program.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Interest expense, net decreased by $12.8 million and $32.3 million in the three and nine months ended September 30, 2024, compared to the same periods in 2023, primarily due to higher interest income on investments driven by our increased deposits and higher interest rates and lower interest expense on the seven-year $2.7 billion term loan B facility, or the Tranche B-2 Dollar Term Loans. We expect interest expense, net to decrease in 2024 compared to 2023, primarily due to higher interest income on investments driven by our increased deposits and higher interest rates and lower interest expense following the repricing of the Tranche B-2 Dollar Term Loans. For further information on this, please refer to Liquidity and Capital Resources.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w:t>
      </w:r>
    </w:p>
    <w:p>
      <w:pPr>
        <w:spacing w:after="0" w:line="11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foreign exchange loss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19"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Our income tax benefit was $14.5 million and $33.5 million for the three and nine months ended September 30, 2024, respectively, compared to $47.2 million and $86.8 million for the same periods in 2023, relating to tax arising on income or losses in Ireland, the U.K., the U.S. and certain other foreign jurisdictions and tax deficiencies from share based compensation, offset by deductions on subsidiary equity, foreign derived intangible income benefits and tax credits. The decrease in the income tax benefit for the three and nine months ended September 30, 2024 compared to the same periods in 2023 resulted primarily from changes in the mix of pre-tax income and losses across tax jurisdictions.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As of September 30, 2024, we had cash, cash equivalents and investments of $2.6 billion, borrowing availability under our five-year $500.0 million revolving credit facility, or the Revolving Credit Facility, of $500.0 million and long-term debt principal balance of $6.2 billion. Our long-term debt included $2.7 billion aggregate principal amount of the Tranche B-2 Dollar Term Loan, $1.5 billion in aggregate principal amount of 4.375% senior secured notes, due 2029, or the Secured Notes, $1.0 billion principal amount on our 2.000% exchangeable senior notes due 2026, or 2026 Notes, and $1.0 billion principal amount on our 3.125% exchangeable senior notes due 2030, or 2030 Notes. We generated cash flows from operations of</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$997.3 million during the nine months ended September 30, 2024, and we expect to continue to generate positive cash flows from operations which will enable us to operate our business and de-lever our balance sheet over time.</w:t>
      </w:r>
    </w:p>
    <w:p>
      <w:pPr>
        <w:spacing w:after="0" w:line="7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Since the closing of the acquisition of GW in May 2021, we have fully repaid our seven-year €625.0 million ($753.0 million) term loan B facility, or the Euro Term Loan, made voluntary and mandatory repayments of $300.0 million and $100.8 million, respectively, relating to our Tranche B-2 Dollar Term Loans (formally our seven-year $3.1 billion term loan B facility, or Dollar Term Loan). In August 2024, we repaid the $575.0 million aggregate principal amount of our 1.50% exchangeable senior notes due 2024, or the 2024 Notes.</w:t>
      </w:r>
    </w:p>
    <w:p>
      <w:pPr>
        <w:spacing w:after="0" w:line="72" w:lineRule="exact"/>
        <w:rPr>
          <w:sz w:val="20"/>
          <w:szCs w:val="20"/>
          <w:color w:val="auto"/>
        </w:rPr>
      </w:pPr>
    </w:p>
    <w:p>
      <w:pPr>
        <w:ind w:right="180" w:firstLine="445"/>
        <w:spacing w:after="0" w:line="219" w:lineRule="exact"/>
        <w:rPr>
          <w:sz w:val="20"/>
          <w:szCs w:val="20"/>
          <w:color w:val="auto"/>
        </w:rPr>
      </w:pPr>
      <w:r>
        <w:rPr>
          <w:rFonts w:ascii="Times New Roman" w:cs="Times New Roman" w:eastAsia="Times New Roman" w:hAnsi="Times New Roman"/>
          <w:sz w:val="18"/>
          <w:szCs w:val="18"/>
          <w:color w:val="auto"/>
        </w:rPr>
        <w:t>We have a significant amount of debt outstanding on a consolidated basis. For a more detailed description of our debt arrangements, including information relating to our scheduled maturities with respect to our long-term debt, see Note 8, Debt,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This substantial level of debt could have important consequences to our business, including, but not limited to the factors set forth in “Risk Factors” of our Annual Report on Form 10-K for the year ended December 31, 2023,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5"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under the heading "Risks Related to our Lead Products and Product Candidates” in Part I, Item 1A of our Annual Report on Form 10-K for the year ended December 31, 2023, as supplemented by the risks described in “Risk Factors" under the heading “Delays or</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in Part II, Item 1A of this Quarterly Report on Form 10-Q, as well as those factors set forth in “Risk Factors" under the heading and “To continue to grow our business, we will need to commit substantial resources, which could result in future losses or otherwise limit our opportunities or affect our ability to operate and grow our business” in Part I, Item 1A of our Annual Report on Form 10-K for the year ended December 31, 2023.</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68" w:lineRule="exact"/>
        <w:rPr>
          <w:sz w:val="20"/>
          <w:szCs w:val="20"/>
          <w:color w:val="auto"/>
        </w:rPr>
      </w:pPr>
    </w:p>
    <w:p>
      <w:pPr>
        <w:ind w:right="80" w:firstLine="445"/>
        <w:spacing w:after="0" w:line="251"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July 2024, our shareholders voted to approve our proposal to dis-apply the statutory pre-emption obligation. This current pre-emption opt-out authority is due to expire in</w:t>
      </w:r>
    </w:p>
    <w:p>
      <w:pPr>
        <w:spacing w:after="0" w:line="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January 2026.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including at the time we are required to make repurchases of the 2026 Notes, the 2030 Notes and/or the Secured Notes, are required to repay outstanding amounts under the Amended Credit Agreement (as defined below), or pay cash upon exchange of the 2026 Notes or the 2030 Notes, could likewise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Amended Credit Agreement that provides for (i) the Tranche B-2 Dollar Term Loans, (ii) the Euro Term Loan (iii) the Revolving Credit Facility, and the indenture for the Secured Notes for certain financings.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July 2024, our board of directors authorized a share repurchase program to repurchase ordinary shares having an aggregate purchase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exclusive of any brokerage commissions, or the New Repurchase Program. Under the New Repurchase Program, which has no expiration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we may repurchase ordinary shares from time to time by any methods and/or structures permitted by applicable law. The timing and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will depend on a variety of factors, including the price of our ordinary shares, alternative investment opportunities, restrictions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Credit Agreement and the indenture for our Secured Notes, corporate and regulatory requirements and market conditions. The New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may be modified, suspended or discontinued at any time without our prior notice. The New Repurchase Program replaces and supersedes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program authorized by our board of directors in November 2016, which, as of the date of it being superseded by the New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had authorized the repurchase of ordinary shares having an aggregate purchase price of up to $1.5 billion, exclusive of any brokerage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or the Old Repurchase Program, and, together with the New Repurchase Program, the “repurchase programs”. During the three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2024, we spent a total of $150.0 million to repurchase 1.4 million of our ordinary shares, all under the New Repurchase Program,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including commissions, of $109.32 per share. The repurchases during the three months ended September 30, 2024 were effected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privately negotiated transactions with or through one of the initial purchasers of the 2030 Notes concurrently with the pricing of the offering of the 2030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During the nine months ended September 30, 2024, we spent a total of $311.4 million to purchase 2.8 million of our ordinary shares under the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programs at an average total purchase price, including commissions, of $110.06 per share. During the nine months ended September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spent a total of $170.0 million to purchase 1.3 million of our ordinary shares under the Old Repurchase Program at an average total 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commissions, of $128.89 per share. All ordinary shares repurchased were cancelled. As of September 30, 2024, the remaining amount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repurchases under the New Repurchase Program was $350.0 million, exclusive of any brokerage commissions.</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 (in thousands):</w:t>
      </w:r>
    </w:p>
    <w:p>
      <w:pPr>
        <w:spacing w:after="0" w:line="15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924,668</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(264,860)</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(204,948)</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by $72.7 million in the nine months ended September 30, 2024, compared to the same period in 2023, primarily due to cash received from increased sales of our products and the timing of payment of accrued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$50.0 million in the nine months ended September 30, 2024, compared to the same period in 2023, primarily due to the following:</w:t>
      </w:r>
    </w:p>
    <w:p>
      <w:pPr>
        <w:spacing w:after="0" w:line="5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 million net increase in the acquisition of investments, driven by time deposits;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million increase in purchases of property, plant and equipment;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upfront payment to Redx related to our asset purchase and collaboration agreement in the nine months ended September 30,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Net cash provided by (used in) financing activities increased by $233.7 million in the nine months ended September 30, 2024, compared to the same period in 2023, primarily due to:</w:t>
      </w:r>
    </w:p>
    <w:p>
      <w:pPr>
        <w:spacing w:after="0" w:line="54" w:lineRule="exact"/>
        <w:rPr>
          <w:sz w:val="20"/>
          <w:szCs w:val="20"/>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$405.8 million in debt financing due to net proceeds from issuance of the 2030 Notes of $980.8 million, offset by the repayment of the 2024 Notes of $575.0 million; partially offset by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$141.5 million in share repurchases;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$26.2 million in proceeds from employee equity incentive and purchase plans.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summary of our outstanding indebtedness and scheduled maturities with respect to our long-term debt principal balances is included in Note 8, Debt, of the Notes to Condensed Consolidated Financial Statements included in Part I, Item 1 of this Quarterly Report on Form 10-Q. In January and July 2024, we entered into amendments to the Credit Agreement, as described below. In July 2024, we made an irrevocable election to fix the settlement method for exchanges of the 2026 Notes and, as a result, an exchanging noteholder will receive (i) up to $1,000 in cash per $1,000 principal amount of the 2026 Notes exchanged and (ii) any combination of cash and/or our ordinary shares, for any exchange consideration in excess of $1,000 per $1,000 principal amount of the 2026 Notes. In August 2024, we repaid the $575.0 million aggregate principal amount of the 2024 Notes at maturity, plus accrued and unpaid interest thereon. In September 2024, Jazz Investments I Limited, our wholly owned subsidiary, or Jazz Investments, completed a private offering of an aggregate $1.0 billion principal amount of the 2030 Notes.</w:t>
      </w:r>
    </w:p>
    <w:p>
      <w:pPr>
        <w:spacing w:after="0" w:line="84"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other changes to our financing arrangements, as set forth in Note 12, Debt, of the Notes to Consolidated Financial Statements included in our Annual Report on Form 10-K for the year ended December 31, 2023.</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On May 5, 2021, the Company, Jazz Financing Lux S.à.r.l., or Jazz Lux, and certain of our other subsidiaries, as borrowers, or, collectively with the Company and Jazz Lux, the “Borrowers”, entered into the Credit Agreement by and among the Borrowers, the lenders and issuing banks from time to time party thereto, Bank of America, N.A., as administrative agent and U.S. Bank Trust Company, National Association, as collateral trustee, or the Credit Agreement. The Credit Agreement initially provided for (i) the Dollar Term Loan which was drawn by Jazz Lux on the closing date thereof in U.S. dollars (ii) the Euro Term Loan which was drawn by Jazz Lux on the closing date thereof in Euros and (iii) the Revolving Credit Facility.</w:t>
      </w:r>
    </w:p>
    <w:p>
      <w:pPr>
        <w:spacing w:after="0" w:line="75"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In January 2024, Jazz Lux entered into an amendment, or the Repricing Amendment No.1, to the Credit Agreement. Upon entry into the Repricing Amendment No.1, certain existing lenders converted a portion of the outstanding Dollar Term Loan into a new tranche of U.S. dollar term loans, or the Tranche B-1 Dollar Term Loans, and Jazz Lux borrowed $201.9 million aggregate principal amount of additional Tranche B-1 Dollar Term Loans, the proceeds of which were used to repay the portion of the outstanding Dollar Term Loan that was not converted.</w:t>
      </w:r>
    </w:p>
    <w:p>
      <w:pPr>
        <w:spacing w:after="0" w:line="7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July 2024, Jazz Lux entered into an amendment, or the Repricing Amendment No. 2, to the Credit Agreement, or the Amended Credit Agreement. Upon entry into the Amended Credit Agreement, certain existing lenders converted a portion of the outstanding Tranche B-1 Dollar Term Loans into a new tranche of U.S. dollar term loans, or the Tranche B-2 Dollar Term Loans, and Jazz Lux borrowed $289.6 million aggregate principal amount of additional Tranche B-2 Dollar Term Loans, the proceeds of which were used to repay the portion of the outstanding Tranche B-1 Dollar Term Loans that were not converted.</w:t>
      </w:r>
    </w:p>
    <w:p>
      <w:pPr>
        <w:spacing w:after="0" w:line="75"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Tranche B-2 Dollar Term Loans are a separate class of term loans under the Amended Credit Agreement with the same material terms (including with respect to maturity, prepayment, security, covenants and events of default) as the previously outstanding Tranche B-1 Dollar Term Loans and the initial Dollar Term Loan incurred on May 5, 2021, with the interest rate amended as described below and the credit spread adjustment removed. The principal amount of Tranche B-1 Dollar Term Loans outstanding immediately prior to the Repricing Amendment No. 2 and the outstanding principal amount of Tranche B-2 Dollar Term Loans immediately following the Repricing Amendment No.2, each totaled $2.7 billion.</w:t>
      </w:r>
    </w:p>
    <w:p>
      <w:pPr>
        <w:spacing w:after="0" w:line="75"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Tranche B-2 Dollar Term Loans bear interest at a rate equal to either (a) Term SOFR, or (b) the prime lending rate, in each case, plus an applicable margin. The applicable margin for the Tranche B-2 Dollar Term Loans is 2.25% (in the case of Term SOFR borrowings) and 1.25% (in the case of borrowings at the prime lending rate), a decrease of 75 basis points from the applicable margin on the Tranche B-1 Dollar Term Loans. The Tranche B-2 Dollar Term Loans are subject to a Term SOFR floor of 0.50%. As of September 30, 2024, the interest rate and effective interest rate on the Tranche B-2 Dollar Term Loans were 7.10% and 8.27%, respectively. The Tranche B-2 Dollar Term Loans will amortize in quarterly installments equal to 0.286294791% of the initial aggregate principal amount thereof, with the remaining balance payable on May 5, 2028.</w:t>
      </w:r>
    </w:p>
    <w:p>
      <w:pPr>
        <w:spacing w:after="0" w:line="7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applicable margin for the Revolving Credit Facility ranges from 3.25% to 2.75% (in the case of Term SOFR borrowings) and 2.25% to 1.75% (in the case of borrowings at the prime lending rate), depending on our first lien secured net leverage ratio level, any loans under the Revolving Credit Facility are not subject to a Term SOFR floor. The Revolving Credit Facility has a commitment fee payable on the undrawn amount ranging from 0.50% to 0.40% per annum based upon our first lien secured net leverage ratio. As of September 30, 2024, we had an undrawn Revolving Credit Facility totaling $500.0 million.</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2030 Notes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September 2024, Jazz Investments completed a private placement of $1.0 billion principal amount of the 2030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Interest on the 2030 Notes is payable semi-annually in cash in arrears on March 15 and September 15 of each year, beginning on March 15, 2025, at a rate of 3.125% per year. In certain circumstances, we may be required to pay additional amounts as a result of any applicable tax withholding or deductions required in respect of payments on the 2030 Notes. The 2030 Notes mature on September 15, 2030, unless earlier exchanged, redeemed or repurchased.</w:t>
      </w:r>
    </w:p>
    <w:p>
      <w:pPr>
        <w:spacing w:after="0" w:line="7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holders of the 2030 Notes have the ability to require us to repurchase all or a portion of their 2030 Notes for cash at a fundamental change repurchase price equal to 100% of the principal amount of the notes to be repurchased, plus accrued and unpaid interest to, but excluding, the fundamental change repurchase date in the event we undergo a fundamental change (as defined in the indenture related to the 2030 Notes),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w:t>
      </w:r>
    </w:p>
    <w:p>
      <w:pPr>
        <w:spacing w:after="0" w:line="75"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Additionally, the terms and covenants in the indenture related to the 2030 Notes include certain events of default after which the 2030 Notes may be due and payable immediately.</w:t>
      </w:r>
    </w:p>
    <w:p>
      <w:pPr>
        <w:spacing w:after="0" w:line="5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Prior to September 15, 2030, we may redeem the 2030 Notes, in whole but not in part, in connection with certain tax-related events. We also may redeem the 2030 Notes on or after September 20, 2027 and prior to June 15, 2030, in whole or in part (subject to the partial redemption limitation described in the indenture related to the 2030 Notes),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excluding, the redemption date.</w:t>
      </w:r>
    </w:p>
    <w:p>
      <w:pPr>
        <w:spacing w:after="0" w:line="79"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The 2030 Notes are exchangeable at an initial exchange rate of 6.5339 ordinary shares per $1,000 principal amount of 2030 Notes, which is equivalent to an initial exchange price of approximately $153.05 per ordinary share. Upon exchange of the 2030 Notes, we will pay cash up to the aggregate principal amount of the 2030 Notes to be exchanged and pay or deliver, as the case may be, cash, ordinary shares or a combination of cash and ordinary shares, at our election, in respect of the remainder, if any, of our exchange obligation in excess of the aggregate principal amount of the 2030 Notes being exchanged. The exchange rate is subject to adjustment in some events but will not be adjusted for any accrued and unpaid interest. In addition, following certain make-whole fundamental changes (as defined in the indenture related to the 2030 Notes) that occur prior to the maturity date or upon our issuance of a notice of redemption, we will, in certain circumstances, increase the exchange rate for a holder who elects to exchange its 2030 Notes in connection with that make-whole fundamental change or exchange its 2030 Notes called (or deemed called) for redemption during the related redemption period. Prior to June 15, 2030, the 2030 Notes will be exchangeable only upon satisfaction of certain conditions and during certain periods, and thereafter, at any time until the close of business on the second scheduled trading day immediately preceding the maturity date.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right="560" w:firstLine="44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material changes to our contractual obligations as set forth in Part II, Item 7 “Management’s Discussion and Analysis of Financial Condition and Results of Operations” in our Annual Report on Form 10-K for the year ended December 31, 2023.</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43" w:lineRule="exact"/>
        <w:rPr>
          <w:sz w:val="20"/>
          <w:szCs w:val="20"/>
          <w:color w:val="auto"/>
        </w:rPr>
      </w:pPr>
    </w:p>
    <w:p>
      <w:pPr>
        <w:ind w:right="300" w:firstLine="445"/>
        <w:spacing w:after="0" w:line="245" w:lineRule="exact"/>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 Our critical accounting policies and significant estimates have not changed substantially from those previously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80" w:lineRule="exact"/>
        <w:rPr>
          <w:sz w:val="20"/>
          <w:szCs w:val="20"/>
          <w:color w:val="auto"/>
        </w:rPr>
      </w:pPr>
    </w:p>
    <w:p>
      <w:pPr>
        <w:ind w:right="100" w:firstLine="445"/>
        <w:spacing w:after="0" w:line="223"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known and unknown risks, uncertainties and other factors include, without limitation:</w:t>
      </w:r>
    </w:p>
    <w:p>
      <w:pPr>
        <w:spacing w:after="0" w:line="90" w:lineRule="exact"/>
        <w:rPr>
          <w:sz w:val="20"/>
          <w:szCs w:val="20"/>
          <w:color w:val="auto"/>
        </w:rPr>
      </w:pPr>
    </w:p>
    <w:p>
      <w:pPr>
        <w:ind w:left="660" w:right="4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revenues from our oxybate franchise together with high-sodium oxybate AG royalty revenue would have a material adverse effect on our business, financial condition, results of operations and growth prospects.</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in the U.S. market that compete with, or otherwise disrupt the market for, our oxybate products and product candidates has adversely affected and may continue to adversely affect sales of our oxybate products and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and sale of our oxybate products are subject to significant regulatory restrictions, including the requirements of a risk evaluation and mitigation strategy and safety reporting requirements, and these regulatory and safety requirements subject us to risks and uncertainties, any of which could negatively impact sales of Xywav and Xyrem.</w:t>
      </w:r>
    </w:p>
    <w:p>
      <w:pPr>
        <w:spacing w:after="0" w:line="6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Xywav and Epidiolex/Epidyolex to remain our largest products, our success also depends on our ability to effectively commercialize our other existing products and potential future products.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from other companies, including companies with larger sales organizations and more experience working with large and diverse product portfolios, and competition from generic drugs.</w:t>
      </w:r>
    </w:p>
    <w:p>
      <w:pPr>
        <w:spacing w:after="0" w:line="53"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access, coverage and reimbursement, the commercial success of our products depends upon their market acceptance by physicians, patients, third party payors and the medical community.</w:t>
      </w:r>
    </w:p>
    <w:p>
      <w:pPr>
        <w:spacing w:after="0" w:line="53" w:lineRule="exact"/>
        <w:rPr>
          <w:rFonts w:ascii="Times New Roman" w:cs="Times New Roman" w:eastAsia="Times New Roman" w:hAnsi="Times New Roman"/>
          <w:sz w:val="18"/>
          <w:szCs w:val="18"/>
          <w:color w:val="auto"/>
        </w:rPr>
      </w:pPr>
    </w:p>
    <w:p>
      <w:pPr>
        <w:ind w:left="660" w:right="200" w:hanging="328"/>
        <w:spacing w:after="0" w:line="312"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31" w:lineRule="exact"/>
        <w:rPr>
          <w:rFonts w:ascii="Times New Roman" w:cs="Times New Roman" w:eastAsia="Times New Roman" w:hAnsi="Times New Roman"/>
          <w:sz w:val="17"/>
          <w:szCs w:val="17"/>
          <w:color w:val="auto"/>
        </w:rPr>
      </w:pPr>
    </w:p>
    <w:p>
      <w:pPr>
        <w:ind w:left="660" w:right="7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data security breaches could adversely affect our business.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53"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54"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our Annual Report on Form 10-K for the year ended December 31, 2023, as supplemented by the risks and uncertainties described in "Risk Factors" Part II, Item 1A. in this Quarterly Report on Form 10-Q.</w:t>
      </w:r>
    </w:p>
    <w:p>
      <w:pPr>
        <w:spacing w:after="0" w:line="68" w:lineRule="exact"/>
        <w:rPr>
          <w:sz w:val="20"/>
          <w:szCs w:val="20"/>
          <w:color w:val="auto"/>
        </w:rPr>
      </w:pPr>
    </w:p>
    <w:p>
      <w:pPr>
        <w:ind w:right="80" w:firstLine="445"/>
        <w:spacing w:after="0" w:line="219" w:lineRule="exact"/>
        <w:rPr>
          <w:sz w:val="20"/>
          <w:szCs w:val="20"/>
          <w:color w:val="auto"/>
        </w:rPr>
      </w:pPr>
      <w:r>
        <w:rPr>
          <w:rFonts w:ascii="Times New Roman" w:cs="Times New Roman" w:eastAsia="Times New Roman" w:hAnsi="Times New Roman"/>
          <w:sz w:val="18"/>
          <w:szCs w:val="18"/>
          <w:color w:val="auto"/>
        </w:rPr>
        <w:t>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3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Except as set forth below, during the nine months ended September 30, 2024, there were no material changes to our market risk disclosures as set forth in Part II, Item 7A “Quantitative and Qualitative Disclosures About Market Risk” in our Annual Report on Form 10-K for the year ended December 31, 2023.</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Exchangeable Senior Notes 2030</w:t>
      </w:r>
    </w:p>
    <w:p>
      <w:pPr>
        <w:spacing w:after="0" w:line="12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September 2024, Jazz Investments I Limited, our wholly owned subsidiary, completed a private placement of $1.0 billion aggregate principal amount of the 2030 Notes. The 2030 Notes have a fixed annual interest rate of 3.125% and we therefore do not have economic interest rate exposure on the 2030 Notes. However, the fair value of the 2030 Notes is exposed to interest rate risk. Generally, the fair value of the 2030 Notes will increase as interest rates fall and decrease as interest rates rise. The fair value of the 2030 Notes is also affected by volatility in our ordinary share price. As of September 30, 2024 the fair value of the 2030 Notes was estimated to be $1.0 billion.</w:t>
      </w:r>
    </w:p>
    <w:p>
      <w:pPr>
        <w:spacing w:after="0" w:line="31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right="240" w:firstLine="445"/>
        <w:spacing w:after="0" w:line="221" w:lineRule="exact"/>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We have carried out an evaluation under the supervision and with the participation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including our principal executive officer and principal financial officer, of our disclosure controls and procedures (as defined in Rule 13a-15(e) and 15d-15(e) of the Exchange Act) as of the end of the period covered by this Quarterly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Based on their evaluation, our principal executive officer and principal financial officer concluded that our disclosure controls and procedures were effective as of September 30, 2024.</w:t>
      </w:r>
    </w:p>
    <w:p>
      <w:pPr>
        <w:spacing w:after="0" w:line="89"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Limitations on the Effectiveness of Controls</w:t>
      </w:r>
      <w:r>
        <w:rPr>
          <w:rFonts w:ascii="Times New Roman" w:cs="Times New Roman" w:eastAsia="Times New Roman" w:hAnsi="Times New Roman"/>
          <w:sz w:val="18"/>
          <w:szCs w:val="18"/>
          <w:color w:val="auto"/>
        </w:rPr>
        <w:t>. A control system, no matter how well conceived and operated, can provide only reasonable,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During the quarter ended September 30, 2024, there were no changes to our internal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780" w:firstLine="445"/>
        <w:spacing w:after="0" w:line="239" w:lineRule="exact"/>
        <w:rPr>
          <w:sz w:val="20"/>
          <w:szCs w:val="20"/>
          <w:color w:val="auto"/>
        </w:rPr>
      </w:pPr>
      <w:r>
        <w:rPr>
          <w:rFonts w:ascii="Times New Roman" w:cs="Times New Roman" w:eastAsia="Times New Roman" w:hAnsi="Times New Roman"/>
          <w:sz w:val="18"/>
          <w:szCs w:val="18"/>
          <w:color w:val="auto"/>
        </w:rPr>
        <w:t>The information required to be set forth under this Item 1 is incorporated by reference to Note 9, Commitments and Contingencies—Legal Proceedings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35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December 31, 2023. Our risk factors disclosed in Part I, Item 1A of our Annual Report on Form 10-K for the year ended December 31, 2023, provide additional discussion regarding these supplemental risks and we encourage you to read and carefully consider all of the risk factors disclosed in Part I, Item 1A of our Annual Report on Form 10-K for the year ended December 31, 2023, together with the below, for a more complete understanding of the risks and uncertainties material to our business.</w:t>
      </w:r>
    </w:p>
    <w:p>
      <w:pPr>
        <w:spacing w:after="0" w:line="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51" w:lineRule="exact"/>
        <w:rPr>
          <w:sz w:val="20"/>
          <w:szCs w:val="20"/>
          <w:color w:val="auto"/>
        </w:rPr>
      </w:pPr>
    </w:p>
    <w:p>
      <w:pPr>
        <w:ind w:right="60" w:firstLine="445"/>
        <w:spacing w:after="0" w:line="252"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federal and state controlled substances obligations and equivalent rules and regulations prescribed by non-U.S. regulatory authorities. If we or any of our suppliers encounter manufacturing, quality or compliance difficulties with respect to any of our products, whether due to the ongoing military conflict in Ukraine and related sanctions imposed against Russia (including as a result of disruptions of global shipping, the transport of products, energy supply, cybersecurity incidents and banking systems as well as of our ability to control input costs)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8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have a manufacturing and development facility in Athlone, Ireland where we manufacture Xywav and Xyrem, a manufacturing plant in Villa Guardia, Italy where we produce the defibrotide drug substance and a manufacturing and development facility in the U.K. at Kent Science Park, where we produce Epidiolex/Epidyolex and have capability to develop product candidates. We currently do not have our own commercial manufacturing or packaging capability for our other products, their APIs or product candidates outside of those developed at Kent Science Park.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7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84"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We are responsible for the manufacture and supply of Epidiolex/Epidyolex for commercial use and for use in clinical trials. The manufacturing of Epidiolex/Epidyolex necessitates compliance with Good Manufacturing Practice, or GMP,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regulatory requirements in jurisdictions internationally. Our ability to successfully manufacture Epidiolex/Epidyolex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We have a second site at which we can grow the specific cannabinoid plants that produce the CBD used in Epidiolex/Epidyolex and a second site at which we can crystallize the purified CBD from the liquid plant extract. If we are unable to manufacture Epidiolex/Epidyolex in accordance with regulatory specifications, including GMP, or if there are disruptions in our manufacturing process due to damage, loss or otherwise, or failure to pass regulatory inspections of our manufacturing facilities, we may not be able to meet current demand or supply sufficient product for use in clinical trials, and this may also harm our ability to commercialize Epidiolex/Epidyolex on a timely or cost-competitive basis, if at all. Our manufacturing program requires significant time and resources and may not be successful, may lead to delays, interruptions to supply or may prove to be more costly than anticipated.</w:t>
      </w:r>
    </w:p>
    <w:p>
      <w:pPr>
        <w:spacing w:after="0" w:line="84"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Vyxeos is manufactured by Simtra Biopharma Solutions, which is a sole source supplier from a single site location.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our ability to conduct ongoing and future clinical trials of Vyxeos, and our business, financial condition, results of operations and growth prospects could be materially adversely affected.</w:t>
      </w:r>
    </w:p>
    <w:p>
      <w:pPr>
        <w:spacing w:after="0" w:line="75"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Rylaze drug substance is manufactured by AGC Biologics A/S at its facility in Copenhagen, Denmark and the drug product is manufactured and packaged by Patheon at its facility in Greenville, North Carolina. To successfully manufacture Rylaze, the manufacturer must have an adequate master and working cell bank. If we fail to obtain a sufficient supply of Rylaze in accordance with applicable specifications on a timely basis, our sales of Rylaze, our future maintenance and potential growth of the market for this product, our competitive advantage over competing products that have supply constraints, and our business, financial condition, results of operations and growth prospects could be materially adversely affected.</w:t>
      </w:r>
    </w:p>
    <w:p>
      <w:pPr>
        <w:spacing w:after="0" w:line="75"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addition, in order to conduct our ongoing and any future clinical trials of, complete marketing authorization submissions for, and potentially launch our other product candidates, we also need to have sufficient quantities of product manufactured. We currently rely on WuXi Biologics Co., Ltd., or WuXi, a company based in the People's Republic of China, or PRC, as the sole supplier of our product candidate, zanidatamab. Accordingly, there is a risk that supplies of our product candidate may be significantly delayed by, or may become unavailable as a result of, manufacturing, equipment, process, regulatory or business-related issues affecting that company. We may also face additional manufacturing and supply-chain risks due to the regulatory and political structure of the PRC, or as a result of the international relationship between the PRC and the U.S., including but not limited to potential sanctions imposed by the U.S. government on WuXi. Although to date there has been no impact on our ability to obtain supply of zanidatamab, there can be no assurance that operations would not be impacted in the future with a negative impact on supply of our product candidate.</w:t>
      </w:r>
    </w:p>
    <w:p>
      <w:pPr>
        <w:spacing w:after="0" w:line="84"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Moreover, to obtain approval from FDA or a similar international or national regulatory body of any product candidate, including zanidatamab,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purchases of our ordinary shares made by or on behalf of us or any of our “affiliated purchasers” as defined in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10b-18(a)(3) under the Securities Exchange Act of 1934, as amended, during each fiscal month during the three-month period ended September 30,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Number (or</w:t>
            </w:r>
          </w:p>
        </w:tc>
      </w:tr>
      <w:tr>
        <w:trPr>
          <w:trHeight w:val="137"/>
        </w:trPr>
        <w:tc>
          <w:tcPr>
            <w:tcW w:w="3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jc w:val="center"/>
              <w:ind w:right="19"/>
              <w:spacing w:after="0" w:line="137"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60"/>
        </w:trPr>
        <w:tc>
          <w:tcPr>
            <w:tcW w:w="3240" w:type="dxa"/>
            <w:vAlign w:val="bottom"/>
          </w:tcPr>
          <w:p>
            <w:pPr>
              <w:spacing w:after="0"/>
              <w:rPr>
                <w:sz w:val="13"/>
                <w:szCs w:val="13"/>
                <w:color w:val="auto"/>
              </w:rPr>
            </w:pPr>
          </w:p>
        </w:tc>
        <w:tc>
          <w:tcPr>
            <w:tcW w:w="1860" w:type="dxa"/>
            <w:vAlign w:val="bottom"/>
          </w:tcPr>
          <w:p>
            <w:pPr>
              <w:jc w:val="right"/>
              <w:ind w:right="11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16"/>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00" w:type="dxa"/>
            <w:vAlign w:val="bottom"/>
          </w:tcPr>
          <w:p>
            <w:pPr>
              <w:spacing w:after="0"/>
              <w:rPr>
                <w:sz w:val="13"/>
                <w:szCs w:val="13"/>
                <w:color w:val="auto"/>
              </w:rPr>
            </w:pPr>
          </w:p>
        </w:tc>
        <w:tc>
          <w:tcPr>
            <w:tcW w:w="1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13"/>
                <w:szCs w:val="13"/>
                <w:color w:val="auto"/>
              </w:rPr>
            </w:pPr>
          </w:p>
        </w:tc>
        <w:tc>
          <w:tcPr>
            <w:tcW w:w="22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r>
      <w:tr>
        <w:trPr>
          <w:trHeight w:val="196"/>
        </w:trPr>
        <w:tc>
          <w:tcPr>
            <w:tcW w:w="3240" w:type="dxa"/>
            <w:vAlign w:val="bottom"/>
          </w:tcPr>
          <w:p>
            <w:pPr>
              <w:spacing w:after="0"/>
              <w:rPr>
                <w:sz w:val="17"/>
                <w:szCs w:val="17"/>
                <w:color w:val="auto"/>
              </w:rPr>
            </w:pPr>
          </w:p>
        </w:tc>
        <w:tc>
          <w:tcPr>
            <w:tcW w:w="18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Share (2)</w:t>
            </w:r>
          </w:p>
        </w:tc>
        <w:tc>
          <w:tcPr>
            <w:tcW w:w="20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Under the Plans or Programs (4)</w:t>
            </w:r>
          </w:p>
        </w:tc>
      </w:tr>
      <w:tr>
        <w:trPr>
          <w:trHeight w:val="229"/>
        </w:trPr>
        <w:tc>
          <w:tcPr>
            <w:tcW w:w="3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July 1 - July 31, 2024</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tcBorders>
            <w:shd w:val="clear" w:color="auto" w:fill="CCED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tcBorders>
            <w:shd w:val="clear" w:color="auto" w:fill="CCED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tcBorders>
            <w:shd w:val="clear" w:color="auto" w:fill="CCED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1 - August 31, 2024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500,000,000</w:t>
            </w: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September 1 - September 30, 2024</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00" w:type="dxa"/>
            <w:vAlign w:val="bottom"/>
            <w:shd w:val="clear" w:color="auto" w:fill="CCED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349,999,951</w:t>
            </w: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
        </w:trPr>
        <w:tc>
          <w:tcPr>
            <w:tcW w:w="3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right="24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ordinary shares that we withheld in order to satisfy tax withholding requirements in connection with the vesting and release of restricted stock units. All the ordinary shares reported in this column were purchased pursuant to our publicly announced share repurchase program.</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ordinary share includes brokerage commissions.</w:t>
      </w:r>
    </w:p>
    <w:p>
      <w:pPr>
        <w:spacing w:after="0" w:line="117" w:lineRule="exact"/>
        <w:rPr>
          <w:rFonts w:ascii="Times New Roman" w:cs="Times New Roman" w:eastAsia="Times New Roman" w:hAnsi="Times New Roman"/>
          <w:sz w:val="18"/>
          <w:szCs w:val="18"/>
          <w:color w:val="auto"/>
        </w:rPr>
      </w:pPr>
    </w:p>
    <w:p>
      <w:pPr>
        <w:ind w:left="660" w:right="60" w:hanging="328"/>
        <w:spacing w:after="0" w:line="25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2024, we announced that our board of directors had authorized the use of up to $500.0 million to repurchase our ordinary shares, or the New Repurchase Program.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our outstanding credit agreement and the indenture for our Secured Notes, corporate and regulatory requirements and market conditions. The New Repurchase Program may be modified, suspended or discontinued at any time without our prior notice. The ordinary shares reported in the table above were purchased pursuant to the New Repurchase Program. The New Repurchase Program replaces and supersedes the share repurchase program authorized by our board of directors in November 2016, which, as of July 25, 2024, the date it was replaced and superseded by the New Repurchase Program, had authorized the repurchase of ordinary shares having an aggregate purchase price of up to $1.5 billion, exclusive of any brokerage commissions, or the Old Repurchase Program. On July 25, 2024, the amount remaining authorized for repurchase under the Old Repurchase Program was $47,475, exclusive of any brokerage commissions, which amount is included in the $500.0 million authorized for repurchase under the New Repurchase Program.</w:t>
      </w:r>
    </w:p>
    <w:p>
      <w:pPr>
        <w:spacing w:after="0" w:line="8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shown represents, as of the end of each period, the approximate dollar value of ordinary shares that may yet be purchased under the New Repurchase Program, exclusive of any brokerage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19"/>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5"/>
                <w:szCs w:val="15"/>
                <w:color w:val="auto"/>
              </w:rPr>
            </w:pPr>
          </w:p>
        </w:tc>
        <w:tc>
          <w:tcPr>
            <w:tcW w:w="1008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80" w:type="dxa"/>
            <w:vAlign w:val="bottom"/>
            <w:gridSpan w:val="1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80" w:type="dxa"/>
            <w:vAlign w:val="bottom"/>
            <w:gridSpan w:val="18"/>
            <w:shd w:val="clear" w:color="auto" w:fill="CCEEFF"/>
          </w:tcPr>
          <w:p>
            <w:pPr>
              <w:spacing w:after="0" w:line="203"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Transaction Agreement, dated as of February 3, 2021, by and among Jazz Pharmaceuticals UK Holdings Limited, Jazz Pharmaceuticals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Public Limited Company and GW Pharmaceuticals PLC (incorporated herein by reference to Exhibit 2.1 in Jazz Pharmaceuticals plc’s</w:t>
              </w:r>
            </w:hyperlink>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12"/>
            <w:shd w:val="clear" w:color="auto" w:fill="CCEEFF"/>
          </w:tcPr>
          <w:p>
            <w:pPr>
              <w:spacing w:after="0" w:line="16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Current Report on Form 8-K (File No. 001-33500), as filed with the SEC on February 4, 2021).</w:t>
              </w:r>
            </w:hyperlink>
          </w:p>
        </w:tc>
        <w:tc>
          <w:tcPr>
            <w:tcW w:w="16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18"/>
          </w:tcPr>
          <w:p>
            <w:pPr>
              <w:spacing w:after="0" w:line="18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Amended and Restated Memorandum and Articles of Association of Jazz Pharmaceuticals plc, as amended on August 4, 2016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1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(incorporated herein by reference to Exhibit 3.1 in Jazz Pharmaceuticals plc’s Quarterly Report on Form 10-Q (File No. 001-</w:t>
              </w:r>
            </w:hyperlink>
          </w:p>
        </w:tc>
        <w:tc>
          <w:tcPr>
            <w:tcW w:w="980" w:type="dxa"/>
            <w:vAlign w:val="bottom"/>
            <w:gridSpan w:val="10"/>
          </w:tcPr>
          <w:p>
            <w:pPr>
              <w:spacing w:after="0" w:line="156" w:lineRule="exact"/>
              <w:rPr>
                <w:rFonts w:ascii="Times New Roman" w:cs="Times New Roman" w:eastAsia="Times New Roman" w:hAnsi="Times New Roman"/>
                <w:sz w:val="18"/>
                <w:szCs w:val="18"/>
                <w:color w:val="0000FF"/>
                <w:w w:val="93"/>
              </w:rPr>
            </w:pPr>
            <w:hyperlink r:id="rId72">
              <w:r>
                <w:rPr>
                  <w:rFonts w:ascii="Times New Roman" w:cs="Times New Roman" w:eastAsia="Times New Roman" w:hAnsi="Times New Roman"/>
                  <w:sz w:val="18"/>
                  <w:szCs w:val="18"/>
                  <w:color w:val="0000FF"/>
                  <w:w w:val="93"/>
                </w:rPr>
                <w:t>33500) for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period ended June 30, 2016, as filed with the SEC on August 9, 2016).</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Indenture, dated as of September 6, 2024 among Jazz Pharmaceuticals Public Limited Company, Jazz Investments I Limited and U.S. Bank</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Trust Company, National Association (incorporated by reference to Exhibit 4.1 in Jazz Pharmaceuticals plc’s Current Report on Form 8-K</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980" w:type="dxa"/>
            <w:vAlign w:val="bottom"/>
            <w:tcBorders>
              <w:top w:val="single" w:sz="8" w:color="0000FF"/>
              <w:bottom w:val="single" w:sz="8" w:color="0000FF"/>
            </w:tcBorders>
            <w:gridSpan w:val="4"/>
            <w:shd w:val="clear" w:color="auto" w:fill="CCEEFF"/>
          </w:tcPr>
          <w:p>
            <w:pPr>
              <w:spacing w:after="0" w:line="169"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(File No. 001-033500), as filed with the SEC on September 6, 2024).</w:t>
              </w:r>
            </w:hyperlink>
          </w:p>
        </w:tc>
        <w:tc>
          <w:tcPr>
            <w:tcW w:w="498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18"/>
          </w:tcPr>
          <w:p>
            <w:pPr>
              <w:spacing w:after="0" w:line="18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Form of 3.125% Exchangeable Senior Note due 2030 (incorporated by reference to Exhibit 4.2 in Jazz Pharmaceuticals plc’s Current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5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Report on Form 8-K (File No. 001-033500), as filed with the SEC on September 6, 2024).</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promulgated under the Securities Exchange Act of</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180" w:type="dxa"/>
            <w:vAlign w:val="bottom"/>
            <w:tcBorders>
              <w:top w:val="single" w:sz="8" w:color="CCEEFF"/>
            </w:tcBorders>
            <w:gridSpan w:val="3"/>
            <w:shd w:val="clear" w:color="auto" w:fill="CCEEFF"/>
          </w:tcPr>
          <w:p>
            <w:pPr>
              <w:spacing w:after="0"/>
              <w:rPr>
                <w:sz w:val="13"/>
                <w:szCs w:val="13"/>
                <w:color w:val="auto"/>
              </w:rPr>
            </w:pPr>
          </w:p>
        </w:tc>
        <w:tc>
          <w:tcPr>
            <w:tcW w:w="220" w:type="dxa"/>
            <w:vAlign w:val="bottom"/>
            <w:tcBorders>
              <w:top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promulgated under the Securities Exchange Act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240" w:type="dxa"/>
            <w:vAlign w:val="bottom"/>
            <w:gridSpan w:val="4"/>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880" w:type="dxa"/>
            <w:vAlign w:val="bottom"/>
            <w:tcBorders>
              <w:top w:val="single" w:sz="8" w:color="0000FF"/>
              <w:bottom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698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5"/>
                <w:szCs w:val="15"/>
                <w:color w:val="auto"/>
              </w:rPr>
            </w:pPr>
          </w:p>
        </w:tc>
        <w:tc>
          <w:tcPr>
            <w:tcW w:w="100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shd w:val="clear" w:color="auto" w:fill="CCEEFF"/>
          </w:tcPr>
          <w:p>
            <w:pPr>
              <w:spacing w:after="0"/>
              <w:rPr>
                <w:sz w:val="20"/>
                <w:szCs w:val="20"/>
                <w:color w:val="auto"/>
              </w:rPr>
            </w:pPr>
          </w:p>
        </w:tc>
        <w:tc>
          <w:tcPr>
            <w:tcW w:w="100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0" w:type="dxa"/>
            <w:vAlign w:val="bottom"/>
          </w:tcPr>
          <w:p>
            <w:pPr>
              <w:spacing w:after="0"/>
              <w:rPr>
                <w:sz w:val="1"/>
                <w:szCs w:val="1"/>
                <w:color w:val="auto"/>
              </w:rPr>
            </w:pPr>
          </w:p>
        </w:tc>
      </w:tr>
    </w:tbl>
    <w:p>
      <w:pPr>
        <w:ind w:left="1140" w:hanging="1101"/>
        <w:spacing w:after="0"/>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w:t>
      </w:r>
    </w:p>
    <w:p>
      <w:pPr>
        <w:spacing w:after="0" w:line="25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601(b)(2) of Regulation S-K.</w:t>
      </w:r>
    </w:p>
    <w:p>
      <w:pPr>
        <w:spacing w:after="0" w:line="27" w:lineRule="exact"/>
        <w:rPr>
          <w:sz w:val="20"/>
          <w:szCs w:val="20"/>
          <w:color w:val="auto"/>
        </w:rPr>
      </w:pPr>
    </w:p>
    <w:p>
      <w:pPr>
        <w:ind w:left="500" w:right="40" w:hanging="492"/>
        <w:spacing w:after="0" w:line="234" w:lineRule="exact"/>
        <w:tabs>
          <w:tab w:leader="none" w:pos="2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accompanies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JAZZ PHARMACEUTICALS PUBLIC LIMITED COMPANY</w:t>
      </w:r>
    </w:p>
    <w:p>
      <w:pPr>
        <w:ind w:left="508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Bruce C. Cozadd</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Chairman and Chief Executive Officer and Director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Philip L. Johnson</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Patricia Carr</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Chief Accounting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20"/>
          </w:cols>
          <w:pgMar w:left="320" w:top="121" w:right="8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Bruce C. Cozadd</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Chairman and Chief Executive Officer and Director</w:t>
      </w:r>
    </w:p>
    <w:p>
      <w:pPr>
        <w:sectPr>
          <w:pgSz w:w="11900" w:h="16838" w:orient="portrait"/>
          <w:cols w:equalWidth="0" w:num="1">
            <w:col w:w="11240"/>
          </w:cols>
          <w:pgMar w:left="320" w:top="1008"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L. Johnson, certify that:</w:t>
      </w:r>
    </w:p>
    <w:p>
      <w:pPr>
        <w:spacing w:after="0" w:line="293"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5600" w:val="left"/>
          <w:tab w:leader="none" w:pos="7880" w:val="left"/>
          <w:tab w:leader="none" w:pos="82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Philip L. Johnson</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ectPr>
          <w:pgSz w:w="11900" w:h="16838" w:orient="portrait"/>
          <w:cols w:equalWidth="0" w:num="1">
            <w:col w:w="11240"/>
          </w:cols>
          <w:pgMar w:left="320" w:top="1008"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23"/>
          <w:szCs w:val="23"/>
          <w:b w:val="1"/>
          <w:bCs w:val="1"/>
          <w:color w:val="auto"/>
          <w:vertAlign w:val="superscript"/>
        </w:rPr>
        <w:t>(1)</w:t>
      </w:r>
    </w:p>
    <w:p>
      <w:pPr>
        <w:ind w:right="20"/>
        <w:spacing w:after="0" w:line="23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Philip L. Johnson, Executive Vice President and Chief Financial Officer of the Company, each hereby certifies that, to the best of his knowledge:</w:t>
      </w:r>
    </w:p>
    <w:p>
      <w:pPr>
        <w:spacing w:after="0" w:line="266" w:lineRule="exact"/>
        <w:rPr>
          <w:sz w:val="20"/>
          <w:szCs w:val="20"/>
          <w:color w:val="auto"/>
        </w:rPr>
      </w:pPr>
    </w:p>
    <w:p>
      <w:pPr>
        <w:ind w:left="740" w:right="120" w:hanging="327"/>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2024, to which this Certification is attached as Exhibit 32.1 (the “Periodic Report”), fully complies with the requirements of Section 13(a) or Section 15(d) of the Exchange Act; and</w:t>
      </w:r>
    </w:p>
    <w:p>
      <w:pPr>
        <w:spacing w:after="0" w:line="121"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33" w:lineRule="exact"/>
        <w:rPr>
          <w:sz w:val="20"/>
          <w:szCs w:val="20"/>
          <w:color w:val="auto"/>
        </w:rPr>
      </w:pPr>
    </w:p>
    <w:p>
      <w:pPr>
        <w:jc w:val="center"/>
        <w:ind w:right="63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43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3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Bruce C. Cozadd</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Chairman and Chief Executive Officer and Director (Principal Executive</w:t>
      </w:r>
    </w:p>
    <w:p>
      <w:pPr>
        <w:ind w:left="2200"/>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300" w:lineRule="exact"/>
        <w:rPr>
          <w:sz w:val="20"/>
          <w:szCs w:val="20"/>
          <w:color w:val="auto"/>
        </w:rPr>
      </w:pPr>
    </w:p>
    <w:p>
      <w:pPr>
        <w:jc w:val="center"/>
        <w:ind w:right="63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43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Philip L. Johnson</w:t>
      </w:r>
    </w:p>
    <w:p>
      <w:pPr>
        <w:spacing w:after="0" w:line="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150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420" w:right="80" w:hanging="331"/>
        <w:spacing w:after="0" w:line="252" w:lineRule="auto"/>
        <w:tabs>
          <w:tab w:leader="none" w:pos="4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1" Type="http://schemas.openxmlformats.org/officeDocument/2006/relationships/hyperlink" Target="https://www.sec.gov/Archives/edgar/data/1232524/000119312521027577/d117870dex21.htm" TargetMode="External"/><Relationship Id="rId72" Type="http://schemas.openxmlformats.org/officeDocument/2006/relationships/hyperlink" Target="https://www.sec.gov/Archives/edgar/data/1232524/000123252416000303/jazzq22016ex31.htm" TargetMode="External"/><Relationship Id="rId73" Type="http://schemas.openxmlformats.org/officeDocument/2006/relationships/hyperlink" Target="https://www.sec.gov/Archives/edgar/data/1232524/000119312524215168/d87570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2024-11-07T06:49:10Z</dcterms:created>
  <dcterms:modified xsi:type="dcterms:W3CDTF">2024-11-07T06:49:10Z</dcterms:modified>
</cp:coreProperties>
</file>